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-219710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740" w:right="1760" w:hanging="3732"/>
        <w:spacing w:after="0" w:line="410" w:lineRule="auto"/>
        <w:tabs>
          <w:tab w:leader="none" w:pos="463"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5" w:lineRule="exact"/>
        <w:rPr>
          <w:sz w:val="24"/>
          <w:szCs w:val="24"/>
          <w:color w:val="auto"/>
        </w:rPr>
      </w:pPr>
    </w:p>
    <w:p>
      <w:pPr>
        <w:sectPr>
          <w:pgSz w:w="11900" w:h="16838" w:orient="portrait"/>
          <w:cols w:equalWidth="0" w:num="2">
            <w:col w:w="7100" w:space="720"/>
            <w:col w:w="3560"/>
          </w:cols>
          <w:pgMar w:left="240" w:top="233" w:right="27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340" w:space="720"/>
            <w:col w:w="4320"/>
          </w:cols>
          <w:pgMar w:left="240" w:top="233" w:right="279" w:bottom="1440" w:gutter="0" w:footer="0" w:header="0"/>
          <w:type w:val="continuous"/>
        </w:sectPr>
      </w:pPr>
    </w:p>
    <w:p>
      <w:pPr>
        <w:spacing w:after="0" w:line="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6"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ind w:right="120" w:firstLine="369"/>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0"/>
          <w:szCs w:val="20"/>
          <w:color w:val="auto"/>
        </w:rPr>
        <w:t>☒</w:t>
      </w:r>
      <w:r>
        <w:rPr>
          <w:rFonts w:ascii="Arial" w:cs="Arial" w:eastAsia="Arial" w:hAnsi="Arial"/>
          <w:sz w:val="17"/>
          <w:szCs w:val="17"/>
          <w:color w:val="auto"/>
        </w:rPr>
        <w:t xml:space="preserve"> Yes </w:t>
      </w:r>
      <w:r>
        <w:rPr>
          <w:rFonts w:ascii="MS PGothic" w:cs="MS PGothic" w:eastAsia="MS PGothic" w:hAnsi="MS PGothic"/>
          <w:sz w:val="20"/>
          <w:szCs w:val="20"/>
          <w:color w:val="auto"/>
        </w:rPr>
        <w:t>☐</w:t>
      </w:r>
      <w:r>
        <w:rPr>
          <w:rFonts w:ascii="Arial" w:cs="Arial" w:eastAsia="Arial" w:hAnsi="Arial"/>
          <w:sz w:val="17"/>
          <w:szCs w:val="17"/>
          <w:color w:val="auto"/>
        </w:rPr>
        <w:t xml:space="preserve"> No</w:t>
      </w:r>
    </w:p>
    <w:p>
      <w:pPr>
        <w:spacing w:after="0" w:line="74"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4" w:lineRule="exact"/>
        <w:rPr>
          <w:sz w:val="24"/>
          <w:szCs w:val="24"/>
          <w:color w:val="auto"/>
        </w:rPr>
      </w:pPr>
    </w:p>
    <w:tbl>
      <w:tblPr>
        <w:tblLayout w:type="fixed"/>
        <w:tblInd w:w="1900" w:type="dxa"/>
        <w:tblCellMar>
          <w:top w:w="0" w:type="dxa"/>
          <w:left w:w="0" w:type="dxa"/>
          <w:bottom w:w="0" w:type="dxa"/>
          <w:right w:w="0" w:type="dxa"/>
        </w:tblCellMar>
      </w:tblPr>
      <w:tr>
        <w:trPr>
          <w:trHeight w:val="311"/>
        </w:trPr>
        <w:tc>
          <w:tcPr>
            <w:tcW w:w="372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21"/>
                <w:szCs w:val="21"/>
                <w:color w:val="auto"/>
                <w:w w:val="90"/>
              </w:rPr>
              <w:t>☒</w:t>
            </w: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21"/>
                <w:szCs w:val="21"/>
                <w:color w:val="auto"/>
              </w:rPr>
              <w:t>☐</w:t>
            </w:r>
          </w:p>
        </w:tc>
      </w:tr>
      <w:tr>
        <w:trPr>
          <w:trHeight w:val="311"/>
        </w:trPr>
        <w:tc>
          <w:tcPr>
            <w:tcW w:w="372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5"/>
              </w:rPr>
              <w:t xml:space="preserve">Non-accelerated filer </w:t>
            </w:r>
            <w:r>
              <w:rPr>
                <w:rFonts w:ascii="MS PGothic" w:cs="MS PGothic" w:eastAsia="MS PGothic" w:hAnsi="MS PGothic"/>
                <w:sz w:val="21"/>
                <w:szCs w:val="21"/>
                <w:color w:val="auto"/>
                <w:w w:val="95"/>
              </w:rPr>
              <w:t>☐</w:t>
            </w: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1"/>
                <w:szCs w:val="21"/>
                <w:color w:val="auto"/>
              </w:rPr>
              <w:t>☐</w:t>
            </w:r>
          </w:p>
        </w:tc>
      </w:tr>
      <w:tr>
        <w:trPr>
          <w:trHeight w:val="339"/>
        </w:trPr>
        <w:tc>
          <w:tcPr>
            <w:tcW w:w="3720" w:type="dxa"/>
            <w:vAlign w:val="bottom"/>
          </w:tcPr>
          <w:p>
            <w:pPr>
              <w:spacing w:after="0"/>
              <w:rPr>
                <w:sz w:val="24"/>
                <w:szCs w:val="24"/>
                <w:color w:val="auto"/>
              </w:rPr>
            </w:pPr>
          </w:p>
        </w:tc>
        <w:tc>
          <w:tcPr>
            <w:tcW w:w="408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114" w:lineRule="exact"/>
        <w:rPr>
          <w:sz w:val="24"/>
          <w:szCs w:val="24"/>
          <w:color w:val="auto"/>
        </w:rPr>
      </w:pPr>
    </w:p>
    <w:p>
      <w:pPr>
        <w:ind w:right="300" w:firstLine="351"/>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74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31, 2019, there were 182,006,009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9"/>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2018</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2019 and 2018</w:t>
              </w:r>
            </w:hyperlink>
          </w:p>
        </w:tc>
        <w:tc>
          <w:tcPr>
            <w:tcW w:w="164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2019 and 2018</w:t>
              </w:r>
            </w:hyperlink>
          </w:p>
        </w:tc>
        <w:tc>
          <w:tcPr>
            <w:tcW w:w="72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Changes in Accumulated Other Comprehensive Income/(Loss): For the nine months ended</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2019 and 2018</w:t>
              </w:r>
            </w:hyperlink>
          </w:p>
        </w:tc>
        <w:tc>
          <w:tcPr>
            <w:tcW w:w="7080" w:type="dxa"/>
            <w:vAlign w:val="bottom"/>
            <w:tcBorders>
              <w:top w:val="single" w:sz="8" w:color="0000EE"/>
            </w:tcBorders>
            <w:gridSpan w:val="21"/>
          </w:tcPr>
          <w:p>
            <w:pPr>
              <w:spacing w:after="0"/>
              <w:rPr>
                <w:sz w:val="17"/>
                <w:szCs w:val="17"/>
                <w:color w:val="auto"/>
              </w:rPr>
            </w:pPr>
          </w:p>
        </w:tc>
        <w:tc>
          <w:tcPr>
            <w:tcW w:w="820" w:type="dxa"/>
            <w:vAlign w:val="bottom"/>
            <w:gridSpan w:val="3"/>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2019 and 2018</w:t>
              </w:r>
            </w:hyperlink>
          </w:p>
        </w:tc>
        <w:tc>
          <w:tcPr>
            <w:tcW w:w="23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7"/>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Changes in Partners’ Capital: For the three and nine months ended September 30, 2019 and 2018</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5540" w:type="dxa"/>
            <w:vAlign w:val="bottom"/>
            <w:tcBorders>
              <w:top w:val="single" w:sz="8" w:color="0000EE"/>
            </w:tcBorders>
            <w:gridSpan w:val="12"/>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4200" w:type="dxa"/>
            <w:vAlign w:val="bottom"/>
            <w:tcBorders>
              <w:bottom w:val="single" w:sz="8" w:color="0000EE"/>
            </w:tcBorders>
            <w:gridSpan w:val="22"/>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3240" w:type="dxa"/>
            <w:vAlign w:val="bottom"/>
            <w:gridSpan w:val="19"/>
          </w:tcPr>
          <w:p>
            <w:pPr>
              <w:ind w:left="20"/>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Summary of Significant Accounting Policies</w:t>
              </w:r>
            </w:hyperlink>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3240" w:type="dxa"/>
            <w:vAlign w:val="bottom"/>
            <w:gridSpan w:val="19"/>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Revenues and Accounts Receivable</w:t>
              </w:r>
            </w:hyperlink>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4.</w:t>
              </w:r>
            </w:hyperlink>
          </w:p>
        </w:tc>
        <w:tc>
          <w:tcPr>
            <w:tcW w:w="2220" w:type="dxa"/>
            <w:vAlign w:val="bottom"/>
            <w:gridSpan w:val="12"/>
          </w:tcPr>
          <w:p>
            <w:pPr>
              <w:ind w:left="20"/>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Net Income Per Class A Share</w:t>
              </w:r>
            </w:hyperlink>
          </w:p>
        </w:tc>
        <w:tc>
          <w:tcPr>
            <w:tcW w:w="380" w:type="dxa"/>
            <w:vAlign w:val="bottom"/>
            <w:gridSpan w:val="4"/>
          </w:tcPr>
          <w:p>
            <w:pPr>
              <w:spacing w:after="0"/>
              <w:rPr>
                <w:sz w:val="21"/>
                <w:szCs w:val="21"/>
                <w:color w:val="auto"/>
              </w:rPr>
            </w:pPr>
          </w:p>
        </w:tc>
        <w:tc>
          <w:tcPr>
            <w:tcW w:w="72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5.</w:t>
              </w:r>
            </w:hyperlink>
          </w:p>
        </w:tc>
        <w:tc>
          <w:tcPr>
            <w:tcW w:w="4240" w:type="dxa"/>
            <w:vAlign w:val="bottom"/>
            <w:gridSpan w:val="23"/>
          </w:tcPr>
          <w:p>
            <w:pPr>
              <w:ind w:left="2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4240" w:type="dxa"/>
            <w:vAlign w:val="bottom"/>
            <w:gridSpan w:val="2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7.</w:t>
              </w:r>
            </w:hyperlink>
          </w:p>
        </w:tc>
        <w:tc>
          <w:tcPr>
            <w:tcW w:w="2860" w:type="dxa"/>
            <w:vAlign w:val="bottom"/>
            <w:gridSpan w:val="18"/>
          </w:tcPr>
          <w:p>
            <w:pPr>
              <w:ind w:left="20"/>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Investments in Unconsolidated Entities</w:t>
              </w:r>
            </w:hyperlink>
          </w:p>
        </w:tc>
        <w:tc>
          <w:tcPr>
            <w:tcW w:w="700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Debt</w:t>
              </w:r>
            </w:hyperlink>
          </w:p>
        </w:tc>
        <w:tc>
          <w:tcPr>
            <w:tcW w:w="2480" w:type="dxa"/>
            <w:vAlign w:val="bottom"/>
            <w:gridSpan w:val="17"/>
          </w:tcPr>
          <w:p>
            <w:pPr>
              <w:spacing w:after="0"/>
              <w:rPr>
                <w:sz w:val="21"/>
                <w:szCs w:val="21"/>
                <w:color w:val="auto"/>
              </w:rPr>
            </w:pPr>
          </w:p>
        </w:tc>
        <w:tc>
          <w:tcPr>
            <w:tcW w:w="700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9.</w:t>
              </w:r>
            </w:hyperlink>
          </w:p>
        </w:tc>
        <w:tc>
          <w:tcPr>
            <w:tcW w:w="2500" w:type="dxa"/>
            <w:vAlign w:val="bottom"/>
            <w:gridSpan w:val="14"/>
          </w:tcPr>
          <w:p>
            <w:pPr>
              <w:ind w:left="2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Partners’ Capital and Distributions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21"/>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3"/>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11. Leases</w:t>
              </w:r>
            </w:hyperlink>
          </w:p>
        </w:tc>
        <w:tc>
          <w:tcPr>
            <w:tcW w:w="2740" w:type="dxa"/>
            <w:vAlign w:val="bottom"/>
            <w:gridSpan w:val="18"/>
          </w:tcPr>
          <w:p>
            <w:pPr>
              <w:spacing w:after="0"/>
              <w:rPr>
                <w:sz w:val="21"/>
                <w:szCs w:val="21"/>
                <w:color w:val="auto"/>
              </w:rPr>
            </w:pPr>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3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12. Related Party Transactions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13. Commitments and Contingencies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14. Operating Segments</w:t>
              </w:r>
            </w:hyperlink>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15. Income Taxes</w:t>
              </w:r>
            </w:hyperlink>
          </w:p>
        </w:tc>
        <w:tc>
          <w:tcPr>
            <w:tcW w:w="460" w:type="dxa"/>
            <w:vAlign w:val="bottom"/>
            <w:gridSpan w:val="2"/>
          </w:tcPr>
          <w:p>
            <w:pPr>
              <w:spacing w:after="0"/>
              <w:rPr>
                <w:sz w:val="21"/>
                <w:szCs w:val="21"/>
                <w:color w:val="auto"/>
              </w:rPr>
            </w:pPr>
          </w:p>
        </w:tc>
        <w:tc>
          <w:tcPr>
            <w:tcW w:w="8280" w:type="dxa"/>
            <w:vAlign w:val="bottom"/>
            <w:gridSpan w:val="2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34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30"/>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Item 3. QUANTITATIVE AND QUALITATIVE DISCLOSURES ABOUT MARKET RISK</w:t>
              </w:r>
            </w:hyperlink>
          </w:p>
        </w:tc>
        <w:tc>
          <w:tcPr>
            <w:tcW w:w="2760" w:type="dxa"/>
            <w:vAlign w:val="bottom"/>
            <w:gridSpan w:val="4"/>
          </w:tcPr>
          <w:p>
            <w:pPr>
              <w:spacing w:after="0"/>
              <w:rPr>
                <w:sz w:val="21"/>
                <w:szCs w:val="21"/>
                <w:color w:val="auto"/>
              </w:rPr>
            </w:pPr>
          </w:p>
        </w:tc>
        <w:tc>
          <w:tcPr>
            <w:tcW w:w="90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1"/>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Item 4. CONTROLS AND PROCEDURES</w:t>
              </w:r>
            </w:hyperlink>
          </w:p>
        </w:tc>
        <w:tc>
          <w:tcPr>
            <w:tcW w:w="3540" w:type="dxa"/>
            <w:vAlign w:val="bottom"/>
            <w:gridSpan w:val="9"/>
          </w:tcPr>
          <w:p>
            <w:pPr>
              <w:spacing w:after="0"/>
              <w:rPr>
                <w:sz w:val="21"/>
                <w:szCs w:val="21"/>
                <w:color w:val="auto"/>
              </w:rPr>
            </w:pPr>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520"/>
        </w:trPr>
        <w:tc>
          <w:tcPr>
            <w:tcW w:w="27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20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1A. RISK FACTORS</w:t>
              </w:r>
            </w:hyperlink>
          </w:p>
        </w:tc>
        <w:tc>
          <w:tcPr>
            <w:tcW w:w="7940" w:type="dxa"/>
            <w:vAlign w:val="bottom"/>
            <w:gridSpan w:val="2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6"/>
            <w:shd w:val="clear" w:color="auto" w:fill="0000EE"/>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3"/>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3. DEFAULTS UPON SENIOR SECURITIES</w:t>
              </w:r>
            </w:hyperlink>
          </w:p>
        </w:tc>
        <w:tc>
          <w:tcPr>
            <w:tcW w:w="2880" w:type="dxa"/>
            <w:vAlign w:val="bottom"/>
            <w:gridSpan w:val="6"/>
          </w:tcPr>
          <w:p>
            <w:pPr>
              <w:spacing w:after="0"/>
              <w:rPr>
                <w:sz w:val="21"/>
                <w:szCs w:val="21"/>
                <w:color w:val="auto"/>
              </w:rPr>
            </w:pPr>
          </w:p>
        </w:tc>
        <w:tc>
          <w:tcPr>
            <w:tcW w:w="37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8"/>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360" w:type="dxa"/>
            <w:vAlign w:val="bottom"/>
            <w:gridSpan w:val="2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Item 5. OTHER INFORMATION</w:t>
              </w:r>
            </w:hyperlink>
          </w:p>
        </w:tc>
        <w:tc>
          <w:tcPr>
            <w:tcW w:w="560" w:type="dxa"/>
            <w:vAlign w:val="bottom"/>
            <w:gridSpan w:val="5"/>
          </w:tcPr>
          <w:p>
            <w:pPr>
              <w:spacing w:after="0"/>
              <w:rPr>
                <w:sz w:val="21"/>
                <w:szCs w:val="21"/>
                <w:color w:val="auto"/>
              </w:rPr>
            </w:pPr>
          </w:p>
        </w:tc>
        <w:tc>
          <w:tcPr>
            <w:tcW w:w="736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20" w:type="dxa"/>
            <w:vAlign w:val="bottom"/>
            <w:gridSpan w:val="2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7920" w:type="dxa"/>
            <w:vAlign w:val="bottom"/>
            <w:gridSpan w:val="2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11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0" w:type="dxa"/>
            <w:vAlign w:val="bottom"/>
            <w:gridSpan w:val="3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20" w:type="dxa"/>
            <w:vAlign w:val="bottom"/>
            <w:gridSpan w:val="6"/>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SIGNATURES</w:t>
              </w:r>
            </w:hyperlink>
          </w:p>
        </w:tc>
        <w:tc>
          <w:tcPr>
            <w:tcW w:w="240" w:type="dxa"/>
            <w:vAlign w:val="bottom"/>
            <w:gridSpan w:val="2"/>
          </w:tcPr>
          <w:p>
            <w:pPr>
              <w:spacing w:after="0"/>
              <w:rPr>
                <w:sz w:val="21"/>
                <w:szCs w:val="21"/>
                <w:color w:val="auto"/>
              </w:rPr>
            </w:pPr>
          </w:p>
        </w:tc>
        <w:tc>
          <w:tcPr>
            <w:tcW w:w="9000" w:type="dxa"/>
            <w:vAlign w:val="bottom"/>
            <w:gridSpan w:val="3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280" w:type="dxa"/>
            <w:vAlign w:val="bottom"/>
            <w:gridSpan w:val="22"/>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37"/>
        </w:trPr>
        <w:tc>
          <w:tcPr>
            <w:tcW w:w="8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0"/>
                <w:szCs w:val="20"/>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611</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2,912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2,454</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373</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3,536</w:t>
            </w:r>
          </w:p>
        </w:tc>
      </w:tr>
      <w:tr>
        <w:trPr>
          <w:trHeight w:val="223"/>
        </w:trPr>
        <w:tc>
          <w:tcPr>
            <w:tcW w:w="8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17,905</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(3,103)</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14,802</w:t>
            </w:r>
          </w:p>
        </w:tc>
      </w:tr>
      <w:tr>
        <w:trPr>
          <w:trHeight w:val="223"/>
        </w:trPr>
        <w:tc>
          <w:tcPr>
            <w:tcW w:w="8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2,532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2,521</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1,301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1,304</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893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913</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3,034</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2,705</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755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687</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3,458</w:t>
            </w:r>
          </w:p>
        </w:tc>
      </w:tr>
      <w:tr>
        <w:trPr>
          <w:trHeight w:val="223"/>
        </w:trPr>
        <w:tc>
          <w:tcPr>
            <w:tcW w:w="8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8,937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8,941</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long-term liabilities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10,394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10,053</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8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 A shareholders (182,006,009 and 159,485,588 shares outstanding,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12,268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11,473</w:t>
            </w:r>
          </w:p>
        </w:tc>
      </w:tr>
      <w:tr>
        <w:trPr>
          <w:trHeight w:val="31"/>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13,319</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29,690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26,830</w:t>
            </w:r>
          </w:p>
        </w:tc>
      </w:tr>
      <w:tr>
        <w:trPr>
          <w:trHeight w:val="31"/>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44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44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7,541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23,477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24,374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22,838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24,311</w:t>
            </w: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Interest expense (net of capitalized interest of $7, $8, $29 and $21,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3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2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21"/>
                <w:szCs w:val="21"/>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(285)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(624)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7"/>
        </w:trPr>
        <w:tc>
          <w:tcPr>
            <w:tcW w:w="6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0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Translation</w:t>
            </w:r>
          </w:p>
        </w:tc>
        <w:tc>
          <w:tcPr>
            <w:tcW w:w="10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1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2018</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1,046</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386</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1,292</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1,298</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PAA commercial paper program (Note 8)</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PAA senior secured hedged inventory facility (Note 8)</w:t>
            </w:r>
          </w:p>
        </w:tc>
        <w:tc>
          <w:tcPr>
            <w:tcW w:w="9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PAA GO Zone term loans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the issuance of PAA senior notes (Note 8)</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noncontrolling interest in a subsidiary (Note 9)</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169"/>
        </w:trPr>
        <w:tc>
          <w:tcPr>
            <w:tcW w:w="83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76"/>
        </w:trPr>
        <w:tc>
          <w:tcPr>
            <w:tcW w:w="8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8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82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82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8"/>
              </w:rPr>
              <w:t>Change in ownership interest in connection with Exchange Right exercises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noncontrolling interest in a subsidiary (Note 9)</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8"/>
              </w:rPr>
              <w:t>Change in ownership interest in connection with Exchange Right exercises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September 30, 2019,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September 30, 2019, PAGP owned (i) a 100% managing member interest in Plains All American GP LLC (“GP LLC”), an entity that has also elected to be taxed as a corporation for United States federal income tax purposes and (ii) an approximate 73% limited partner interest in Plains AAP, L.P. (“AAP”) through our direct ownership of approximately 181.0 million Class A units of AAP (“AAP units”) and indirect ownership of approximately 1.0 million AAP units through GP LLC. GP LLC is a Delaware limited liability company that also holds the non-economic general partner interest in AAP. AAP is a Delaware limited partnership that, as of September 30, 2019, directly owned a limited partner interest in PAA through its ownership of approximately 252.2 million PAA common units (approximately 32%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accompanying unaudited condensed consolidated interim financial statements and related notes thereto should be read in conjunction with our 2018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Effective for the fourth quarter of 2018, we present “(Gains)/losses on asset sales and asset impairments, net” as a separate line item on our Condensed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Condensed Consolidated Statements of Operations. This change was applied retrospectively and does not affect Operating income, Net income or Net income attributable to PAGP.</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condensed consolidated balance sheet data as of December 31, 2018 was derived from audited financial statements, but does not include all disclosures required by GAAP. The results of operations for the three and nine months ended September 30, 2019 should not be taken as indicative of results to be expected for the entire year.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With the exception of a deferred tax asset of $1.301 billion and $1.304 billion as of September 30, 2019 and December 31, 2018, respectively, substantially all assets and liabilities presented on PAGP’s Condensed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2019 or the year ended December 31, 2018. See Note 16 to our Consolidated Financial Statements included in Part IV of our 2018 Annual Report on Form 10-K for information regarding the Omnibus Agreement entered into in connection with the Simplification Transactions.</w:t>
      </w:r>
    </w:p>
    <w:p>
      <w:pPr>
        <w:spacing w:after="0" w:line="17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as of the end of the period (in millions):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9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611</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59</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670</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2018 Annual Report on Form 10-K, there have been no new accounting pronouncements that have become effective or have been issued during the nine months ended September 30, 2019 that are of significance or potential significance to us.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historical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11 for information about our leases.</w:t>
      </w:r>
    </w:p>
    <w:p>
      <w:pPr>
        <w:spacing w:after="0" w:line="18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p>
      <w:pPr>
        <w:spacing w:after="0" w:line="181" w:lineRule="exact"/>
        <w:rPr>
          <w:sz w:val="20"/>
          <w:szCs w:val="20"/>
          <w:color w:val="auto"/>
        </w:rPr>
      </w:pPr>
    </w:p>
    <w:p>
      <w:pPr>
        <w:ind w:left="820" w:right="280" w:hanging="164"/>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2018-16, Derivatives and Hedging (Topic 815): Inclusion of the Secured Overnight Financing Rate (SOFR) Overnight Index Swap (OIS) Rate as a Benchmark Interest Rate for Hedge Accounting Purposes;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ASU 2018-07, Compensation—Stock Compensation (Topic 718): Improvements to Nonemployee Share-Based Payment Accounting; and</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2017-12, Derivatives and Hedging (Topic 815): Targeted Improvements to Accounting for Hedging Activities.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July 2019, the FASB issued 2019-07, </w:t>
      </w:r>
      <w:r>
        <w:rPr>
          <w:rFonts w:ascii="Arial" w:cs="Arial" w:eastAsia="Arial" w:hAnsi="Arial"/>
          <w:sz w:val="18"/>
          <w:szCs w:val="18"/>
          <w:i w:val="1"/>
          <w:iCs w:val="1"/>
          <w:color w:val="auto"/>
        </w:rPr>
        <w:t>Codification Updates to SEC Sections: Amendments to SEC Paragraphs Pursuant to SEC Final Rule</w:t>
      </w:r>
      <w:r>
        <w:rPr>
          <w:rFonts w:ascii="Arial" w:cs="Arial" w:eastAsia="Arial" w:hAnsi="Arial"/>
          <w:sz w:val="18"/>
          <w:szCs w:val="18"/>
          <w:color w:val="auto"/>
        </w:rPr>
        <w:t xml:space="preserve"> </w:t>
      </w:r>
      <w:r>
        <w:rPr>
          <w:rFonts w:ascii="Arial" w:cs="Arial" w:eastAsia="Arial" w:hAnsi="Arial"/>
          <w:sz w:val="18"/>
          <w:szCs w:val="18"/>
          <w:i w:val="1"/>
          <w:iCs w:val="1"/>
          <w:color w:val="auto"/>
        </w:rPr>
        <w:t>Releases No. 33-10532, Disclosure Update and Simplification, and Nos. 33-10231 and 33-10442, Investment Company Reporting Modernization, and Miscellaneous Updates</w:t>
      </w:r>
      <w:r>
        <w:rPr>
          <w:rFonts w:ascii="Arial" w:cs="Arial" w:eastAsia="Arial" w:hAnsi="Arial"/>
          <w:sz w:val="18"/>
          <w:szCs w:val="18"/>
          <w:color w:val="auto"/>
        </w:rPr>
        <w:t>, which amended SEC paragraphs in the ASC to reflect the SEC final rule releases Disclosure Update and Simplification,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Reporting Modernization and other miscellaneous updates. This guidance is effective upon issuance and did not have a material impact on our financial position, results of operations or cash flows.</w:t>
      </w:r>
    </w:p>
    <w:p>
      <w:pPr>
        <w:spacing w:after="0" w:line="18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In May 2019, the FASB issued 2019-05, </w:t>
      </w:r>
      <w:r>
        <w:rPr>
          <w:rFonts w:ascii="Arial" w:cs="Arial" w:eastAsia="Arial" w:hAnsi="Arial"/>
          <w:sz w:val="17"/>
          <w:szCs w:val="17"/>
          <w:i w:val="1"/>
          <w:iCs w:val="1"/>
          <w:color w:val="auto"/>
        </w:rPr>
        <w:t>Financial Instruments—Credit Losses (Topic 326): Targeted Transition Relief</w:t>
      </w:r>
      <w:r>
        <w:rPr>
          <w:rFonts w:ascii="Arial" w:cs="Arial" w:eastAsia="Arial" w:hAnsi="Arial"/>
          <w:sz w:val="17"/>
          <w:szCs w:val="17"/>
          <w:color w:val="auto"/>
        </w:rPr>
        <w:t>, which provides transition relief and allows entities to elect the fair value option on certain financial instruments. We expect to adopt this guidance on January 1, 2020, and we are currently evaluating the effect that our adoption will have on our financial position, results of operations and cash flows.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April 2019, the FASB issued 2019-04, </w:t>
      </w:r>
      <w:r>
        <w:rPr>
          <w:rFonts w:ascii="Arial" w:cs="Arial" w:eastAsia="Arial" w:hAnsi="Arial"/>
          <w:sz w:val="18"/>
          <w:szCs w:val="18"/>
          <w:i w:val="1"/>
          <w:iCs w:val="1"/>
          <w:color w:val="auto"/>
        </w:rPr>
        <w:t>Codification Improvements to Topic 326, Financial Instruments—Credit Losses, Topic 815,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and Topic 825, Financial Instruments</w:t>
      </w:r>
      <w:r>
        <w:rPr>
          <w:rFonts w:ascii="Arial" w:cs="Arial" w:eastAsia="Arial" w:hAnsi="Arial"/>
          <w:sz w:val="18"/>
          <w:szCs w:val="18"/>
          <w:color w:val="auto"/>
        </w:rPr>
        <w:t>, which clarifies certain aspects of accounting for credit losses, hedging activities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adopt this guidance on January 1, 2020, and we are currently evaluating the effect that our adoption will have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present our Supply and Logistics segment, Transportation segment and Facilities segment revenues 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Supply and Logistics segment revenues from contracts with customers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7,185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21,716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color w:val="auto"/>
                <w:w w:val="90"/>
              </w:rPr>
              <w:t>Total Supply and Logistics segment revenues from contracts with customers</w:t>
            </w:r>
          </w:p>
        </w:tc>
        <w:tc>
          <w:tcPr>
            <w:tcW w:w="4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7,387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23,096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Transportation segment revenues from contracts with customers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Trucking</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Transportation segment revenues from contracts with customers</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w w:val="99"/>
              </w:rPr>
              <w:t>13</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174</w:t>
            </w:r>
          </w:p>
        </w:tc>
        <w:tc>
          <w:tcPr>
            <w:tcW w:w="100" w:type="dxa"/>
            <w:vAlign w:val="bottom"/>
          </w:tcPr>
          <w:p>
            <w:pPr>
              <w:spacing w:after="0"/>
              <w:rPr>
                <w:sz w:val="21"/>
                <w:szCs w:val="21"/>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511</w:t>
            </w:r>
          </w:p>
        </w:tc>
      </w:tr>
      <w:tr>
        <w:trPr>
          <w:trHeight w:val="27"/>
        </w:trPr>
        <w:tc>
          <w:tcPr>
            <w:tcW w:w="6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w:t>
            </w: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56</w:t>
            </w:r>
          </w:p>
        </w:tc>
      </w:tr>
      <w:tr>
        <w:trPr>
          <w:trHeight w:val="27"/>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845</w:t>
            </w:r>
          </w:p>
        </w:tc>
      </w:tr>
      <w:tr>
        <w:trPr>
          <w:trHeight w:val="20"/>
        </w:trPr>
        <w:tc>
          <w:tcPr>
            <w:tcW w:w="6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23,480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46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September 30, 2019 and December 31, 2018, counterparty deficiencies associated with contracts with customers and buy/sell arrangements that include minimum volume commitments totaled $50 million and $62 million, respectively, of which $30 million and $40 million, respectively, was recorded as a contract liability. The remaining balance of $20 million and $22 million at September 30, 2019 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nine months ended September 30, 2019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0"/>
        </w:trPr>
        <w:tc>
          <w:tcPr>
            <w:tcW w:w="934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43"/>
        </w:trPr>
        <w:tc>
          <w:tcPr>
            <w:tcW w:w="934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2019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Storage, terminalling and throughput agreement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6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other Supply and Logistics contracts, due to the election of practical expedients related to variable consideration and short-term contracts;</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2019 and December 31, 2018, substantially all of our trade accounts receivable (net of allowance for doubtful accounts) were less than 30 days past their scheduled invoice date. Our allowance for doubtful accounts receivable totaled $3 million at both September 30, 2019 and December 31, 2018. Although we consider our allowance for doubtful accounts receivable to be adequate, actual amounts could vary significantly from estimated amounts.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0"/>
        </w:trPr>
        <w:tc>
          <w:tcPr>
            <w:tcW w:w="8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57"/>
        </w:trPr>
        <w:tc>
          <w:tcPr>
            <w:tcW w:w="830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2018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2018 Annual Report on Form 10-K for information regarding PAGP LTIP awards.</w:t>
      </w:r>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the three and nine months ended September 30, 2019 and 2018, the possible exchange of any AAP units would have had an antidilutive effect on basic net income per Class A share. For the three months ended September 30, 2019 and the three and nine months ended September 30, 2018, the possible exchange of AAP Management units would not have had a dilutive effect on basic net income per Class A share. For the nine months ended September 30, 2019, the possible exchange of AAP Management Units would have had a dilutive effect on basic net income per Class A share. For the three and nine months ended September 30, 2019 and 2018, our PAGP LTIP awards were dilutive; however, there were less than 0.1 million dilutive LTIP awards for each period, which did not change the presentation of weighted average Class A shares outstanding or net income per Class A share.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0.41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Incremental net income attributable to PAGP resulting from assumed exchange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AAP 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 including incremental net income from</w:t>
            </w:r>
          </w:p>
        </w:tc>
        <w:tc>
          <w:tcPr>
            <w:tcW w:w="820" w:type="dxa"/>
            <w:vAlign w:val="bottom"/>
            <w:tcBorders>
              <w:top w:val="single" w:sz="8" w:color="auto"/>
            </w:tcBorders>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assumed exchange of AAP Management Units</w:t>
            </w:r>
          </w:p>
        </w:tc>
        <w:tc>
          <w:tcPr>
            <w:tcW w:w="8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Dilutive shares resulting from assumed exchange of AAP Management Units</w:t>
            </w: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0.41</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8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11,481</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53.65</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13,513</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57.35</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53.34</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1,707</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2,532</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utilized a quantitative assessment in our goodwill impairment test as of June 30, 2019 and determined that there was no impairment of goodwill.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 Interest</w:t>
            </w:r>
          </w:p>
        </w:tc>
        <w:tc>
          <w:tcPr>
            <w:tcW w:w="420" w:type="dxa"/>
            <w:vAlign w:val="bottom"/>
          </w:tcPr>
          <w:p>
            <w:pPr>
              <w:spacing w:after="0"/>
              <w:rPr>
                <w:sz w:val="14"/>
                <w:szCs w:val="14"/>
                <w:color w:val="auto"/>
              </w:rPr>
            </w:pPr>
          </w:p>
        </w:tc>
        <w:tc>
          <w:tcPr>
            <w:tcW w:w="16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Investment Balance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at</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 2019</w:t>
            </w: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8"/>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Holdings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Capline Pipeline Company LLC</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Cheyenne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Terminals”)</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Crude Oil Terminal and Dock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Midway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 Oak Pipeline LLC (“Red Oak”)</w:t>
            </w:r>
          </w:p>
        </w:tc>
        <w:tc>
          <w:tcPr>
            <w:tcW w:w="2620" w:type="dxa"/>
            <w:vAlign w:val="bottom"/>
            <w:gridSpan w:val="2"/>
            <w:shd w:val="clear" w:color="auto" w:fill="CCEEFF"/>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Barge Transportation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STACK Pipeline LLC</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Wink to Webster Pipeline LLC (“W2W Pipeline”)</w:t>
            </w:r>
          </w:p>
        </w:tc>
        <w:tc>
          <w:tcPr>
            <w:tcW w:w="2620" w:type="dxa"/>
            <w:vAlign w:val="bottom"/>
            <w:tcBorders>
              <w:bottom w:val="single" w:sz="8" w:color="CCEEFF"/>
            </w:tcBorders>
            <w:gridSpan w:val="2"/>
          </w:tcPr>
          <w:p>
            <w:pPr>
              <w:jc w:val="center"/>
              <w:ind w:right="8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Capline pipeline was taken out of service in the fourth quarter of 2018. During the third quarter of 2019, the owners of Capline Pipeline Company LLC sanctioned the reversal of the Capline pipeline system.</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and has not yet been placed in service.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Capline LLC. </w:t>
      </w:r>
      <w:r>
        <w:rPr>
          <w:rFonts w:ascii="Arial" w:cs="Arial" w:eastAsia="Arial" w:hAnsi="Arial"/>
          <w:sz w:val="18"/>
          <w:szCs w:val="18"/>
          <w:color w:val="auto"/>
        </w:rPr>
        <w:t>During the first quarter of 2019, the owners of the Capline pipeline system, which originates in St. James, Louisiana and terminates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Illinois, contributed their undivided joint interests in the system to a 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nine months ended September 30, 2019. Such gain is included in “Gain on investment in unconsolidated entities” on our Condensed Consolidated Statement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the expected tariff rates and volumes of crude oil, and the terminal value.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used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W2W Pipeline. </w:t>
      </w:r>
      <w:r>
        <w:rPr>
          <w:rFonts w:ascii="Arial" w:cs="Arial" w:eastAsia="Arial" w:hAnsi="Arial"/>
          <w:sz w:val="17"/>
          <w:szCs w:val="17"/>
          <w:color w:val="auto"/>
        </w:rPr>
        <w:t>In the first quarter of 2019, we announced the formation of W2W Pipeline, a joint venture with subsidiaries of ExxonMobil and</w:t>
      </w:r>
      <w:r>
        <w:rPr>
          <w:rFonts w:ascii="Arial" w:cs="Arial" w:eastAsia="Arial" w:hAnsi="Arial"/>
          <w:sz w:val="17"/>
          <w:szCs w:val="17"/>
          <w:i w:val="1"/>
          <w:iCs w:val="1"/>
          <w:color w:val="auto"/>
        </w:rPr>
        <w:t xml:space="preserve"> </w:t>
      </w:r>
      <w:r>
        <w:rPr>
          <w:rFonts w:ascii="Arial" w:cs="Arial" w:eastAsia="Arial" w:hAnsi="Arial"/>
          <w:sz w:val="17"/>
          <w:szCs w:val="17"/>
          <w:color w:val="auto"/>
        </w:rPr>
        <w:t>Lotus Midstream, LLC. During the third quarter of 2019, three additional entities joined as partners in W2W Pipeline. As a result, our ownership interest in W2W Pipeline decreased from 20% to 16%. We account for our interest in W2W Pipeline under the equity method of accounting. W2W Pipeline is currently developing a new pipeline system that will originate in the Permian Basin in West Texas and transport crude oil to the Texas Gulf Coast. The pipeline system will provide approximately 1.5 million barrels per day of crude oil and condensate capacity, and the project is targeted to commence operations in 2021. W2W Pipeline has entered into an undivided joint-ownership arrangement with a third party whereby the third party has acquired 29% of the capacity of the pipeline segment from Midland, Texas to Webster, Texas, and W2W Pipeline now owns 71% of this segment of the pipeline.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Red Oak. </w:t>
      </w:r>
      <w:r>
        <w:rPr>
          <w:rFonts w:ascii="Arial" w:cs="Arial" w:eastAsia="Arial" w:hAnsi="Arial"/>
          <w:sz w:val="17"/>
          <w:szCs w:val="17"/>
          <w:color w:val="auto"/>
        </w:rPr>
        <w:t>In June 2019, we announced the formation of Red Oak, a joint venture with a subsidiary of Phillips 66. We own a 50% interest in Red Oak,</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in 2021, subject to receipt of applicable permits and regulatory approvals. We account for our interest in Red Oak under the equity method of accounting.</w:t>
      </w:r>
    </w:p>
    <w:p>
      <w:pPr>
        <w:spacing w:after="0" w:line="171"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Once the Red Oak pipeline system is operational, we will record (i) a $155 million increase to our investment in Red Oak associated with our deemed contribution of the value attributable to the capacity lease and (ii) corresponding deferred revenue that will be recognized on a straight-line basis over the initial lease term of 33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2.60% senior notes due December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short-term debt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PAA senior notes, net of unamortized discounts and debt issuance costs of $63 and $59, respectively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w w:val="91"/>
              </w:rPr>
              <w:t>PAA GO Zone term loans, net of debt issuance costs of $1 and $2, respectively, bearing a weighted-average interest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0"/>
              <w:spacing w:after="0"/>
              <w:rPr>
                <w:sz w:val="20"/>
                <w:szCs w:val="20"/>
                <w:color w:val="auto"/>
              </w:rPr>
            </w:pPr>
            <w:r>
              <w:rPr>
                <w:rFonts w:ascii="Arial" w:cs="Arial" w:eastAsia="Arial" w:hAnsi="Arial"/>
                <w:sz w:val="18"/>
                <w:szCs w:val="18"/>
                <w:color w:val="auto"/>
              </w:rPr>
              <w:t>rate of 2.9% and 3.1%, respectively</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5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6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we classified PAA’s $500 million, 2.60% senior notes due December 2019 as long-term based on PAA’s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100" w:hanging="652"/>
        <w:spacing w:after="0" w:line="274"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PAA’s fixed-rate senior notes had a face value of approximately $10.0 billion and $9.0 billion at September 30, 2019 and December 31, 2018, respectively. We estimated the aggregate fair value of these notes as of September 30, 2019 and December 31, 2018 to be approximately $10.3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August 2019, PAA extended the maturity dates of its senior unsecured revolving credit facility and senior secured hedged inventory facility by one year to August 2024 and August 2022, respectively, for each extending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2019 and 2018 were approximately $10.5 billion and $38.6 billion, respectively. Total repayments under the PAA credit facilities and commercial paper program were approximately $10.5 billion and $39.2 billion for the nine months ended September 30,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2019 and December 31, 2018, we had outstanding letters of credit of $149 million and $184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September 2019, PAA completed the issuance of $1.0 billion, 3.55% senior notes due December 2029 at a public offering price of 99.801%.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are due on June 15 and December 15 of each year, commencing on June 15, 2020.</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October 2019, PAA sent notice to the holders of its $500 million, 2.60% senior notes due December 2019 that it will redeem the notes on November 15,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119,604,338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(91,672)</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119,512,666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(12,193,771)</w:t>
            </w:r>
          </w:p>
        </w:tc>
        <w:tc>
          <w:tcPr>
            <w:tcW w:w="10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12,193,771</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603,456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June 30, 2019</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166,817,333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99,987,150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530,053,993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15,173,490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(15,173,490)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(16,254,598)</w:t>
            </w:r>
          </w:p>
        </w:tc>
        <w:tc>
          <w:tcPr>
            <w:tcW w:w="10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16,254,598</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588,771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September 30, 2019</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182,006,009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68,559,062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546,897,362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156,111,139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157,019,038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126,037,449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512,376,348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935,092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(935,092)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(3,084,027)</w:t>
            </w:r>
          </w:p>
        </w:tc>
        <w:tc>
          <w:tcPr>
            <w:tcW w:w="10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3,084,027</w:t>
            </w:r>
          </w:p>
        </w:tc>
        <w:tc>
          <w:tcPr>
            <w:tcW w:w="0" w:type="dxa"/>
            <w:vAlign w:val="bottom"/>
          </w:tcPr>
          <w:p>
            <w:pPr>
              <w:spacing w:after="0"/>
              <w:rPr>
                <w:sz w:val="1"/>
                <w:szCs w:val="1"/>
                <w:color w:val="auto"/>
              </w:rPr>
            </w:pPr>
          </w:p>
        </w:tc>
      </w:tr>
      <w:tr>
        <w:trPr>
          <w:trHeight w:val="244"/>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157,954,130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122,018,330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515,460,375</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1,195,405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(1,195,405)</w:t>
            </w:r>
          </w:p>
        </w:tc>
        <w:tc>
          <w:tcPr>
            <w:tcW w:w="10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183,225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494,400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159,160,785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120,639,700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516,138,000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48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See Note 12 to our Consolidated Financial Statements included in Part IV of our 2018 Annual Report on Form 10-K for information regarding Exchange Rights and Redemption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 and Redemption Right Exercises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nine months ended September 30, 2019, an affiliate of The Energy &amp; Minerals Group (“EMG”) and a subsidiary of Occidental Petroleum Corporation (“Oxy”) exercised their Exchange Right and Redemption Right. The Redemption Right exercises resulted in the issuance of additional Class C shares to PAA. The Exchange Right exercises resulted in the transfer of a portion of partners’ capital from noncontrolling interests to our Class A shareholders and the associated recognition of a deferred tax asset that was recorded as a component of partners’ capital as it resulted from transactions with shareholders.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2019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14"/>
                <w:szCs w:val="14"/>
                <w:color w:val="auto"/>
              </w:rPr>
            </w:pPr>
          </w:p>
        </w:tc>
        <w:tc>
          <w:tcPr>
            <w:tcW w:w="2040" w:type="dxa"/>
            <w:vAlign w:val="bottom"/>
          </w:tcPr>
          <w:p>
            <w:pPr>
              <w:jc w:val="right"/>
              <w:ind w:right="236"/>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jc w:val="right"/>
              <w:ind w:right="67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Class A Shareholders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2040" w:type="dxa"/>
            <w:vAlign w:val="bottom"/>
            <w:shd w:val="clear" w:color="auto" w:fill="CCEEFF"/>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2040" w:type="dxa"/>
            <w:vAlign w:val="bottom"/>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2040" w:type="dxa"/>
            <w:vAlign w:val="bottom"/>
            <w:tcBorders>
              <w:bottom w:val="single" w:sz="8" w:color="CCEEFF"/>
            </w:tcBorders>
            <w:shd w:val="clear" w:color="auto" w:fill="CCEEFF"/>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2040" w:type="dxa"/>
            <w:vAlign w:val="bottom"/>
          </w:tcPr>
          <w:p>
            <w:pPr>
              <w:jc w:val="right"/>
              <w:ind w:right="1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Payable to shareholders of record at the close of business on October 31, 2019 for the period from July 1, 2019 through September 30,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As of September 30, 2019, noncontrolling interests in our subsidiaries consisted of (i) limited partner interests in PAA including a 68% interest in PAA’s common units and PAA’s Series A preferred units combined and 100% of PAA’s Series B preferred units, (ii) an approximate 27% limited partner interest in AAP and (iii) a 33% interest in Red River Pipeline Company LLC (“Red River LLC”), as discussed further below.</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May 2019, we formed a joint venture, Red River LLC, with Delek Logistics Partners, LP (“Delek”) on our Red River pipeline system. We received approximately $128 million for Delek’s 33% interest in Red River LLC. We consolidate Red River LLC, with Delek’s 33% interest accounted for as a noncontrolling interest.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Series A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5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October 31, 2019 for the period from July 1, 2019 through September 30, 2019. At September 30, 2019, such amount was accrued to distributions payable in “Other current liabilities” on our Condensed Consolidated Balance Sheet.</w:t>
      </w:r>
    </w:p>
    <w:p>
      <w:pPr>
        <w:spacing w:after="0" w:line="18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The following table details distributions paid or to be paid to PAA’s Series B preferred unitholders during the first nine months of 2019 (in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6"/>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30.625</w:t>
            </w:r>
          </w:p>
        </w:tc>
      </w:tr>
      <w:tr>
        <w:trPr>
          <w:trHeight w:val="270"/>
        </w:trPr>
        <w:tc>
          <w:tcPr>
            <w:tcW w:w="7980" w:type="dxa"/>
            <w:vAlign w:val="bottom"/>
            <w:gridSpan w:val="3"/>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tcPr>
          <w:p>
            <w:pPr>
              <w:spacing w:after="0"/>
              <w:rPr>
                <w:sz w:val="23"/>
                <w:szCs w:val="2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30.625</w:t>
            </w:r>
          </w:p>
        </w:tc>
      </w:tr>
      <w:tr>
        <w:trPr>
          <w:trHeight w:val="257"/>
        </w:trPr>
        <w:tc>
          <w:tcPr>
            <w:tcW w:w="3940" w:type="dxa"/>
            <w:vAlign w:val="bottom"/>
            <w:tcBorders>
              <w:bottom w:val="single" w:sz="8" w:color="auto"/>
            </w:tcBorders>
          </w:tcPr>
          <w:p>
            <w:pPr>
              <w:spacing w:after="0"/>
              <w:rPr>
                <w:sz w:val="22"/>
                <w:szCs w:val="22"/>
                <w:color w:val="auto"/>
              </w:rPr>
            </w:pPr>
          </w:p>
        </w:tc>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4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November 1, 2019 for the period from May 15, 2019 through November 14, 2019.</w:t>
      </w:r>
    </w:p>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September 30, 2019, we had accrued approximately $18 million of distributions payable to PAA’s Series B preferred unitholders in “Other current liabilities” on our Condensed Consolidated Balance Sheet.</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2"/>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101</w:t>
            </w:r>
          </w:p>
        </w:tc>
        <w:tc>
          <w:tcPr>
            <w:tcW w:w="78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October 31, 2019 for the period from July 1, 2019 through September 30, 2019.</w:t>
      </w:r>
    </w:p>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nine months of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Distribution to AAP</w:t>
            </w:r>
            <w:r>
              <w:rPr>
                <w:rFonts w:ascii="Arial" w:cs="Arial" w:eastAsia="Arial" w:hAnsi="Arial"/>
                <w:sz w:val="18"/>
                <w:szCs w:val="18"/>
                <w:color w:val="auto"/>
                <w:w w:val="99"/>
              </w:rPr>
              <w:t>’</w:t>
            </w:r>
            <w:r>
              <w:rPr>
                <w:rFonts w:ascii="Arial" w:cs="Arial" w:eastAsia="Arial" w:hAnsi="Arial"/>
                <w:sz w:val="14"/>
                <w:szCs w:val="14"/>
                <w:b w:val="1"/>
                <w:bCs w:val="1"/>
                <w:color w:val="auto"/>
                <w:w w:val="99"/>
              </w:rPr>
              <w:t>s Partners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Total Cash Distributions</w:t>
            </w:r>
          </w:p>
        </w:tc>
      </w:tr>
      <w:tr>
        <w:trPr>
          <w:trHeight w:val="270"/>
        </w:trPr>
        <w:tc>
          <w:tcPr>
            <w:tcW w:w="5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August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96</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October 31, 2019 for the period from July 1, 2019 through September 30, 2019.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September 30, 2019, distributions of $4 million were paid to noncontrolling interests in Red River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2019, net derivative positions related to these activities included:</w:t>
      </w:r>
    </w:p>
    <w:p>
      <w:pPr>
        <w:spacing w:after="0" w:line="147" w:lineRule="exact"/>
        <w:rPr>
          <w:sz w:val="20"/>
          <w:szCs w:val="20"/>
          <w:color w:val="auto"/>
        </w:rPr>
      </w:pPr>
    </w:p>
    <w:p>
      <w:pPr>
        <w:ind w:left="980" w:right="2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long position of 3.1 million barrels associated with our crude oil purchases, which was unwound ratably during October 2019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time spread position of 6.9 million barrels, which hedges a portion of our anticipated crude oil lease gathering purchases through December 2020.</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crude oil basis spread position of 23.1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position of 12.1 million barrels through December 2021 related to anticipated net sales of crude oil and NGL inventory.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September 30, 2019, we used derivatives to manage the risk that a portion of our storage capacity will not be utilized (an average of approximately 0.9 million barrels per month of storage capacity through January 2021). These positions involve no outright price exposure, but instead enable us to profitably use the capacity to store hedged crude oil.</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Notional Volume</w:t>
            </w:r>
          </w:p>
        </w:tc>
        <w:tc>
          <w:tcPr>
            <w:tcW w:w="2260" w:type="dxa"/>
            <w:vAlign w:val="bottom"/>
          </w:tcPr>
          <w:p>
            <w:pPr>
              <w:spacing w:after="0"/>
              <w:rPr>
                <w:sz w:val="18"/>
                <w:szCs w:val="18"/>
                <w:color w:val="auto"/>
              </w:rPr>
            </w:pPr>
          </w:p>
        </w:tc>
      </w:tr>
      <w:tr>
        <w:trPr>
          <w:trHeight w:val="270"/>
        </w:trPr>
        <w:tc>
          <w:tcPr>
            <w:tcW w:w="6720" w:type="dxa"/>
            <w:vAlign w:val="bottom"/>
          </w:tcPr>
          <w:p>
            <w:pPr>
              <w:spacing w:after="0"/>
              <w:rPr>
                <w:sz w:val="23"/>
                <w:szCs w:val="2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(Short)/Long</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Tenor</w:t>
            </w:r>
          </w:p>
        </w:tc>
      </w:tr>
      <w:tr>
        <w:trPr>
          <w:trHeight w:val="33"/>
        </w:trPr>
        <w:tc>
          <w:tcPr>
            <w:tcW w:w="67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59.5 Bcf</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(5.7)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(2.7)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(0.7)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March 2021</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Specification products sales (put option)</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0.1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2020</w:t>
            </w:r>
          </w:p>
        </w:tc>
      </w:tr>
      <w:tr>
        <w:trPr>
          <w:trHeight w:val="341"/>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5"/>
                <w:szCs w:val="25"/>
                <w:color w:val="auto"/>
                <w:vertAlign w:val="superscript"/>
              </w:rPr>
              <w:t>(1)</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 TWh</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12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September 30, 2019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2019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 Annual Report on Form 10-K for additional information regarding the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00" w:type="dxa"/>
            <w:vAlign w:val="bottom"/>
            <w:gridSpan w:val="4"/>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00" w:type="dxa"/>
            <w:vAlign w:val="bottom"/>
            <w:gridSpan w:val="4"/>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00" w:type="dxa"/>
            <w:vAlign w:val="bottom"/>
            <w:gridSpan w:val="4"/>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Nine Months Ended September 30, 2018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00" w:type="dxa"/>
            <w:vAlign w:val="bottom"/>
            <w:gridSpan w:val="4"/>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gain/(loss) on derivatives recognized in net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vMerge w:val="restart"/>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180" w:type="dxa"/>
            <w:vAlign w:val="bottom"/>
            <w:gridSpan w:val="2"/>
            <w:vMerge w:val="restart"/>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75"/>
              </w:rPr>
              <w:t>(1)</w:t>
            </w:r>
          </w:p>
        </w:tc>
        <w:tc>
          <w:tcPr>
            <w:tcW w:w="3760" w:type="dxa"/>
            <w:vAlign w:val="bottom"/>
          </w:tcPr>
          <w:p>
            <w:pPr>
              <w:ind w:left="480"/>
              <w:spacing w:after="0"/>
              <w:rPr>
                <w:sz w:val="20"/>
                <w:szCs w:val="20"/>
                <w:color w:val="auto"/>
              </w:rPr>
            </w:pPr>
            <w:r>
              <w:rPr>
                <w:rFonts w:ascii="Arial" w:cs="Arial" w:eastAsia="Arial" w:hAnsi="Arial"/>
                <w:sz w:val="18"/>
                <w:szCs w:val="18"/>
                <w:color w:val="auto"/>
              </w:rPr>
              <w:t>Derivatives not designated as a hedge.</w:t>
            </w:r>
          </w:p>
        </w:tc>
        <w:tc>
          <w:tcPr>
            <w:tcW w:w="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80" w:type="dxa"/>
            <w:vAlign w:val="bottom"/>
            <w:gridSpan w:val="2"/>
          </w:tcPr>
          <w:p>
            <w:pPr>
              <w:jc w:val="right"/>
              <w:spacing w:after="0"/>
              <w:rPr>
                <w:sz w:val="20"/>
                <w:szCs w:val="20"/>
                <w:color w:val="auto"/>
              </w:rPr>
            </w:pPr>
            <w:r>
              <w:rPr>
                <w:rFonts w:ascii="Arial" w:cs="Arial" w:eastAsia="Arial" w:hAnsi="Arial"/>
                <w:sz w:val="13"/>
                <w:szCs w:val="13"/>
                <w:color w:val="auto"/>
                <w:w w:val="87"/>
              </w:rPr>
              <w:t>(2)</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Derivatives in hedging relationships.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millions):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9"/>
          </w:tcPr>
          <w:p>
            <w:pPr>
              <w:jc w:val="right"/>
              <w:ind w:right="1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89"/>
              </w:rPr>
              <w:t xml:space="preserve">Derivatives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76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2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r>
      <w:tr>
        <w:trPr>
          <w:trHeight w:val="297"/>
        </w:trPr>
        <w:tc>
          <w:tcPr>
            <w:tcW w:w="8560" w:type="dxa"/>
            <w:vAlign w:val="bottom"/>
          </w:tcPr>
          <w:p>
            <w:pPr>
              <w:ind w:left="40"/>
              <w:spacing w:after="0"/>
              <w:rPr>
                <w:sz w:val="20"/>
                <w:szCs w:val="20"/>
                <w:color w:val="auto"/>
              </w:rPr>
            </w:pPr>
            <w:r>
              <w:rPr>
                <w:rFonts w:ascii="Arial" w:cs="Arial" w:eastAsia="Arial" w:hAnsi="Arial"/>
                <w:sz w:val="18"/>
                <w:szCs w:val="18"/>
                <w:color w:val="auto"/>
              </w:rPr>
              <w:t>Variation margin returned</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broker payable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2018</w:t>
            </w:r>
          </w:p>
        </w:tc>
      </w:tr>
      <w:tr>
        <w:trPr>
          <w:trHeight w:val="152"/>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collateral received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0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September 30, 2019, there was a net loss of $281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September 30, 2019, we expect to reclassify a net loss of $10 million to earnings in the next twelve months. We estimate that substantially all of the remaining deferred loss will be reclassified to earnings through 2050 as the underlying hedged transactions impact earnings. A portion of these amounts is based on market prices as of September 30, 2019;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4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2018</w:t>
            </w: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2019 and December 31, 2018,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2019</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2018</w:t>
            </w:r>
          </w:p>
        </w:tc>
        <w:tc>
          <w:tcPr>
            <w:tcW w:w="6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ind w:left="660" w:right="12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8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1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140"/>
        <w:spacing w:after="0" w:line="257" w:lineRule="auto"/>
        <w:rPr>
          <w:rFonts w:ascii="Arial" w:cs="Arial" w:eastAsia="Arial" w:hAnsi="Arial"/>
          <w:sz w:val="25"/>
          <w:szCs w:val="25"/>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188" w:lineRule="exact"/>
        <w:rPr>
          <w:rFonts w:ascii="Arial" w:cs="Arial" w:eastAsia="Arial" w:hAnsi="Arial"/>
          <w:sz w:val="25"/>
          <w:szCs w:val="25"/>
          <w:color w:val="auto"/>
          <w:vertAlign w:val="superscript"/>
        </w:rPr>
      </w:pPr>
    </w:p>
    <w:p>
      <w:pPr>
        <w:ind w:left="660" w:right="10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gains/(losses) included in earnings relating to Level 3</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components of lease cost, including both amounts recognized in income and amounts capitalized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September 30, 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immaterial finance lease costs, variable lease costs and sublease income.</w:t>
      </w:r>
    </w:p>
    <w:p>
      <w:pPr>
        <w:spacing w:after="0" w:line="30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information related to cash flows arising from lease transactions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9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7"/>
              </w:rPr>
              <w:t>September 30, 2019</w:t>
            </w: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101</w:t>
            </w:r>
          </w:p>
        </w:tc>
      </w:tr>
      <w:tr>
        <w:trPr>
          <w:trHeight w:val="27"/>
        </w:trPr>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r>
      <w:tr>
        <w:trPr>
          <w:trHeight w:val="324"/>
        </w:trPr>
        <w:tc>
          <w:tcPr>
            <w:tcW w:w="9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change in lease liabilities arising from obtaining new right of use assets or modifications: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16</w:t>
            </w:r>
          </w:p>
        </w:tc>
      </w:tr>
      <w:tr>
        <w:trPr>
          <w:trHeight w:val="27"/>
        </w:trPr>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9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r>
      <w:tr>
        <w:trPr>
          <w:trHeight w:val="27"/>
        </w:trPr>
        <w:tc>
          <w:tcPr>
            <w:tcW w:w="9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85"/>
              </w:rPr>
              <w:t>10.2</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87"/>
              </w:rPr>
              <w:t>3.6</w:t>
            </w:r>
          </w:p>
        </w:tc>
      </w:tr>
      <w:tr>
        <w:trPr>
          <w:trHeight w:val="324"/>
        </w:trPr>
        <w:tc>
          <w:tcPr>
            <w:tcW w:w="4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9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760" w:type="dxa"/>
            <w:vAlign w:val="bottom"/>
            <w:gridSpan w:val="2"/>
          </w:tcPr>
          <w:p>
            <w:pPr>
              <w:jc w:val="center"/>
              <w:ind w:left="4850"/>
              <w:spacing w:after="0"/>
              <w:rPr>
                <w:sz w:val="20"/>
                <w:szCs w:val="20"/>
                <w:color w:val="auto"/>
              </w:rPr>
            </w:pPr>
            <w:r>
              <w:rPr>
                <w:rFonts w:ascii="Arial" w:cs="Arial" w:eastAsia="Arial" w:hAnsi="Arial"/>
                <w:sz w:val="18"/>
                <w:szCs w:val="18"/>
                <w:color w:val="auto"/>
                <w:w w:val="92"/>
              </w:rPr>
              <w:t>4.5%</w:t>
            </w:r>
          </w:p>
        </w:tc>
      </w:tr>
      <w:tr>
        <w:trPr>
          <w:trHeight w:val="27"/>
        </w:trPr>
        <w:tc>
          <w:tcPr>
            <w:tcW w:w="4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6760" w:type="dxa"/>
            <w:vAlign w:val="bottom"/>
            <w:tcBorders>
              <w:bottom w:val="single" w:sz="8" w:color="CCEEFF"/>
            </w:tcBorders>
            <w:gridSpan w:val="2"/>
            <w:shd w:val="clear" w:color="auto" w:fill="CCEEFF"/>
          </w:tcPr>
          <w:p>
            <w:pPr>
              <w:jc w:val="center"/>
              <w:ind w:left="4850"/>
              <w:spacing w:after="0"/>
              <w:rPr>
                <w:sz w:val="20"/>
                <w:szCs w:val="20"/>
                <w:color w:val="auto"/>
              </w:rPr>
            </w:pPr>
            <w:r>
              <w:rPr>
                <w:rFonts w:ascii="Arial" w:cs="Arial" w:eastAsia="Arial" w:hAnsi="Arial"/>
                <w:sz w:val="18"/>
                <w:szCs w:val="18"/>
                <w:color w:val="auto"/>
                <w:w w:val="92"/>
              </w:rPr>
              <w:t>2.4%</w:t>
            </w:r>
          </w:p>
        </w:tc>
      </w:tr>
      <w:tr>
        <w:trPr>
          <w:trHeight w:val="905"/>
        </w:trPr>
        <w:tc>
          <w:tcPr>
            <w:tcW w:w="4640" w:type="dxa"/>
            <w:vAlign w:val="bottom"/>
          </w:tcPr>
          <w:p>
            <w:pPr>
              <w:spacing w:after="0"/>
              <w:rPr>
                <w:sz w:val="24"/>
                <w:szCs w:val="24"/>
                <w:color w:val="auto"/>
              </w:rPr>
            </w:pPr>
          </w:p>
        </w:tc>
        <w:tc>
          <w:tcPr>
            <w:tcW w:w="4940" w:type="dxa"/>
            <w:vAlign w:val="bottom"/>
          </w:tcPr>
          <w:p>
            <w:pPr>
              <w:jc w:val="right"/>
              <w:ind w:right="3690"/>
              <w:spacing w:after="0"/>
              <w:rPr>
                <w:sz w:val="20"/>
                <w:szCs w:val="20"/>
                <w:color w:val="auto"/>
              </w:rPr>
            </w:pPr>
            <w:r>
              <w:rPr>
                <w:rFonts w:ascii="Arial" w:cs="Arial" w:eastAsia="Arial" w:hAnsi="Arial"/>
                <w:sz w:val="18"/>
                <w:szCs w:val="18"/>
                <w:color w:val="auto"/>
              </w:rPr>
              <w:t>32</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Condensed Consolidated Balance Sheet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7"/>
              </w:rPr>
              <w:t>September 30, 2019</w:t>
            </w: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97"/>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538</w:t>
            </w:r>
          </w:p>
        </w:tc>
      </w:tr>
      <w:tr>
        <w:trPr>
          <w:trHeight w:val="311"/>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Long-term operating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37"/>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long-term debt,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324"/>
        </w:trPr>
        <w:tc>
          <w:tcPr>
            <w:tcW w:w="4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57"/>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reconciled to our lease liabilities on our Condensed Consolidated Balance Sheet (amounts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discount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Excludes future minimum payments for short-term and other immaterial leases not included on our Condensed Consolidated Balance Sheet.</w:t>
      </w:r>
    </w:p>
    <w:p>
      <w:pPr>
        <w:spacing w:after="0" w:line="200" w:lineRule="exact"/>
        <w:rPr>
          <w:rFonts w:ascii="Arial" w:cs="Arial" w:eastAsia="Arial" w:hAnsi="Arial"/>
          <w:sz w:val="24"/>
          <w:szCs w:val="24"/>
          <w:color w:val="auto"/>
          <w:vertAlign w:val="superscript"/>
        </w:rPr>
      </w:pPr>
    </w:p>
    <w:p>
      <w:pPr>
        <w:spacing w:after="0" w:line="24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three and nine months ended September 30, 2019, our lease revenue was not material.</w:t>
      </w:r>
    </w:p>
    <w:p>
      <w:pPr>
        <w:spacing w:after="0" w:line="193"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September 30, 2019. This presentation includes minimum fixed lease payments and does not include an estimate of variable lease consideration. These agreements have remaining lease terms ranging from two years to 23 years. The following table presents the undiscounted cash flows expected to be received related to these agreements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Remainder</w:t>
            </w: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of 2019</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16 to our Consolidated Financial Statements included in Part IV of our 2018 Annual Report on Form 10-K for a complete discussion of our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Ownership of our Class C Shares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September 30, 2019 and December 31, 2018, PAA owned 546,897,362 and 516,938,280,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7 for additional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September 30, 2019, Kayne Anderson Capital Advisors, L.P. was a principal owner. Through various transactions by EMG in May 2019, EMG’s limited partner interest in AAP was significantly reduced, which caused EMG to lose its right to designate a representative on the board of directors of our general partner. As a result, EMG’s board designee, John T. Raymond, was automatically removed from the board of directors of our general partner. Subsequent to such removal, Mr. Raymond was elected to continue to serve as a director of the board. Additionally, as a result of various transactions by Oxy in September 2019, Oxy no longer holds a limited partner interest in AAP and lost its right to designate a representative on the board of directors of our general partner. As a result, Oxy’s board designee, Oscar Brown, was automatically removed from the board of directors of our general partner. Following these transactions, we no longer recognize EMG or Oxy as a principal owner.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jc w:val="both"/>
        <w:ind w:right="40" w:firstLine="446"/>
        <w:spacing w:after="0" w:line="302" w:lineRule="auto"/>
        <w:rPr>
          <w:sz w:val="20"/>
          <w:szCs w:val="20"/>
          <w:color w:val="auto"/>
        </w:rPr>
      </w:pPr>
      <w:r>
        <w:rPr>
          <w:rFonts w:ascii="Arial" w:cs="Arial" w:eastAsia="Arial" w:hAnsi="Arial"/>
          <w:sz w:val="16"/>
          <w:szCs w:val="16"/>
          <w:color w:val="auto"/>
        </w:rPr>
        <w:t>During the three and nine months ended September 30, 2019 and 2018,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832</w:t>
            </w:r>
          </w:p>
        </w:tc>
      </w:tr>
      <w:tr>
        <w:trPr>
          <w:trHeight w:val="297"/>
        </w:trPr>
        <w:tc>
          <w:tcPr>
            <w:tcW w:w="5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55" w:lineRule="exact"/>
        <w:rPr>
          <w:rFonts w:ascii="Arial" w:cs="Arial" w:eastAsia="Arial" w:hAnsi="Arial"/>
          <w:sz w:val="22"/>
          <w:szCs w:val="22"/>
          <w:color w:val="auto"/>
          <w:vertAlign w:val="superscript"/>
        </w:rPr>
      </w:pPr>
    </w:p>
    <w:p>
      <w:pPr>
        <w:ind w:left="660" w:right="240" w:hanging="652"/>
        <w:spacing w:after="0" w:line="208"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r>
      <w:tr>
        <w:trPr>
          <w:trHeight w:val="297"/>
        </w:trPr>
        <w:tc>
          <w:tcPr>
            <w:tcW w:w="8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49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98" w:lineRule="exact"/>
        <w:rPr>
          <w:rFonts w:ascii="Arial" w:cs="Arial" w:eastAsia="Arial" w:hAnsi="Arial"/>
          <w:sz w:val="25"/>
          <w:szCs w:val="25"/>
          <w:color w:val="auto"/>
          <w:vertAlign w:val="superscript"/>
        </w:rPr>
      </w:pPr>
    </w:p>
    <w:p>
      <w:pPr>
        <w:ind w:left="660" w:right="340" w:hanging="652"/>
        <w:spacing w:after="0" w:line="214"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5"/>
          <w:szCs w:val="25"/>
          <w:color w:val="auto"/>
          <w:vertAlign w:val="superscript"/>
        </w:rPr>
      </w:pPr>
    </w:p>
    <w:p>
      <w:pPr>
        <w:ind w:left="660" w:right="140" w:hanging="652"/>
        <w:spacing w:after="0" w:line="252"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A portion of our commitment to transport is supported by crude oil buy/sell agreements with third parties with commensurate quantities.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September 30, 2019, our estimated undiscounted reserve for environmental liabilities (including liabilities related to the Line 901 incident, as discussed further below) totaled $135 million, of which $62 million was classified as short-term and $73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Condensed Consolidated Balance Sheets. At September 30, 2019, we had recorded receivables totaling $62 million for amounts probable of recovery under insurance and from third parties under indemnification agreements, of which $31 million was classified as short-term and $31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Condensed Consolidated Balance Sheets.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civil charges brought against us, in the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80" w:firstLine="8"/>
        <w:spacing w:after="0" w:line="290"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There were also two securities law class action lawsuits filed on behalf of certain purported investors in PAA and/or PAGP against PAA,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PAA’s pipelines and related facilities through false and misleading statements, omission of material facts and concealing of the true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extent of the spill. The plaintiffs claimed unspecified damages as a result of the reduction in value of their investments in PAA and PAGP, which they attributed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The time period for a further appeal to the U.S. Supreme Court has lapsed so this ruling is now final.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spacing w:after="0" w:line="1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Plaintiffs amended and refiled their complaint on June 3, 2019.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6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PAA and the Trustees jointly and independently planned and conducted a number of natural resource assessment activities related to the Line 901 incident. We are currently involved in discussions with the Trustees to determine the amount we will be required to pay as compensation for injuries to, destruction of, loss of, or loss of use of natural resources resulting from the Line 901 incident. We also have exposure to the payment of additional fines, penalties and costs under other applicable federal, state and local laws, statutes and regulations. We are actively involved in discussions with the relevant federal and state agencies to determine the amount of such fines, penalties and costs, and we have included an estimate of such costs in the loss accrual described below. To the extent any unpaid natural resource damages or other fines, penalties or costs are reasonably estimable, we have included an estimate of such costs in the loss accrual described below.</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September 30, 2019, we estimate that the aggregate total costs we have incurred or will incur with respect to the Line 901 incident will be approximately $380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2019, we had a remaining undiscounted gross liability of $79 million related to this event, of which approximately $52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2019, we had collected, subject to customary reservations, $200 million out of the approximate $255 million of release costs that we believe are probable of recovery from insurance carriers, net of deductibles. Therefore, as of September 30, 2019, we have recognized a receivable of approximately $55 million for the portion of the release costs that we believe is probable of recovery from insurance, net of deductibles and amounts already collected. Of this amount, approximately $26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San Joaquin Valley Air Pollution Control District. </w:t>
      </w:r>
      <w:r>
        <w:rPr>
          <w:rFonts w:ascii="Arial" w:cs="Arial" w:eastAsia="Arial" w:hAnsi="Arial"/>
          <w:sz w:val="18"/>
          <w:szCs w:val="18"/>
          <w:color w:val="auto"/>
        </w:rPr>
        <w:t>After conducting inspections of the Plains LPG Services, L.P. (“Plains LPG”) facility in Shafter,</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during March and June of 2018, the San Joaquin Valley Air Pollution Control District (the “District”) issued four Notices of Violation which totaled $597,000 in the aggregate. Plains LPG entered into a settlement with the District whereby Plains LPG agreed to enter the District’s INSPECT program (a self-reporting and inspection program) and pay a reduced fine of $275,000, which was paid in July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8,483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24"/>
                <w:szCs w:val="2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23,477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51"/>
        </w:trPr>
        <w:tc>
          <w:tcPr>
            <w:tcW w:w="41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24,374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24,376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20" w:hanging="652"/>
        <w:spacing w:after="0" w:line="253"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83" w:lineRule="exact"/>
        <w:rPr>
          <w:rFonts w:ascii="Arial" w:cs="Arial" w:eastAsia="Arial" w:hAnsi="Arial"/>
          <w:sz w:val="24"/>
          <w:szCs w:val="24"/>
          <w:color w:val="auto"/>
          <w:vertAlign w:val="superscript"/>
        </w:rPr>
      </w:pPr>
    </w:p>
    <w:p>
      <w:pPr>
        <w:ind w:left="660" w:right="160" w:hanging="652"/>
        <w:spacing w:after="0" w:line="262"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9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9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of, and gains and losses on significant asset sales by, unconsolidated entities.</w:t>
      </w:r>
    </w:p>
    <w:p>
      <w:pPr>
        <w:spacing w:after="0" w:line="98" w:lineRule="exact"/>
        <w:rPr>
          <w:rFonts w:ascii="Arial" w:cs="Arial" w:eastAsia="Arial" w:hAnsi="Arial"/>
          <w:sz w:val="22"/>
          <w:szCs w:val="22"/>
          <w:color w:val="auto"/>
          <w:vertAlign w:val="superscript"/>
        </w:rPr>
      </w:pPr>
    </w:p>
    <w:p>
      <w:pPr>
        <w:ind w:left="660" w:hanging="652"/>
        <w:spacing w:after="0" w:line="238"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180" w:hanging="652"/>
        <w:spacing w:after="0" w:line="271"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201"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95" w:lineRule="exact"/>
        <w:rPr>
          <w:rFonts w:ascii="Arial" w:cs="Arial" w:eastAsia="Arial" w:hAnsi="Arial"/>
          <w:sz w:val="25"/>
          <w:szCs w:val="25"/>
          <w:color w:val="auto"/>
          <w:vertAlign w:val="superscript"/>
        </w:rPr>
      </w:pPr>
    </w:p>
    <w:p>
      <w:pPr>
        <w:ind w:left="660" w:right="24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Provincial Taxes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of our Canadian operations are conducted by entities that are treated as corporations for Canadian tax purposes (flow through for U.S. income tax purposes) and that are subject to Canadian federal and provincial taxes. 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 Exercises</w:t>
      </w:r>
    </w:p>
    <w:p>
      <w:pPr>
        <w:spacing w:after="0" w:line="14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a result of the exchange of the ownership interests in AAP by EMG and Oxy during the nine months ended September 30, 2019, we recognized a deferred tax asset. See Note 9 for additional information regarding these transactions. See Note 14 to our Consolidated Financial Statements included in Part IV of our 2018 Annual Report on Form 10-K for information regarding the recognition of deferred tax assets associated with Exchange Right exercises.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September 30, 2019, our sole cash-generating assets consisted of (i) a 100% managing member interest in Plains All American GP LLC (“GP LLC”) that has also elected to be taxed as a corporation for United States federal income tax purposes and (ii) an approximate 73% limited partner interest in AAP through our direct ownership of approximately 181.0 million AAP units and indirect ownership of approximately 1.0 million AAP units through GP LLC. GP LLC is a Delaware limited liability company that also holds the non-economic general partner interest in AAP. AAP is a Delaware limited partnership that, as of September 30, 2019, directly owned a limited partner interest in PAA through its ownership of approximately 252.2 million PAA common units (approximately 32%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Operations—Analysis of Operating Segments” for further discussion.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first nine months of 2019, we recognized net income of $1.771 billion as compared to net income of $1.046 billion recognized during the first nine months of 2018. The increase in net income over the comparative periods was driven by:</w:t>
      </w:r>
    </w:p>
    <w:p>
      <w:pPr>
        <w:spacing w:after="0" w:line="170" w:lineRule="exact"/>
        <w:rPr>
          <w:sz w:val="20"/>
          <w:szCs w:val="20"/>
          <w:color w:val="auto"/>
        </w:rPr>
      </w:pPr>
    </w:p>
    <w:p>
      <w:pPr>
        <w:ind w:left="1300" w:right="40" w:hanging="32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results from our Supply and Logistics segment due to the realization of favorable crude oil differentials, primarily in the Permian Basin and Canada, higher NGL margins and more favorable impacts in the 2019 period from the mark-to-market of certain derivative instruments;</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 and</w:t>
      </w:r>
    </w:p>
    <w:p>
      <w:pPr>
        <w:spacing w:after="0" w:line="170" w:lineRule="exact"/>
        <w:rPr>
          <w:rFonts w:ascii="Arial" w:cs="Arial" w:eastAsia="Arial" w:hAnsi="Arial"/>
          <w:sz w:val="18"/>
          <w:szCs w:val="18"/>
          <w:color w:val="auto"/>
        </w:rPr>
      </w:pPr>
    </w:p>
    <w:p>
      <w:pPr>
        <w:ind w:left="1300" w:right="80" w:hanging="320"/>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non-cash gain of $269 million recognized in the current period related to a fair value adjustment resulting from the accounting for the contribution of our undivided joint interest in the Capline pipeline system for an equity interest in Capline Pipeline Company LLC compared to a gain of $210 million recognized in 2018 related to the sale of a portion of our interest in BridgeTex Pipeline Company LLC; partially offset by</w:t>
      </w:r>
    </w:p>
    <w:p>
      <w:pPr>
        <w:spacing w:after="0" w:line="186"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due to additional depreciation expense associated with the completion of various capital expansion projects;</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unfavorable impact to the 2019 comparative period of a net gain on asset sales and asset impairments of $79 million for nine months ended September 30, 2018; and</w:t>
      </w:r>
    </w:p>
    <w:p>
      <w:pPr>
        <w:spacing w:after="0" w:line="170"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income tax expense primarily due to higher income attributable to PAGP and a change in our effective tax rate in the first quarter of 2019.</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invested $988 million in midstream infrastructure projects during the nine months ended September 30, 2019, and we expect expansion capital for the full year of 2019 to be approximately $1.35 billion, primarily related to projects under development in the Permian Basin. See the “—Acquisitions and Capital Projects” section below for additional information.</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2019, we also announced the formation of several strategic joint ventures, including Wink to Webster Pipeline LLC, Red Oak Pipeline LLC and Red River Pipeline Company LLC. See Note 7 and Note 9 to our Condensed Consolidated Financial Statements for additional information.</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paid approximately $882 million of cash distributions to our Class A shareholders and noncontrolling interests during the nine months ended September 30, 2019. In October 2019, we declared a quarterly cash distribution of $0.36 per Class A share to be paid on November 14, 2019. Also in October 2019, PAA declared (i) quarterly cash distributions of $0.36 per common unit (a total distribution of $262 million) and $0.525 per Series A preferred unit (a total distribution of $37 million) to be paid on November 14, 2019 and (ii) the semiannual cash distribution of $30.625 per Series B preferred unit (a total distribution of $24.5 million) to be paid on November 15,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 Completion and Financial Policy Update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August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During 2017 and 2018, PAA made meaningful progress in executing the PAA Leverage Reduction Plan and in April 2019, PAA announced its achievement of the remaining objectives. Concurrent with the completion of the PAA Leverage Reduction Plan, PAA completed a review of its approach to its capital allocation process, targeted leverage metrics and distribution management policies. As part of the April 2019 announcement, PAA provided several updates regarding its financial policy, including the following actions:</w:t>
      </w:r>
    </w:p>
    <w:p>
      <w:pPr>
        <w:spacing w:after="0" w:line="97" w:lineRule="exact"/>
        <w:rPr>
          <w:sz w:val="20"/>
          <w:szCs w:val="20"/>
          <w:color w:val="auto"/>
        </w:rPr>
      </w:pPr>
    </w:p>
    <w:p>
      <w:pPr>
        <w:ind w:left="5620" w:right="2720" w:hanging="5288"/>
        <w:spacing w:after="0" w:line="559"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Lowering PAA’s targeted long-term debt to Adjusted EBITDA leverage ratio by 0.5x to a range of 3.0x to 3.5x; 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 long-term sustainable minimum annual PAA distribution coverage level of 130% underpinned by predominantly fee-based cash flows; and</w:t>
      </w:r>
    </w:p>
    <w:p>
      <w:pPr>
        <w:spacing w:after="0" w:line="170"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PAA’s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These actions reflect PAA’s dedication to optimizing sustainable unitholder value while also preserving and enhancing PAA’s financial flexibility, further reducing leverage and improving its credit profile, with an objective of achieving mid-BBB equivalent credit ratings over time. Consistent with those objectives, PAA announced that it intends to continue to focus on activities to enhance investment returns and reinforce capital discipline through asset optimization, joint ventures, potential divestitures and similar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capital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0"/>
        </w:trPr>
        <w:tc>
          <w:tcPr>
            <w:tcW w:w="8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1,370</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r>
      <w:tr>
        <w:trPr>
          <w:trHeight w:val="237"/>
        </w:trPr>
        <w:tc>
          <w:tcPr>
            <w:tcW w:w="832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1,556</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40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60" w:hanging="652"/>
        <w:spacing w:after="0" w:line="22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2019 and the estimated cost for the year ending December 31, 2019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485</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Long-Haul Pipeline Projects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Selected Facilities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r>
      <w:tr>
        <w:trPr>
          <w:trHeight w:val="264"/>
        </w:trPr>
        <w:tc>
          <w:tcPr>
            <w:tcW w:w="9800" w:type="dxa"/>
            <w:vAlign w:val="bottom"/>
            <w:gridSpan w:val="2"/>
          </w:tcPr>
          <w:p>
            <w:pPr>
              <w:ind w:left="18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1,350</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70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Facilities Segment Adjusted EBITDA </w:t>
            </w:r>
            <w:r>
              <w:rPr>
                <w:rFonts w:ascii="Arial" w:cs="Arial" w:eastAsia="Arial" w:hAnsi="Arial"/>
                <w:sz w:val="25"/>
                <w:szCs w:val="25"/>
                <w:color w:val="auto"/>
                <w:w w:val="93"/>
                <w:vertAlign w:val="superscript"/>
              </w:rPr>
              <w:t>(1)</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Supply and Logistics Segment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w w:val="98"/>
              </w:rPr>
              <w:t>comparability - Segment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Unallocated general and administrative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Gains/(losses) on asset sales and asset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impairments, net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9"/>
              </w:rPr>
              <w:t>Gain on investment in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PAGP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Basic net income per Class A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Class A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Basic weighted average Class A shares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Diluted weighted average Class A shares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8" w:lineRule="exact"/>
        <w:rPr>
          <w:sz w:val="20"/>
          <w:szCs w:val="20"/>
          <w:color w:val="auto"/>
        </w:rPr>
      </w:pPr>
    </w:p>
    <w:p>
      <w:pPr>
        <w:ind w:left="660" w:right="40" w:hanging="652"/>
        <w:spacing w:after="0" w:line="260"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440"/>
              <w:spacing w:after="0"/>
              <w:rPr>
                <w:sz w:val="20"/>
                <w:szCs w:val="20"/>
                <w:color w:val="auto"/>
              </w:rPr>
            </w:pPr>
            <w:r>
              <w:rPr>
                <w:rFonts w:ascii="Arial" w:cs="Arial" w:eastAsia="Arial" w:hAnsi="Arial"/>
                <w:sz w:val="18"/>
                <w:szCs w:val="18"/>
                <w:color w:val="auto"/>
                <w:w w:val="92"/>
              </w:rPr>
              <w:t>Variance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1"/>
              </w:rPr>
              <w:t>(Gains)/losses on asset sales and asset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impairments, net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Gain on investment in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(8)</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220" w:hanging="652"/>
        <w:spacing w:after="0" w:line="223"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0" w:lineRule="auto"/>
        <w:tabs>
          <w:tab w:leader="none" w:pos="66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spacing w:after="0" w:line="298" w:lineRule="auto"/>
        <w:rPr>
          <w:sz w:val="20"/>
          <w:szCs w:val="20"/>
          <w:color w:val="auto"/>
        </w:rPr>
      </w:pPr>
      <w:r>
        <w:rPr>
          <w:rFonts w:ascii="Arial" w:cs="Arial" w:eastAsia="Arial" w:hAnsi="Arial"/>
          <w:sz w:val="18"/>
          <w:szCs w:val="18"/>
          <w:color w:val="auto"/>
        </w:rPr>
        <w:t xml:space="preserve">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w:t>
      </w:r>
      <w:r>
        <w:rPr>
          <w:rFonts w:ascii="Arial" w:cs="Arial" w:eastAsia="Arial" w:hAnsi="Arial"/>
          <w:sz w:val="21"/>
          <w:szCs w:val="21"/>
          <w:color w:val="auto"/>
        </w:rPr>
        <w:t>Note 10</w:t>
      </w:r>
      <w:r>
        <w:rPr>
          <w:rFonts w:ascii="Arial" w:cs="Arial" w:eastAsia="Arial" w:hAnsi="Arial"/>
          <w:sz w:val="18"/>
          <w:szCs w:val="18"/>
          <w:color w:val="auto"/>
        </w:rPr>
        <w:t xml:space="preserve"> to our Condensed Consolidated Financial Statements for a comprehensive discussion regarding our derivatives and risk management activities and PAA’s Preferred Distribution Rate Reset Option.</w:t>
      </w:r>
    </w:p>
    <w:p>
      <w:pPr>
        <w:spacing w:after="0" w:line="50" w:lineRule="exact"/>
        <w:rPr>
          <w:sz w:val="20"/>
          <w:szCs w:val="20"/>
          <w:color w:val="auto"/>
        </w:rPr>
      </w:pPr>
    </w:p>
    <w:p>
      <w:pPr>
        <w:ind w:left="660" w:hanging="652"/>
        <w:spacing w:after="0" w:line="273"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20" w:hanging="652"/>
        <w:spacing w:after="0" w:line="22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During the periods presented, there were fluctuations in the value of CAD to USD, resulting in non-cash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5" w:lineRule="exact"/>
        <w:rPr>
          <w:rFonts w:ascii="Arial" w:cs="Arial" w:eastAsia="Arial" w:hAnsi="Arial"/>
          <w:sz w:val="25"/>
          <w:szCs w:val="25"/>
          <w:color w:val="auto"/>
          <w:vertAlign w:val="superscript"/>
        </w:rPr>
      </w:pPr>
    </w:p>
    <w:p>
      <w:pPr>
        <w:ind w:left="660" w:right="240" w:hanging="652"/>
        <w:spacing w:after="0" w:line="22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to our Condensed Consolidated Financial Statements for additional information regarding the Line 901 incident.</w:t>
      </w:r>
    </w:p>
    <w:p>
      <w:pPr>
        <w:spacing w:after="0" w:line="95" w:lineRule="exact"/>
        <w:rPr>
          <w:rFonts w:ascii="Arial" w:cs="Arial" w:eastAsia="Arial" w:hAnsi="Arial"/>
          <w:sz w:val="25"/>
          <w:szCs w:val="25"/>
          <w:color w:val="auto"/>
          <w:vertAlign w:val="superscript"/>
        </w:rPr>
      </w:pPr>
    </w:p>
    <w:p>
      <w:pPr>
        <w:ind w:left="660" w:right="620" w:hanging="652"/>
        <w:spacing w:after="0" w:line="252"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PAGP.</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8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60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780" w:type="dxa"/>
            <w:vAlign w:val="bottom"/>
            <w:gridSpan w:val="7"/>
          </w:tcPr>
          <w:p>
            <w:pPr>
              <w:jc w:val="center"/>
              <w:ind w:right="3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gridSpan w:val="9"/>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2"/>
                <w:szCs w:val="12"/>
                <w:color w:val="auto"/>
              </w:rPr>
            </w:pPr>
          </w:p>
        </w:tc>
        <w:tc>
          <w:tcPr>
            <w:tcW w:w="2780" w:type="dxa"/>
            <w:vAlign w:val="bottom"/>
            <w:gridSpan w:val="7"/>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3"/>
                <w:szCs w:val="13"/>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regions, trucking and pipeline loss allowance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80" w:hanging="324"/>
        <w:spacing w:after="0" w:line="25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of approximately $64 million and $181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2019, respectively, compared to the three and nine months ended September 30, 2018 was primarily due to higher volumes from increased production and our recently completed capital expansion projects. These increases for the three and nine-month comparative periods included (i) higher volumes on our gathering systems of approximately 328,000 and 303,000 barrels per day, respectively, (ii) higher volumes of approximately 291,000 and 396,000 barrels per day, respectively, on our intra-basin pipelines and (iii) a volume increase of approximately 353,000 and 248,000, respectively, on our long-haul pipelines, including our Sunrise II pipeline, which was placed in service in the fourth quarter of 2018, and the Cactus II Pipeline, which was placed into service in the third quarter of 2019, as discussed below.</w:t>
      </w:r>
    </w:p>
    <w:p>
      <w:pPr>
        <w:spacing w:after="0" w:line="192" w:lineRule="exact"/>
        <w:rPr>
          <w:rFonts w:ascii="Arial" w:cs="Arial" w:eastAsia="Arial" w:hAnsi="Arial"/>
          <w:sz w:val="18"/>
          <w:szCs w:val="18"/>
          <w:color w:val="auto"/>
        </w:rPr>
      </w:pPr>
    </w:p>
    <w:p>
      <w:pPr>
        <w:ind w:left="980" w:right="40"/>
        <w:spacing w:after="0" w:line="312" w:lineRule="auto"/>
        <w:rPr>
          <w:rFonts w:ascii="Arial" w:cs="Arial" w:eastAsia="Arial" w:hAnsi="Arial"/>
          <w:sz w:val="18"/>
          <w:szCs w:val="18"/>
          <w:color w:val="auto"/>
        </w:rPr>
      </w:pPr>
      <w:r>
        <w:rPr>
          <w:rFonts w:ascii="Arial" w:cs="Arial" w:eastAsia="Arial" w:hAnsi="Arial"/>
          <w:sz w:val="16"/>
          <w:szCs w:val="16"/>
          <w:color w:val="auto"/>
        </w:rPr>
        <w:t>The decrease in equity earnings for the three and nine months ended September 30, 2019 compared to the three and nine months ended September 30, 2018 was primarily due to the sale of a 30% interest in BridgeTex Pipeline Company, LLC at the end of the third quarter of 2018, partially offset by equity earnings from our 65% interest in Cactus II Pipeline, which was placed into service in the third quarter of 2019.</w:t>
      </w:r>
    </w:p>
    <w:p>
      <w:pPr>
        <w:spacing w:after="0" w:line="146"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The increase in equity earnings for the nine months ended September 30, 2019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was from our 50% interest in Eagle Ford Pipeline LLC and was primarily due to higher volumes and the recognition of revenue associated with deficiencies under minimum volume commitments.</w:t>
      </w:r>
    </w:p>
    <w:p>
      <w:pPr>
        <w:spacing w:after="0" w:line="181" w:lineRule="exact"/>
        <w:rPr>
          <w:rFonts w:ascii="Arial" w:cs="Arial" w:eastAsia="Arial" w:hAnsi="Arial"/>
          <w:sz w:val="18"/>
          <w:szCs w:val="18"/>
          <w:i w:val="1"/>
          <w:iCs w:val="1"/>
          <w:color w:val="auto"/>
        </w:rPr>
      </w:pPr>
    </w:p>
    <w:p>
      <w:pPr>
        <w:jc w:val="both"/>
        <w:ind w:left="980" w:right="4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for the three and nine months ended September 30, 2019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higher volumes on certain of our pipelines in the Central region, including our Red River pipeline, and the recognition of previously deferred revenue in 2019.</w:t>
      </w:r>
    </w:p>
    <w:p>
      <w:pPr>
        <w:spacing w:after="0" w:line="181"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The decrease in volumes in the Gulf Coast region for the nine months ended September 30, 2019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were associated with (i) the Capline pipeline being taken out of service in the fourth quarter of 2018 and (ii) a lower tariff pipeline, which did not result in a significant impact on revenue.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spacing w:after="0" w:line="297" w:lineRule="auto"/>
        <w:rPr>
          <w:sz w:val="20"/>
          <w:szCs w:val="20"/>
          <w:color w:val="auto"/>
        </w:rPr>
      </w:pPr>
      <w:r>
        <w:rPr>
          <w:rFonts w:ascii="Arial" w:cs="Arial" w:eastAsia="Arial" w:hAnsi="Arial"/>
          <w:sz w:val="16"/>
          <w:szCs w:val="16"/>
          <w:color w:val="auto"/>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three and nine months ended September 30, 2019 compared to the three and nine months ended September 30, 2018 was due to our share of operating costs from our 54.13% interest in Capline Pipeline Company LLC reflected in equity earnings in the 2019 periods, whereas such costs were reflected in field operating costs in the 2018 periods.</w:t>
      </w:r>
    </w:p>
    <w:p>
      <w:pPr>
        <w:spacing w:after="0" w:line="158" w:lineRule="exact"/>
        <w:rPr>
          <w:sz w:val="20"/>
          <w:szCs w:val="20"/>
          <w:color w:val="auto"/>
        </w:rPr>
      </w:pPr>
    </w:p>
    <w:p>
      <w:pPr>
        <w:ind w:left="980" w:right="680"/>
        <w:spacing w:after="0" w:line="277" w:lineRule="auto"/>
        <w:rPr>
          <w:sz w:val="20"/>
          <w:szCs w:val="20"/>
          <w:color w:val="auto"/>
        </w:rPr>
      </w:pPr>
      <w:r>
        <w:rPr>
          <w:rFonts w:ascii="Arial" w:cs="Arial" w:eastAsia="Arial" w:hAnsi="Arial"/>
          <w:sz w:val="18"/>
          <w:szCs w:val="18"/>
          <w:color w:val="auto"/>
        </w:rPr>
        <w:t>In the third quarter of 2019, the owners of Capline Pipeline Company LLC sanctioned the reversal of the Capline pipeline system and a connection to Diamond Pipeline.</w:t>
      </w:r>
    </w:p>
    <w:p>
      <w:pPr>
        <w:spacing w:after="0" w:line="170" w:lineRule="exact"/>
        <w:rPr>
          <w:sz w:val="20"/>
          <w:szCs w:val="20"/>
          <w:color w:val="auto"/>
        </w:rPr>
      </w:pPr>
    </w:p>
    <w:p>
      <w:pPr>
        <w:jc w:val="both"/>
        <w:ind w:left="980" w:hanging="324"/>
        <w:spacing w:after="0" w:line="30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Rocky Mountain region. </w:t>
      </w:r>
      <w:r>
        <w:rPr>
          <w:rFonts w:ascii="Arial" w:cs="Arial" w:eastAsia="Arial" w:hAnsi="Arial"/>
          <w:sz w:val="16"/>
          <w:szCs w:val="16"/>
          <w:color w:val="auto"/>
        </w:rPr>
        <w:t>The favorable volume and equity earnings variances for the three and nine months ended September 30, 2019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and nine months ended September 30, 2018 were primarily driven by favorable results from our 40% interest in Saddlehorn Pipeline Company, LLC due to higher volumes from committed shippers, partially offset by a decrease from our 35.7% interest in White Cliffs Pipeline, LLC due to lower volumes as one crude oil line was taken out of service in May 2019 for conversion to NGL service.</w:t>
      </w:r>
    </w:p>
    <w:p>
      <w:pPr>
        <w:spacing w:after="0" w:line="154" w:lineRule="exact"/>
        <w:rPr>
          <w:rFonts w:ascii="Arial" w:cs="Arial" w:eastAsia="Arial" w:hAnsi="Arial"/>
          <w:sz w:val="16"/>
          <w:szCs w:val="16"/>
          <w:color w:val="auto"/>
        </w:rPr>
      </w:pPr>
    </w:p>
    <w:p>
      <w:pPr>
        <w:ind w:left="980" w:right="280"/>
        <w:spacing w:after="0" w:line="277" w:lineRule="auto"/>
        <w:rPr>
          <w:rFonts w:ascii="Arial" w:cs="Arial" w:eastAsia="Arial" w:hAnsi="Arial"/>
          <w:sz w:val="16"/>
          <w:szCs w:val="16"/>
          <w:color w:val="auto"/>
        </w:rPr>
      </w:pPr>
      <w:r>
        <w:rPr>
          <w:rFonts w:ascii="Arial" w:cs="Arial" w:eastAsia="Arial" w:hAnsi="Arial"/>
          <w:sz w:val="18"/>
          <w:szCs w:val="18"/>
          <w:color w:val="auto"/>
        </w:rPr>
        <w:t>The decrease in revenues for the nine-month comparative period was primarily due to the sale of certain of our assets in the Rocky Mountain region in May of 2018.</w:t>
      </w:r>
    </w:p>
    <w:p>
      <w:pPr>
        <w:spacing w:after="0" w:line="170" w:lineRule="exact"/>
        <w:rPr>
          <w:rFonts w:ascii="Arial" w:cs="Arial" w:eastAsia="Arial" w:hAnsi="Arial"/>
          <w:sz w:val="16"/>
          <w:szCs w:val="16"/>
          <w:color w:val="auto"/>
        </w:rPr>
      </w:pPr>
    </w:p>
    <w:p>
      <w:pPr>
        <w:ind w:left="980" w:right="4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increase in revenues for the three and nine months ended September 30, 2019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higher tariffs on certain of our Canadian crude oil pipelines and related system assets, partially offset by unfavorable foreign exchange impacts.</w:t>
      </w:r>
    </w:p>
    <w:p>
      <w:pPr>
        <w:spacing w:after="0" w:line="181" w:lineRule="exact"/>
        <w:rPr>
          <w:rFonts w:ascii="Arial" w:cs="Arial" w:eastAsia="Arial" w:hAnsi="Arial"/>
          <w:sz w:val="18"/>
          <w:szCs w:val="18"/>
          <w:color w:val="auto"/>
        </w:rPr>
      </w:pPr>
    </w:p>
    <w:p>
      <w:pPr>
        <w:jc w:val="both"/>
        <w:ind w:left="980" w:right="6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Other regions, trucking and pipeline loss allowance revenue. </w:t>
      </w:r>
      <w:r>
        <w:rPr>
          <w:rFonts w:ascii="Arial" w:cs="Arial" w:eastAsia="Arial" w:hAnsi="Arial"/>
          <w:sz w:val="18"/>
          <w:szCs w:val="18"/>
          <w:color w:val="auto"/>
        </w:rPr>
        <w:t>The increase in other revenues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three and nine months ended September 30, 2018 was primarily due to greater loss allowance revenue in the 2019 periods driven by higher volumes and, to a lesser extent, higher prices.</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Adjustments: Deficiencies under minimum volume commitments, net</w:t>
      </w:r>
      <w:r>
        <w:rPr>
          <w:rFonts w:ascii="Arial" w:cs="Arial" w:eastAsia="Arial" w:hAnsi="Arial"/>
          <w:sz w:val="16"/>
          <w:szCs w:val="16"/>
          <w:color w:val="auto"/>
        </w:rPr>
        <w:t>. 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6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For the three and nine months ended September 30, 2019 and the three months ended September 30, 2018, the recognition of previously deferred revenue exceeded amounts billed to counterparties associated with deficiencies under minimum volume commitments. For the nine months ended September 30, 2018, amounts billed to counterparties exceeded revenue recognized during the period that was previously deferred.</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for the three and nine months ended September 30, 2019 compared to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was primarily due to the continued expansion of our transportation segment operations including costs associated with personnel, power related costs and property taxes. The expansion activities included projects placed in service in the fourth quarter of 2018, including our Sunrise II pipeline expansion within the Permian Basin region. For the nine-month comparative period, field operating costs were also impacted by an increase of estimated costs recognized associated with the Line 901 incident (which impact our field operating costs but are excluded from Segment Adjusted EBITDA and thus are reflected as an “Adjustment” in the table above) (see Note 13 to our Condensed Consolidated Financial Statements for additional information regarding the Line 901 incident). The increase in field operating costs for the three and nine months ended September 30, 2019 compared to the three and nine months ended September 30, 2018 was partially offset by the favorable impact of reflecting operating costs associated with the Capline pipeline system in equity earnings for the 2019 periods that were included in field operating costs for the 2018 periods, as discussed above.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the three and nine months ended September 30, 2018 was primarily due to a decrease in equity-indexed compensation expense due to fewer awards outstanding in 2019. A portion of equity-indexed compensation expense was associated with awards that will or may be settled in common units (which impact our segment general and administrative expenses but are excluded from Segment Adjusted EBITDA and thus are reflected as an “Adjustment” in the table above).</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increase in maintenance capital for the three and nine months ended September 30, 2019 compared to the same periods in 2018 was primarily due to the timing of projects in our integrity management program.</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38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4"/>
        </w:trPr>
        <w:tc>
          <w:tcPr>
            <w:tcW w:w="3120" w:type="dxa"/>
            <w:vAlign w:val="bottom"/>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capacity in millions of barrels) </w:t>
            </w:r>
            <w:r>
              <w:rPr>
                <w:rFonts w:ascii="Arial" w:cs="Arial" w:eastAsia="Arial" w:hAnsi="Arial"/>
                <w:sz w:val="25"/>
                <w:szCs w:val="25"/>
                <w:color w:val="auto"/>
                <w:vertAlign w:val="superscript"/>
              </w:rPr>
              <w:t>(5)</w:t>
            </w: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Natural gas storage (average monthly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working capacity in billions of cubic</w:t>
            </w:r>
          </w:p>
        </w:tc>
        <w:tc>
          <w:tcPr>
            <w:tcW w:w="880" w:type="dxa"/>
            <w:vAlign w:val="bottom"/>
            <w:vMerge w:val="restart"/>
          </w:tcPr>
          <w:p>
            <w:pPr>
              <w:jc w:val="right"/>
              <w:ind w:right="1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3120" w:type="dxa"/>
            <w:vAlign w:val="bottom"/>
            <w:tcBorders>
              <w:bottom w:val="single" w:sz="8" w:color="CCEEFF"/>
            </w:tcBorders>
            <w:gridSpan w:val="2"/>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(6)</w:t>
            </w: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NGL fractionation (average volumes in</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40"/>
              <w:spacing w:after="0"/>
              <w:rPr>
                <w:sz w:val="20"/>
                <w:szCs w:val="20"/>
                <w:color w:val="auto"/>
              </w:rPr>
            </w:pPr>
            <w:r>
              <w:rPr>
                <w:rFonts w:ascii="Arial" w:cs="Arial" w:eastAsia="Arial" w:hAnsi="Arial"/>
                <w:sz w:val="18"/>
                <w:szCs w:val="18"/>
                <w:color w:val="auto"/>
              </w:rPr>
              <w:t>Facilities segment total volumes</w:t>
            </w: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8"/>
              </w:rPr>
              <w:t>(average monthly volumes in millions</w:t>
            </w:r>
          </w:p>
        </w:tc>
        <w:tc>
          <w:tcPr>
            <w:tcW w:w="880" w:type="dxa"/>
            <w:vAlign w:val="bottom"/>
            <w:vMerge w:val="restart"/>
          </w:tcPr>
          <w:p>
            <w:pPr>
              <w:jc w:val="right"/>
              <w:ind w:right="1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900" w:type="dxa"/>
            <w:vAlign w:val="bottom"/>
            <w:vMerge w:val="restart"/>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38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4"/>
        </w:trPr>
        <w:tc>
          <w:tcPr>
            <w:tcW w:w="3120" w:type="dxa"/>
            <w:vAlign w:val="bottom"/>
            <w:gridSpan w:val="2"/>
          </w:tcPr>
          <w:p>
            <w:pPr>
              <w:ind w:left="200"/>
              <w:spacing w:after="0" w:line="244"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5"/>
                <w:szCs w:val="25"/>
                <w:color w:val="auto"/>
                <w:vertAlign w:val="superscript"/>
              </w:rPr>
              <w:t>(7)</w:t>
            </w: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Revenues, net of purchases and related costs, were relatively flat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 The following summarizes the significant drivers of variances in revenues, purchases and related costs and volumes for the nine-month comparative period:</w:t>
      </w:r>
    </w:p>
    <w:p>
      <w:pPr>
        <w:spacing w:after="0" w:line="181" w:lineRule="exact"/>
        <w:rPr>
          <w:sz w:val="20"/>
          <w:szCs w:val="20"/>
          <w:color w:val="auto"/>
        </w:rPr>
      </w:pPr>
    </w:p>
    <w:p>
      <w:pPr>
        <w:ind w:left="980" w:right="140" w:hanging="324"/>
        <w:spacing w:after="0" w:line="286"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increased by $12 million for the nine months ended September 30, 2019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due to increased activity at certain of our terminals, primarily our Cushing terminal, and the addition of 1.0 million barrels of storage capacity at our Midland terminal placed into service in the fourth quarter of 2018 and the first quarter of 2019.</w:t>
      </w:r>
    </w:p>
    <w:p>
      <w:pPr>
        <w:spacing w:after="0" w:line="165"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$9 million for the nine months ended September 30, 2019 compared to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Revenues were favorably impacted by increased activity at certain of our terminals and agreements that were entered into related to usage of our railcars. These favorable impacts were partially offset by the recognition of previously deferred revenue associated with deficiencies under minimum volume commitments in the 2018 period.</w:t>
      </w:r>
    </w:p>
    <w:p>
      <w:pPr>
        <w:spacing w:after="0" w:line="186"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Revenues, net of purchases and related costs, increased by $8 million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nine months ended September 30, 2018, primarily due to expiring contracts replaced by contracts with higher rates and increased hub activity.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$13 million for the nine months ended September 30, 2019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primarily due to a net unfavorable foreign exchange impact of $11 million and the sale of a natural gas processing facility in the second quarter of 2018, partially offset by higher fees at certain of our facilities.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2019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was primarily due to a decrease in power related costs associated with derivative activities (which impact our field operating costs but are excluded from Segment Adjusted EBITDA and thus are reflected as an “Adjustment” in the table above), partially offset by higher costs at our rail terminals as a result of increased activity.</w:t>
      </w:r>
    </w:p>
    <w:p>
      <w:pPr>
        <w:spacing w:after="0" w:line="18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compared to the nine months ended September 30, 2018 was primarily due to various higher costs, including personnel costs.</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months ended September 30, 2019 as compared to the three months ended September 30, 2018,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decreased primarily due to the impact of lower turnaround costs at certain of our NGL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(22,599)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0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41" w:lineRule="exact"/>
        <w:rPr>
          <w:rFonts w:ascii="Arial" w:cs="Arial" w:eastAsia="Arial" w:hAnsi="Arial"/>
          <w:sz w:val="25"/>
          <w:szCs w:val="25"/>
          <w:color w:val="auto"/>
          <w:vertAlign w:val="superscript"/>
        </w:rPr>
      </w:pPr>
    </w:p>
    <w:p>
      <w:pPr>
        <w:ind w:left="660" w:right="2320" w:hanging="652"/>
        <w:spacing w:after="0" w:line="440" w:lineRule="auto"/>
        <w:tabs>
          <w:tab w:leader="none" w:pos="646"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2019</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Nine months ended September 30, 2019</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the comparative periods:</w:t>
      </w:r>
    </w:p>
    <w:p>
      <w:pPr>
        <w:spacing w:after="0" w:line="170" w:lineRule="exact"/>
        <w:rPr>
          <w:sz w:val="20"/>
          <w:szCs w:val="20"/>
          <w:color w:val="auto"/>
        </w:rPr>
      </w:pPr>
    </w:p>
    <w:p>
      <w:pPr>
        <w:ind w:left="980" w:right="760" w:hanging="324"/>
        <w:spacing w:after="0" w:line="31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Crude Oil Operations. </w:t>
      </w:r>
      <w:r>
        <w:rPr>
          <w:rFonts w:ascii="Arial" w:cs="Arial" w:eastAsia="Arial" w:hAnsi="Arial"/>
          <w:sz w:val="16"/>
          <w:szCs w:val="16"/>
          <w:color w:val="auto"/>
        </w:rPr>
        <w:t>Net revenues from our crude oil supply and logistics operations increased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compared to the three and nine months ended September 30, 2018 largely due to the realization of more favorable differentials, primarily in the Permian Basin and, for the nine-month comparative period, more favorable differentials in Canada.</w:t>
      </w:r>
    </w:p>
    <w:p>
      <w:pPr>
        <w:spacing w:after="0" w:line="146"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three months ended September 30, 2019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primarily due to decreased sales volumes and margins.</w:t>
      </w:r>
    </w:p>
    <w:p>
      <w:pPr>
        <w:spacing w:after="0" w:line="170" w:lineRule="exact"/>
        <w:rPr>
          <w:rFonts w:ascii="Arial" w:cs="Arial" w:eastAsia="Arial" w:hAnsi="Arial"/>
          <w:sz w:val="18"/>
          <w:szCs w:val="18"/>
          <w:color w:val="auto"/>
        </w:rPr>
      </w:pPr>
    </w:p>
    <w:p>
      <w:pPr>
        <w:ind w:left="980" w:right="40"/>
        <w:spacing w:after="0" w:line="264" w:lineRule="auto"/>
        <w:rPr>
          <w:rFonts w:ascii="Arial" w:cs="Arial" w:eastAsia="Arial" w:hAnsi="Arial"/>
          <w:sz w:val="18"/>
          <w:szCs w:val="18"/>
          <w:color w:val="auto"/>
        </w:rPr>
      </w:pPr>
      <w:r>
        <w:rPr>
          <w:rFonts w:ascii="Arial" w:cs="Arial" w:eastAsia="Arial" w:hAnsi="Arial"/>
          <w:sz w:val="18"/>
          <w:szCs w:val="18"/>
          <w:color w:val="auto"/>
        </w:rPr>
        <w:t>Net revenues from our NGL operations increased for the nine months ended September 30, 2019 compared to the nine months ended September 30, 2018 primarily due to the streamlining of our NGL activities by focusing on our equity supply from our gathering and processing facilities, favorable regional differentials and the favorable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impact of certain non-recurring items recorded in the second quarter of 2019. These favorable impacts were partially offset by decreased sales volumes and margins in the third quarter of 2019 compared to the third quarter of 2018.</w:t>
      </w:r>
    </w:p>
    <w:p>
      <w:pPr>
        <w:spacing w:after="0" w:line="170" w:lineRule="exact"/>
        <w:rPr>
          <w:sz w:val="20"/>
          <w:szCs w:val="20"/>
          <w:color w:val="auto"/>
        </w:rPr>
      </w:pPr>
    </w:p>
    <w:p>
      <w:pPr>
        <w:ind w:left="980" w:right="120" w:hanging="324"/>
        <w:spacing w:after="0" w:line="293" w:lineRule="auto"/>
        <w:tabs>
          <w:tab w:leader="none" w:pos="9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64" w:lineRule="exact"/>
        <w:rPr>
          <w:rFonts w:ascii="Arial" w:cs="Arial" w:eastAsia="Arial" w:hAnsi="Arial"/>
          <w:sz w:val="16"/>
          <w:szCs w:val="16"/>
          <w:i w:val="1"/>
          <w:iCs w:val="1"/>
          <w:color w:val="auto"/>
        </w:rPr>
      </w:pPr>
    </w:p>
    <w:p>
      <w:pPr>
        <w:ind w:left="980" w:hanging="324"/>
        <w:spacing w:after="0" w:line="25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60" w:hanging="324"/>
        <w:spacing w:after="0" w:line="286"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165" w:lineRule="exact"/>
        <w:rPr>
          <w:rFonts w:ascii="Arial" w:cs="Arial" w:eastAsia="Arial" w:hAnsi="Arial"/>
          <w:sz w:val="17"/>
          <w:szCs w:val="17"/>
          <w:color w:val="auto"/>
        </w:rPr>
      </w:pPr>
    </w:p>
    <w:p>
      <w:pPr>
        <w:ind w:left="980" w:right="60" w:hanging="324"/>
        <w:spacing w:after="0" w:line="257" w:lineRule="auto"/>
        <w:tabs>
          <w:tab w:leader="none" w:pos="9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2019 compared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was primarily driven by a decrease in vehicle expense related to the adoption of the new lease accounting standard and, for the three-month comparative period, a decrease in trucking costs due to a shift in volumes to pipelines. Trucking costs were higher for the nine-month comparative period due to higher third-party hauled volumes in certain regions during the first half of 2019.</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and nine months ended September 30, 2019 compared to the three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capital spending increased primarily due to new tractor trailer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Depreciation and amortization expense increased for the three and nine months ended September 30, 2019 compared to the three and nine months ended September 30, 2018 largely driven by (i) additional depreciation expense associated with the completion of various capital expansion projects and (ii) an adjustment to the useful lives of certain assets.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net gain on asset sales and asset impairments for the nine months ended September 30, 2018 was largely driven by a gain on the sale of certain pipelines in the Rocky Mountain region, partially offset by a loss on the sale of a non-core asset under construction.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nine months ended September 30, 2019, we recognized a non-cash gain of $269 million related to a fair value adjustment resulting from the accounting for the contribution of our undivided joint interest in the Capline pipeline system for an equity interest in Capline Pipeline Company LLC. See Note 7 to our Condensed Consolidated Financial Statements for additional information. During the nine months ended September 30, 2018, we recognized a gain of $210 million related to our sale of a 30% interest in BridgeTex Pipeline Company, LLC.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decrease in interest expense for the three and nine months ended September 30, 2019 compared to the three and nine months ended September 30, 2018 was primarily due to a lower weighted average debt balance during the 2019 periods from lower PAA commercial paper and credit facility borrowings. The nine-month comparative period was further favorably impacted by higher capitalized interest in the 2019 period due to additional projects under construction.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000" w:type="dxa"/>
            <w:vAlign w:val="bottom"/>
          </w:tcPr>
          <w:p>
            <w:pPr>
              <w:spacing w:after="0"/>
              <w:rPr>
                <w:sz w:val="16"/>
                <w:szCs w:val="16"/>
                <w:color w:val="auto"/>
              </w:rPr>
            </w:pPr>
          </w:p>
        </w:tc>
        <w:tc>
          <w:tcPr>
            <w:tcW w:w="18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15"/>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Gain/(loss) related to mark-to-market adjustment of the Preferred Distribution Rate Reset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57"/>
        </w:trPr>
        <w:tc>
          <w:tcPr>
            <w:tcW w:w="7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5"/>
                <w:szCs w:val="25"/>
                <w:color w:val="auto"/>
                <w:vertAlign w:val="superscript"/>
              </w:rPr>
              <w:t>(1)</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For the three months ended September 30, 2019 compared to the three months ended September 30, 2018, the increase in income tax expense was primarily due to (i) higher deferred income tax expense as a result of higher year-over-year income as impacted by fluctuations in the derivative mark-to-market valuations in our Canadian operations and (ii) higher current income tax expense as a result of higher taxable earnings from our Canadian operations.</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increase in income tax expense for the nine months ended September 30, 2019 compared to the nine months ended September 30, 2018 was primarily due to (i) higher current income tax expense as a result of higher taxable earnings from our Canadian operations and (ii) higher deferred income tax expense as a result of (a) higher year-over-year income as impacted by fluctuations in the derivative mark-to-market valuations in our Canadian operations and (b) higher income attributable to PAGP and a change in our effective tax rate in the first quarter of 2019. These unfavorable impacts to income tax expense were partially offset by the recognition of a deferred tax benefit of $60 million as a result of the reduction of the provincial tax rate in Alberta, Canada enacted during the second quarter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September 30, 2019, although we had a working capital deficit of $195 million, we had approximately $3.5 billion of liquidity available to meet our ongoing operating, investing and financing needs, subject to continued covenant compliance, as noted below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9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September 30, 2019</w:t>
            </w:r>
          </w:p>
        </w:tc>
      </w:tr>
      <w:tr>
        <w:trPr>
          <w:trHeight w:val="270"/>
        </w:trPr>
        <w:tc>
          <w:tcPr>
            <w:tcW w:w="9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1,462</w:t>
            </w:r>
          </w:p>
        </w:tc>
      </w:tr>
      <w:tr>
        <w:trPr>
          <w:trHeight w:val="270"/>
        </w:trPr>
        <w:tc>
          <w:tcPr>
            <w:tcW w:w="9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1,389</w:t>
            </w:r>
          </w:p>
        </w:tc>
      </w:tr>
      <w:tr>
        <w:trPr>
          <w:trHeight w:val="244"/>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2,851</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611</w:t>
            </w:r>
          </w:p>
        </w:tc>
      </w:tr>
      <w:tr>
        <w:trPr>
          <w:trHeight w:val="27"/>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3,462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 There were no commercial paper borrowings outstanding as of September 30, 2019.</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$138 million and $11 million, respectively.</w:t>
      </w:r>
    </w:p>
    <w:p>
      <w:pPr>
        <w:spacing w:after="0" w:line="2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September 30, 2019, PAA was in compliance with all such covenants. Also, see Item 1A. “Risk Factors” included in our 2018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 Annual Report on Form 10-K.</w:t>
      </w:r>
    </w:p>
    <w:p>
      <w:pPr>
        <w:spacing w:after="0" w:line="18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Net cash provided by operating activities for the first nine months of 2019 and 2018 was $1.774 billion and $1.292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the nine months ended September 30, 2019, our cash provided by operating activities was positively impacted by the proceeds from the sale of inventory that we held, primarily due to the sale of NGL inventory. The favorable effects from the liquidation of such inventory were partially offset by the timing of revenue recognized during the period for which cash was received in prior periods.</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During the nine months ended September 30, 2018, we increased the volume of crude oil and NGL inventory that we held, which was funded by proceeds from asset sales and short-term debt. The cash outflows associated with these inventory purchases resulted in a decrease to our cash provided by operating activities. However, this decrease was partially offset by approximately $300 million of cash received for transactions for which the revenue has been deferred pending the completion of future performance obligations. See Note 3 to our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nine months ended September 30, 2019, we paid an aggregate of $47 million to acquire assets, including a crude oil storage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terminal.</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$988 million in midstream infrastructure during the nine months ended September 30, 2019, and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invest approximately $1.35 billion during the full year ending December 31, 2019. See “—Acquisitions and Capital Projects” for detail of our projected capital expenditures for the year ending December 31, 2019. We expect to fund our 2019 capital program with retained cash flow, proceeds from assets sold as part of our divestiture program or debt.</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the first quarter of 2019, we announced the formation of W2W Pipeline, a joint venture with subsidiaries of ExxonMobil and Lotus Midstream, LLC. During the third quarter of 2019, three additional entities joined as partners in W2W Pipeline. As a result, our ownership interest in W2W Pipeline decreased from 20% to 16%. W2W Pipeline is currently developing a new pipeline system that will originate in the Permian Basin in West Texas and transport crude oil to the Texas Gulf Coast. The pipeline system will provide approximately 1.5 million barrels per day of crude oil and condensate capacity, and the project is targeted to commence operations in 2021. See Note 7 to our Condensed Consolidated Financial Statements for additional information.</w:t>
      </w:r>
    </w:p>
    <w:p>
      <w:pPr>
        <w:spacing w:after="0" w:line="15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second quarter of 2019, we announced the formation of Red Oak, a joint venture with a subsidiary of Phillips 66. We own a 50% interest in Red Oak, 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in 2021, subject to receipt of applicable permits and regulatory approvals. See Note 7 to our Condensed Consolidated Financial Statements for additional information.</w:t>
      </w:r>
    </w:p>
    <w:p>
      <w:pPr>
        <w:spacing w:after="0" w:line="154"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During the second quarter of 2019, we formed a joint venture, Red River LLC, with Delek on our Red River pipeline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approximately $128 million for Delek’s 33% interest in Red River LLC. See Note 9 to our Condensed Consolidated Financial Statements for additional information.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 reinforce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2018 Annual Report on Form 10-K for further discussion regarding risks related to our acquisitions and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September 30, 2019,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nine months ended September 30, 2019. Pursuant to SEC rules, the PAGP Traditional Shelf expires in December 2019 and the PAGP WKSI Shelf expires in February 2020. We intend to renew the PAGP WKSI Shelf for an unlimited amount and the PAGP Traditional Shelf for an amount equal to the unsold balance of securities originally registered.</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“PAA Traditional Shelf”). At September 30, 2019,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The issuance of $1.0 billion, 3.55% senior notes in September 2019, as discussed further below, was conducted under the PAA WKSI Shelf. PAA did not conduct any offerings under the PAA Traditional Shelf during the nine months ended September 30, 2019.</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 PAA’s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September 30, 2019, PAA was in compliance with the covenants contained in its credit agreements and indentures.</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As of September 30, 2019 and December 31, 2018, we had no outstanding borrowings under PAA’s credit agreements or the PAA commercial paper program. However, during the nine months ended September 30, 2019, we borrowed and repaid $10.5 billion under PAA’s credit agreements and the PAA commercial paper program. These repayments resulted primarily from cash flow from operating activities and proceeds from senior notes issuances.</w:t>
      </w:r>
    </w:p>
    <w:p>
      <w:pPr>
        <w:spacing w:after="0" w:line="14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the nine months ended September 30, 2018, we had net repayments on PAA’s credit facilities and the PAA commercial paper program of $542 million. The net repayments resulted primarily from cash flow from operating activities, and proceeds from asset sales, partially offset by borrowings during the period related to funding needs for inventory purchases and related margin activities.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September 2019, PAA completed the issuance of $1.0 billion, 3.55% senior notes due December 2029 at a public offering price of 99.801%. Interest payments are due on June 15 and December 15 of each year, commencing on June 15, 2020. PAA intends to use the net proceeds from this offering of $989 million, after deducting the underwriting discount and offering expenses, to partially repay the principal amounts of its 2.60% senior notes due December 2019 and 5.75% senior notes due January 2020 and, pending such repayment, have used a portion of the proceeds to repay outstanding borrowings under the PAA commercial paper program and for general partnership purposes.</w:t>
      </w:r>
    </w:p>
    <w:p>
      <w:pPr>
        <w:spacing w:after="0" w:line="188"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 October 2019, PAA sent notice to the holders of its $500 million, 2.60% senior notes due December 2019 that it will redeem the notes on November 15, 2019. PAA also intends to redeem its $500 million, 5.75% senior notes due January 2020 during the fourth quarter of 2019.</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all of our available cash within 55 days following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November 14, 2019, we will pay a quarterly distribution of $0.36 per Class A share ($1.44 per Class A share on an annualized basis) on our Class A shares outstanding as of October 31, 2019, the record date for such distribution for the period from July 1, 2019 through September 30, 2019. See Note 9 to our Condensed Consolidated Financial Statements for details of distributions paid during or pertaining to the first nine months of 2019. Also, see Item 5. “Market for Registrant’s Shares, Related Shareholder Matters and Issuer Purchases of Equity Securities—Cash Distribution Policy” included in our 2018 Annual Report on Form 10-K for additional discussion regarding distributions.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September 30, 2019, noncontrolling interests in our subsidiaries consisted of (i) limited partner interests in PAA including a 68% interest in PAA’s common units and PAA’s Series A preferred units combined and 100% of PAA’s Series B preferred units, (ii) an approximate 27% limited partner interest in AAP and (iii) a 33% interest in Red River LLC. See Note 9 to our Condensed Consolidated Financial Statements for additional information.</w:t>
      </w:r>
    </w:p>
    <w:p>
      <w:pPr>
        <w:spacing w:after="0" w:line="17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November 14, 2019, PAA will pay a cash distribution of $37 million ($0.525 per unit) on</w:t>
      </w:r>
      <w:r>
        <w:rPr>
          <w:rFonts w:ascii="Arial" w:cs="Arial" w:eastAsia="Arial" w:hAnsi="Arial"/>
          <w:sz w:val="16"/>
          <w:szCs w:val="16"/>
          <w:i w:val="1"/>
          <w:iCs w:val="1"/>
          <w:color w:val="auto"/>
        </w:rPr>
        <w:t xml:space="preserve"> </w:t>
      </w:r>
      <w:r>
        <w:rPr>
          <w:rFonts w:ascii="Arial" w:cs="Arial" w:eastAsia="Arial" w:hAnsi="Arial"/>
          <w:sz w:val="16"/>
          <w:szCs w:val="16"/>
          <w:color w:val="auto"/>
        </w:rPr>
        <w:t>its Series A preferred units outstanding as of October 31, 2019, the record date for such distribution for the period from July 1, 2019 through September 30, 2019. See Note 9 to our Condensed Consolidated Financial Statements for details of distributions made during or pertaining to the first nine months of 2019.</w:t>
      </w:r>
    </w:p>
    <w:p>
      <w:pPr>
        <w:spacing w:after="0" w:line="14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 xml:space="preserve">Distributions to PAA’s Series B preferred unitholders. </w:t>
      </w:r>
      <w:r>
        <w:rPr>
          <w:rFonts w:ascii="Arial" w:cs="Arial" w:eastAsia="Arial" w:hAnsi="Arial"/>
          <w:sz w:val="17"/>
          <w:szCs w:val="17"/>
          <w:color w:val="auto"/>
        </w:rPr>
        <w:t>Distributions on PAA’s Series B preferred units are payable semi-annually in arrears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15th day of May and November. On November 15, 2019, PAA will pay the semi-annual cash distribution of $24.5 million on the Series B preferred units to holders of record at the close of business on November 1, 2019 for the period from May 15, 2019 to November 14, 2019. See Note 9 to our Condensed Consolidated Financial Statements for details of distributions made during the first nine months of 2019.</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November 14, 2019, PAA will pay a quarterly distribution of $0.36 per common unit ($1.44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on its common units outstanding as of October 31, 2019, the record date for such distribution for the period from July 1, 2019 through September 30, 2019. See Note 9 to our Condensed Consolidated Financial Statements for details of distributions paid during or pertaining to the first nine months of 2019.</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2019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2024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9,807</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15,069</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19,716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19,676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10,568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31,113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37"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98" w:lineRule="exact"/>
        <w:rPr>
          <w:rFonts w:ascii="Arial" w:cs="Arial" w:eastAsia="Arial" w:hAnsi="Arial"/>
          <w:sz w:val="25"/>
          <w:szCs w:val="25"/>
          <w:color w:val="auto"/>
          <w:vertAlign w:val="superscript"/>
        </w:rPr>
      </w:pPr>
    </w:p>
    <w:p>
      <w:pPr>
        <w:ind w:left="660" w:right="440" w:hanging="652"/>
        <w:spacing w:after="0" w:line="252" w:lineRule="auto"/>
        <w:tabs>
          <w:tab w:leader="none" w:pos="6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11 to our Condensed Consolidated Financial Statements for additional information.</w:t>
      </w:r>
    </w:p>
    <w:p>
      <w:pPr>
        <w:spacing w:after="0" w:line="81" w:lineRule="exact"/>
        <w:rPr>
          <w:rFonts w:ascii="Arial" w:cs="Arial" w:eastAsia="Arial" w:hAnsi="Arial"/>
          <w:sz w:val="22"/>
          <w:szCs w:val="22"/>
          <w:color w:val="auto"/>
          <w:vertAlign w:val="superscript"/>
        </w:rPr>
      </w:pPr>
    </w:p>
    <w:p>
      <w:pPr>
        <w:ind w:left="660" w:right="20" w:hanging="652"/>
        <w:spacing w:after="0" w:line="245" w:lineRule="auto"/>
        <w:tabs>
          <w:tab w:leader="none" w:pos="6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660" w:right="160"/>
        <w:spacing w:after="0" w:line="295" w:lineRule="auto"/>
        <w:rPr>
          <w:rFonts w:ascii="Arial" w:cs="Arial" w:eastAsia="Arial" w:hAnsi="Arial"/>
          <w:sz w:val="22"/>
          <w:szCs w:val="22"/>
          <w:color w:val="auto"/>
          <w:vertAlign w:val="superscript"/>
        </w:rPr>
      </w:pPr>
      <w:r>
        <w:rPr>
          <w:rFonts w:ascii="Arial" w:cs="Arial" w:eastAsia="Arial" w:hAnsi="Arial"/>
          <w:sz w:val="16"/>
          <w:szCs w:val="16"/>
          <w:color w:val="auto"/>
        </w:rPr>
        <w:t>(iv) noncancelable commitments related to our capital expansion projects, including projected contributions for our share of the capital spending of our equity method investments. The storage, processing and transportation agreements include approximately $2.0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rFonts w:ascii="Arial" w:cs="Arial" w:eastAsia="Arial" w:hAnsi="Arial"/>
          <w:sz w:val="22"/>
          <w:szCs w:val="22"/>
          <w:color w:val="auto"/>
          <w:vertAlign w:val="superscript"/>
        </w:rPr>
      </w:pPr>
    </w:p>
    <w:p>
      <w:pPr>
        <w:ind w:left="660" w:right="60" w:hanging="652"/>
        <w:spacing w:after="0" w:line="238"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2019 and December 31, 2018, we had outstanding letters of credit of approximately $149 million and $184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2018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2018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i w:val="1"/>
          <w:iCs w:val="1"/>
          <w:color w:val="auto"/>
        </w:rPr>
      </w:pPr>
    </w:p>
    <w:p>
      <w:pPr>
        <w:ind w:left="980" w:right="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2019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September 30, 2019, approximately $200 million, was subject to interest rate re-sets that generally range from one day to approximately one month. The average interest rate on variable rate debt that was outstanding during the nine months ended September 30, 2019 was 3.1%, based upon rates in effect during such period. The fair value of our interest rate derivatives was a liability of $64 million as of September 30, 2019. A 10% increase in the forward LIBOR curve as of September 30, 2019 would have resulted in an increase of $8 million to the fair value of our interest rate derivatives. A 10% decrease in the forward LIBOR curve as of September 30, 2019 would have resulted in a decrease of $8 million to the fair value of our interest rate derivatives. See Note 10 to our Condensed Consolidated Financial Statements for a discussion of our interest rate risk hedging activities.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September 30, 2019. A 10% increase in the exchange rate (USD-to-CAD) would have resulted in a decrease of $6 million to the fair value of our foreign currency derivatives. A 10% decrease in the exchange rate (USD-to-CAD) would have resulted in an increase of $6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$19 million as of September 30, 2019. A 10% increase or decrease in the fair value would have an impact of $2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2019,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2019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2018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2019, certain Legacy Owners or their permitted transferees exercised the Exchange Right, which resulted in the issuance of 15,173,490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Exhibit No.</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Certificate of Limited Partnership of Plains GP Holdings, L.P. (incorporated by reference to Exhibit 3.1 to our Registration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Statement on Form S-1 (333-190227) filed July 29, 2013).</w:t>
              </w:r>
            </w:hyperlink>
          </w:p>
        </w:tc>
        <w:tc>
          <w:tcPr>
            <w:tcW w:w="700" w:type="dxa"/>
            <w:vAlign w:val="bottom"/>
            <w:gridSpan w:val="1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00" w:type="dxa"/>
            <w:vAlign w:val="bottom"/>
            <w:tcBorders>
              <w:bottom w:val="single" w:sz="8" w:color="0000FF"/>
            </w:tcBorders>
            <w:gridSpan w:val="20"/>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(incorporated by reference to Exhibit 3.2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6"/>
              </w:rPr>
            </w:pPr>
            <w:hyperlink r:id="rId46">
              <w:r>
                <w:rPr>
                  <w:rFonts w:ascii="Arial" w:cs="Arial" w:eastAsia="Arial" w:hAnsi="Arial"/>
                  <w:sz w:val="18"/>
                  <w:szCs w:val="18"/>
                  <w:color w:val="0000FF"/>
                  <w:w w:val="96"/>
                </w:rPr>
                <w:t>Certificate of Formation of PAA GP Holdings LLC (incorporated by reference to Exhibit 3.3 to our Registration Statement 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Form S-1 (333-190227) filed July 29, 2013).</w:t>
              </w:r>
            </w:hyperlink>
          </w:p>
        </w:tc>
        <w:tc>
          <w:tcPr>
            <w:tcW w:w="5840" w:type="dxa"/>
            <w:vAlign w:val="bottom"/>
            <w:tcBorders>
              <w:top w:val="single" w:sz="8" w:color="0000FF"/>
            </w:tcBorders>
            <w:gridSpan w:val="17"/>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40" w:type="dxa"/>
            <w:vAlign w:val="bottom"/>
            <w:tcBorders>
              <w:bottom w:val="single" w:sz="8" w:color="0000FF"/>
            </w:tcBorders>
            <w:gridSpan w:val="22"/>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Third Amended and Restated Limited Liability Company Agreement of PAA GP Holdings LLC dated as of February 16, 2017</w:t>
              </w:r>
            </w:hyperlink>
          </w:p>
        </w:tc>
        <w:tc>
          <w:tcPr>
            <w:tcW w:w="40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3.1 to our Current Report on Form 8-K filed February 21, 2017).</w:t>
              </w:r>
            </w:hyperlink>
          </w:p>
        </w:tc>
        <w:tc>
          <w:tcPr>
            <w:tcW w:w="2160" w:type="dxa"/>
            <w:vAlign w:val="bottom"/>
            <w:gridSpan w:val="27"/>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bottom w:val="single" w:sz="8" w:color="0000FF"/>
            </w:tcBorders>
            <w:gridSpan w:val="28"/>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Amendment No. 1 dated October 1, 2018 to the Third Amended and Restated Limited Liability Company Agreement of PAA GP</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Holdings LLC (incorporated by reference to Exhibit 3.1 to our Current Report on Form 8-K filed August 20, 2018).</w:t>
              </w:r>
            </w:hyperlink>
          </w:p>
        </w:tc>
        <w:tc>
          <w:tcPr>
            <w:tcW w:w="1200" w:type="dxa"/>
            <w:vAlign w:val="bottom"/>
            <w:gridSpan w:val="20"/>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00" w:type="dxa"/>
            <w:vAlign w:val="bottom"/>
            <w:tcBorders>
              <w:bottom w:val="single" w:sz="8" w:color="0000FF"/>
            </w:tcBorders>
            <w:gridSpan w:val="26"/>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Seventh Amended and Restated Agreement of Limited Partnership of Plains All American Pipeline, L.P., dated as of October 10,</w:t>
              </w:r>
            </w:hyperlink>
          </w:p>
        </w:tc>
        <w:tc>
          <w:tcPr>
            <w:tcW w:w="24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2017 (incorporated by reference to Exhibit 3.1 to PAA's Current Report on Form 8-K filed October 12, 2017).</w:t>
              </w:r>
            </w:hyperlink>
          </w:p>
        </w:tc>
        <w:tc>
          <w:tcPr>
            <w:tcW w:w="1620" w:type="dxa"/>
            <w:vAlign w:val="bottom"/>
            <w:gridSpan w:val="2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tcBorders>
              <w:bottom w:val="single" w:sz="8" w:color="0000FF"/>
            </w:tcBorders>
            <w:gridSpan w:val="32"/>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(incorporated by reference to Exhibit 3.3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Eighth Amended and Restated Limited Partnership Agreement of Plains AAP, L.P. dated November 15, 2016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reference to Exhibit 3.4 to our Current Report on Form 8-K filed November 21, 2016).</w:t>
              </w:r>
            </w:hyperlink>
          </w:p>
        </w:tc>
        <w:tc>
          <w:tcPr>
            <w:tcW w:w="440" w:type="dxa"/>
            <w:vAlign w:val="bottom"/>
            <w:gridSpan w:val="1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Amendment No. 1 dated September 26, 2018 to the Eighth Amended and Restated Limited Partnership Agreement of Plains AAP,</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L.P. (incorporated by reference to Exhibit 3.1 to our Current Report on Form 8-K filed October 2, 2018).</w:t>
              </w:r>
            </w:hyperlink>
          </w:p>
        </w:tc>
        <w:tc>
          <w:tcPr>
            <w:tcW w:w="1840" w:type="dxa"/>
            <w:vAlign w:val="bottom"/>
            <w:tcBorders>
              <w:top w:val="single" w:sz="8" w:color="0000FF"/>
            </w:tcBorders>
            <w:gridSpan w:val="2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Amendment No. 2 dated May 23, 2019 to the Eighth Amended and Restated Limited Partnership Agreement of Plains AAP, L.P.</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19"/>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21"/>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Limited Liability Company Agreement of PAA GP LLC dated December 28, 2007 (incorporated by reference to Exhibit 3.3 to</w:t>
              </w:r>
            </w:hyperlink>
          </w:p>
        </w:tc>
        <w:tc>
          <w:tcPr>
            <w:tcW w:w="42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PAA’s Current Report on Form 8-K filed January 4, 2008).</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4"/>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top w:val="single" w:sz="8" w:color="0000FF"/>
            </w:tcBorders>
            <w:gridSpan w:val="29"/>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Association, as trustee (incorporated by reference to Exhibit 4.1 to PAA’s Quarterly Report on Form 10-Q for the quarter ended</w:t>
              </w:r>
            </w:hyperlink>
          </w:p>
        </w:tc>
        <w:tc>
          <w:tcPr>
            <w:tcW w:w="18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September 30, 2002).</w:t>
              </w:r>
            </w:hyperlink>
          </w:p>
        </w:tc>
        <w:tc>
          <w:tcPr>
            <w:tcW w:w="38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80" w:type="dxa"/>
            <w:vAlign w:val="bottom"/>
            <w:tcBorders>
              <w:bottom w:val="single" w:sz="8" w:color="0000FF"/>
            </w:tcBorders>
            <w:gridSpan w:val="17"/>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Sixth Supplemental Indenture (Series A and Series B 6.70% Senior Notes due 2036) dated May 12, 2006 among Plains All</w:t>
              </w:r>
            </w:hyperlink>
          </w:p>
        </w:tc>
        <w:tc>
          <w:tcPr>
            <w:tcW w:w="66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as trustee (incorporated by reference to Exhibit 4.1 to PAA’s Current Report on Form 8-K filed May 12, 2006).</w:t>
              </w:r>
            </w:hyperlink>
          </w:p>
        </w:tc>
        <w:tc>
          <w:tcPr>
            <w:tcW w:w="1560" w:type="dxa"/>
            <w:vAlign w:val="bottom"/>
            <w:gridSpan w:val="22"/>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24"/>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American Pipeline, L.P., PAA Finance Corp., the Subsidiary Guarantors named therein and U.S. Bank National Association, as</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trustee (incorporated by reference to Exhibit 4.2 to PAA’s Current Report on Form 8-K filed October 30, 2006).</w:t>
              </w:r>
            </w:hyperlink>
          </w:p>
        </w:tc>
        <w:tc>
          <w:tcPr>
            <w:tcW w:w="400" w:type="dxa"/>
            <w:vAlign w:val="bottom"/>
            <w:gridSpan w:val="1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Seventeenth Supplemental Indenture (5.75% Senior Notes due 2020) dated September 4, 2009 among Plains All American</w:t>
              </w:r>
            </w:hyperlink>
          </w:p>
        </w:tc>
        <w:tc>
          <w:tcPr>
            <w:tcW w:w="68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Pipeline, L.P., PAA Finance Corp., the Subsidiary Guarantors named therein and U.S. Bank National Association, as trustee</w:t>
              </w:r>
            </w:hyperlink>
          </w:p>
        </w:tc>
        <w:tc>
          <w:tcPr>
            <w:tcW w:w="62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(incorporated by reference to Exhibit 4.1 to PAA’s Current Report on Form 8-K filed September 4, 2009).</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720" w:type="dxa"/>
            <w:vAlign w:val="bottom"/>
            <w:gridSpan w:val="1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27"/>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Nineteenth Supplemental Indenture (5.00% Senior Notes due 2021) dated January 14, 2011 among Plains All American Pipeline,</w:t>
              </w:r>
            </w:hyperlink>
          </w:p>
        </w:tc>
        <w:tc>
          <w:tcPr>
            <w:tcW w:w="2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L.P., PAA Finance Corp., the Subsidiary Guarantors named therein and U.S. Bank National Association, as trustee (incorporated by</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reference to Exhibit 4.1 to PAA’s Current Report on Form 8-K filed January 11, 2011).</w:t>
              </w:r>
            </w:hyperlink>
          </w:p>
        </w:tc>
        <w:tc>
          <w:tcPr>
            <w:tcW w:w="3300" w:type="dxa"/>
            <w:vAlign w:val="bottom"/>
            <w:gridSpan w:val="2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125" w:right="25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1"/>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Twentieth Supplemental Indenture (3.65% Senior Notes due 2022) dated March 22, 2012 among Plains All American Pipeline,</w:t>
              </w:r>
            </w:hyperlink>
          </w:p>
        </w:tc>
        <w:tc>
          <w:tcPr>
            <w:tcW w:w="30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Report on Form 8-K filed March 26,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Twenty-First Supplemental Indenture (5.15% Senior Notes due 2042)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Report on Form 8-K filed March 26,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Exhibit 4.1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5"/>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Exhibit 4.3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8"/>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Pipeline, L.P., PAA Finance Corp. and U.S. Bank National Association, as trustee (incorporated by reference to Exhibit 4.1 to</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PAA’s Current Report on Form 8-K filed August 15, 2013).</w:t>
              </w:r>
            </w:hyperlink>
          </w:p>
        </w:tc>
        <w:tc>
          <w:tcPr>
            <w:tcW w:w="4760" w:type="dxa"/>
            <w:vAlign w:val="bottom"/>
            <w:tcBorders>
              <w:top w:val="single" w:sz="8" w:color="0000FF"/>
            </w:tcBorders>
            <w:gridSpan w:val="15"/>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2"/>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Twenty-Fifth Supplemental Indenture (4.70% Senior Notes due 2044) dated April 23, 2014, by and among Plains All American</w:t>
              </w:r>
            </w:hyperlink>
          </w:p>
        </w:tc>
        <w:tc>
          <w:tcPr>
            <w:tcW w:w="26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Current Report on Form 8-K filed April 29, 2014).</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Exhibit 4.1 to our Current Report on Form 8-K filed September 11, 2014).</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6"/>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4.1 to our Current Report on Form 8-K filed December 11, 2014).</w:t>
              </w:r>
            </w:hyperlink>
          </w:p>
        </w:tc>
        <w:tc>
          <w:tcPr>
            <w:tcW w:w="412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4"/>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Exhibit 4.3 to our Current Report on Form 8-K filed December 11, 2014).</w:t>
              </w:r>
            </w:hyperlink>
          </w:p>
        </w:tc>
        <w:tc>
          <w:tcPr>
            <w:tcW w:w="412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6"/>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Twenty-Ninth Supplemental Indenture (4.65% Senior Notes due 2025) dated August 24, 2015, by and among Plains All American</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PAA’s Current Report on Form 8-K filed August 26, 2015).</w:t>
              </w:r>
            </w:hyperlink>
          </w:p>
        </w:tc>
        <w:tc>
          <w:tcPr>
            <w:tcW w:w="5180" w:type="dxa"/>
            <w:vAlign w:val="bottom"/>
            <w:gridSpan w:val="25"/>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24"/>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Thirtieth Supplemental Indenture (4.50% Senior Notes due 2026) dated November 22, 2016, by and among Plains All American</w:t>
              </w:r>
            </w:hyperlink>
          </w:p>
        </w:tc>
        <w:tc>
          <w:tcPr>
            <w:tcW w:w="18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PAA’s Current Report on Form 8-K filed November 29, 2016).</w:t>
              </w:r>
            </w:hyperlink>
          </w:p>
        </w:tc>
        <w:tc>
          <w:tcPr>
            <w:tcW w:w="4940" w:type="dxa"/>
            <w:vAlign w:val="bottom"/>
            <w:gridSpan w:val="22"/>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23"/>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Thirty-First Supplemental Indenture (3.55% Senior Notes due 2029) dated September 16, 2019, and among Plains All American</w:t>
              </w:r>
            </w:hyperlink>
          </w:p>
        </w:tc>
        <w:tc>
          <w:tcPr>
            <w:tcW w:w="20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Pipeline, L.P., PAA Finance Corp. and U.S. Bank National Association, as trustee (incorporated by reference to Exhibit 4.1 to</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PAA’s Current Report on Form 8-K filed September 17, 2019).</w:t>
              </w:r>
            </w:hyperlink>
          </w:p>
        </w:tc>
        <w:tc>
          <w:tcPr>
            <w:tcW w:w="42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parties signatory thereto (incorporated by reference to Exhibit 4.1 to our Current Report on Form 8-K filed October 25, 2013).</w:t>
              </w:r>
            </w:hyperlink>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8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Amendment No. 2 dated August 15, 2019 to Harry Pefanis Amended and Restated Employment Agreement.</w:t>
            </w:r>
          </w:p>
        </w:tc>
        <w:tc>
          <w:tcPr>
            <w:tcW w:w="1260" w:type="dxa"/>
            <w:vAlign w:val="bottom"/>
            <w:tcBorders>
              <w:top w:val="single" w:sz="8" w:color="0000FF"/>
            </w:tcBorders>
            <w:gridSpan w:val="9"/>
          </w:tcPr>
          <w:p>
            <w:pPr>
              <w:spacing w:after="0"/>
              <w:rPr>
                <w:sz w:val="24"/>
                <w:szCs w:val="24"/>
                <w:color w:val="auto"/>
              </w:rPr>
            </w:pPr>
          </w:p>
        </w:tc>
        <w:tc>
          <w:tcPr>
            <w:tcW w:w="380" w:type="dxa"/>
            <w:vAlign w:val="bottom"/>
            <w:gridSpan w:val="9"/>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sz w:val="20"/>
                <w:szCs w:val="20"/>
                <w:color w:val="auto"/>
              </w:rPr>
            </w:pPr>
            <w:r>
              <w:rPr>
                <w:rFonts w:ascii="Arial" w:cs="Arial" w:eastAsia="Arial" w:hAnsi="Arial"/>
                <w:sz w:val="18"/>
                <w:szCs w:val="18"/>
                <w:color w:val="0000FF"/>
              </w:rPr>
              <w:t>Form of LTIP Grant Letter dated August 15, 2019 (Officers)</w:t>
            </w: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120" w:type="dxa"/>
            <w:vAlign w:val="bottom"/>
            <w:gridSpan w:val="19"/>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10.3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4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Form of LTIP Grant Letter dated August 15, 2019 (Directors)</w:t>
            </w:r>
          </w:p>
        </w:tc>
        <w:tc>
          <w:tcPr>
            <w:tcW w:w="5020" w:type="dxa"/>
            <w:vAlign w:val="bottom"/>
            <w:gridSpan w:val="23"/>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2120" w:type="dxa"/>
            <w:vAlign w:val="bottom"/>
            <w:gridSpan w:val="1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20"/>
          </w:cols>
          <w:pgMar w:left="240" w:top="108" w:right="339" w:bottom="1440" w:gutter="0" w:footer="0" w:header="0"/>
        </w:sect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20"/>
          </w:cols>
          <w:pgMar w:left="240" w:top="108"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01"/>
        </w:trPr>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7"/>
              </w:rPr>
              <w:t>31.2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0000FF"/>
              </w:rPr>
              <w:t>Certification of Principal Financial Officer pursuant to Exchange Act Rules 13a-14(a) and 15d-14(a).</w:t>
            </w:r>
          </w:p>
        </w:tc>
      </w:tr>
      <w:tr>
        <w:trPr>
          <w:trHeight w:val="520"/>
        </w:trPr>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9"/>
              </w:rPr>
              <w:t>32.1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Executive Officer pursuant to 18 U.S.C. 1350.</w:t>
            </w:r>
          </w:p>
        </w:tc>
        <w:tc>
          <w:tcPr>
            <w:tcW w:w="210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r>
      <w:tr>
        <w:trPr>
          <w:trHeight w:val="520"/>
        </w:trPr>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9"/>
              </w:rPr>
              <w:t>32.2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0000FF"/>
              </w:rPr>
              <w:t>Certification of Principal Financial Officer pursuant to 18 U.S.C. 1350.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546"/>
        </w:trPr>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3"/>
              </w:rPr>
              <w:t>101.INS†</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1"/>
              </w:rPr>
              <w:t>101.SCH†</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40"/>
        </w:trPr>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1"/>
              </w:rPr>
              <w:t>101.DEF†</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6"/>
              </w:rPr>
              <w:t>101.LAB†</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40"/>
        </w:trPr>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0"/>
              </w:rPr>
              <w:t>101.PRE†</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2"/>
        </w:trPr>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8"/>
              </w:rPr>
              <w:t>104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7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4"/>
        </w:trPr>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Filed herewith.</w:t>
            </w:r>
          </w:p>
        </w:tc>
        <w:tc>
          <w:tcPr>
            <w:tcW w:w="20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w w:val="93"/>
              </w:rPr>
              <w:t>Furnished herewith.</w:t>
            </w:r>
          </w:p>
        </w:tc>
        <w:tc>
          <w:tcPr>
            <w:tcW w:w="2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9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640"/>
          </w:cols>
          <w:pgMar w:left="240" w:top="108" w:right="10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6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0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Harry N. Pefanis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Second Amendment to Amended and Restated Employment Agreement (the “Amendment”) is made as of the 15th day of August, 2019 between Plains All American GP LLC, a Delaware limited liability company (the “Company”), and Harry N. Pefanis (“Employee”).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on June 30, 2001, the Company and Employee entered into that certain Amended and Restated Employment Agreement, which was amended on August 12, 2005, December 4, 2008, December 23, 2010 and October 21, 2013 (as amended, the “Agreement”); and</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Employee desire to further amend the Agreement to remove certain provisions relating to excise taxes.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mutual covenants and agreements contained herein and in the Agreement, and for other good and valuable consideration, the receipt and sufficiency of which are hereby acknowledged, the Company and Employee do hereby agree as follows:</w:t>
      </w:r>
    </w:p>
    <w:p>
      <w:pPr>
        <w:spacing w:after="0" w:line="226"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8(g) of the Agreement is hereby deleted in its entirety.</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Other than as amended hereby, the Agreement remains in full force and effect.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COMPANY:</w:t>
      </w:r>
    </w:p>
    <w:p>
      <w:pPr>
        <w:spacing w:after="0" w:line="341"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PLAINS ALL AMERICAN GP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tbl>
      <w:tblPr>
        <w:tblLayout w:type="fixed"/>
        <w:tblInd w:w="6900" w:type="dxa"/>
        <w:tblCellMar>
          <w:top w:w="0" w:type="dxa"/>
          <w:left w:w="0" w:type="dxa"/>
          <w:bottom w:w="0" w:type="dxa"/>
          <w:right w:w="0" w:type="dxa"/>
        </w:tblCellMar>
      </w:tblP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34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Richard McGee</w:t>
            </w:r>
          </w:p>
        </w:tc>
      </w:tr>
      <w:tr>
        <w:trPr>
          <w:trHeight w:val="297"/>
        </w:trPr>
        <w:tc>
          <w:tcPr>
            <w:tcW w:w="1220" w:type="dxa"/>
            <w:vAlign w:val="bottom"/>
            <w:gridSpan w:val="2"/>
          </w:tcPr>
          <w:p>
            <w:pPr>
              <w:spacing w:after="0"/>
              <w:rPr>
                <w:sz w:val="20"/>
                <w:szCs w:val="20"/>
                <w:color w:val="auto"/>
              </w:rPr>
            </w:pPr>
            <w:r>
              <w:rPr>
                <w:rFonts w:ascii="Arial" w:cs="Arial" w:eastAsia="Arial" w:hAnsi="Arial"/>
                <w:sz w:val="22"/>
                <w:szCs w:val="22"/>
                <w:color w:val="auto"/>
              </w:rPr>
              <w:t>Title:</w:t>
            </w:r>
          </w:p>
        </w:tc>
        <w:tc>
          <w:tcPr>
            <w:tcW w:w="330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r>
        <w:trPr>
          <w:trHeight w:val="594"/>
        </w:trPr>
        <w:tc>
          <w:tcPr>
            <w:tcW w:w="1220" w:type="dxa"/>
            <w:vAlign w:val="bottom"/>
            <w:gridSpan w:val="2"/>
          </w:tcPr>
          <w:p>
            <w:pPr>
              <w:spacing w:after="0"/>
              <w:rPr>
                <w:sz w:val="20"/>
                <w:szCs w:val="20"/>
                <w:color w:val="auto"/>
              </w:rPr>
            </w:pPr>
            <w:r>
              <w:rPr>
                <w:rFonts w:ascii="Arial" w:cs="Arial" w:eastAsia="Arial" w:hAnsi="Arial"/>
                <w:sz w:val="22"/>
                <w:szCs w:val="22"/>
                <w:color w:val="auto"/>
                <w:w w:val="94"/>
              </w:rPr>
              <w:t>EMPLOYEE:</w:t>
            </w:r>
          </w:p>
        </w:tc>
        <w:tc>
          <w:tcPr>
            <w:tcW w:w="3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576580</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Harry N. Pefanis</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137795</wp:posOffset>
            </wp:positionV>
            <wp:extent cx="1886585" cy="53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188658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2019 Regular Annual LTIP Grant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Officers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15, 2019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I am pleased to inform you that you have been granted «LTIP_Grant» Phantom Units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366" w:lineRule="exact"/>
        <w:rPr>
          <w:sz w:val="20"/>
          <w:szCs w:val="20"/>
          <w:color w:val="auto"/>
        </w:rPr>
      </w:pPr>
    </w:p>
    <w:p>
      <w:pPr>
        <w:ind w:left="2120" w:hanging="1464"/>
        <w:spacing w:after="0" w:line="284" w:lineRule="auto"/>
        <w:tabs>
          <w:tab w:leader="none" w:pos="1058" w:val="left"/>
        </w:tabs>
        <w:numPr>
          <w:ilvl w:val="0"/>
          <w:numId w:val="61"/>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50% on the August 2022 Distribution Date and 50% on the later of the August 2022 Distribution Date and the first Distribution Date following PAA’s achievement of distributable cash flow (“DCF”) per Common Unit on a trailing four quarter basis of at least $2.65 (such amount being subject to adjustment in the reasonable discretion of the CEO to account for significant asset sales). The applicable four quarter period for determining whether the requisite DCF per common unit has been achieved for vesting of your Phantom Units may not begin until after December 31, 2020. Any remaining Phantom Units that have not vested by the August 2024 Distribution Date shall expire on such date.</w:t>
      </w:r>
    </w:p>
    <w:p>
      <w:pPr>
        <w:spacing w:after="0" w:line="236" w:lineRule="exact"/>
        <w:rPr>
          <w:rFonts w:ascii="Arial" w:cs="Arial" w:eastAsia="Arial" w:hAnsi="Arial"/>
          <w:sz w:val="22"/>
          <w:szCs w:val="22"/>
          <w:color w:val="auto"/>
        </w:rPr>
      </w:pPr>
    </w:p>
    <w:p>
      <w:pPr>
        <w:ind w:left="2120" w:hanging="1464"/>
        <w:spacing w:after="0" w:line="311" w:lineRule="auto"/>
        <w:tabs>
          <w:tab w:leader="none" w:pos="1058" w:val="left"/>
        </w:tabs>
        <w:numPr>
          <w:ilvl w:val="0"/>
          <w:numId w:val="61"/>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DERs shall vest (become payable in cash) (i) 50% on the August 2020 Distribution Date and (ii) 50% on the first Distribution Date following January 1, 2021 on which PAA achieves DCF per common unit of at least $2.50 on a trailing four quarter basis.</w:t>
      </w:r>
    </w:p>
    <w:p>
      <w:pPr>
        <w:spacing w:after="0" w:line="209" w:lineRule="exact"/>
        <w:rPr>
          <w:rFonts w:ascii="Arial" w:cs="Arial" w:eastAsia="Arial" w:hAnsi="Arial"/>
          <w:sz w:val="21"/>
          <w:szCs w:val="21"/>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00" w:lineRule="exact"/>
        <w:rPr>
          <w:sz w:val="20"/>
          <w:szCs w:val="20"/>
          <w:color w:val="auto"/>
        </w:rPr>
      </w:pPr>
    </w:p>
    <w:p>
      <w:pPr>
        <w:spacing w:after="0" w:line="333"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35"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hanging="1464"/>
        <w:spacing w:after="0" w:line="357" w:lineRule="auto"/>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number of Phantom Units subject to this award and the distributable cash flow level required for vesting under paragraphs 1 and 2 above shall be proportionately reduced or increased for any split or reverse split, respectively, of PAA Common Units, or any event or transaction having a similar effect.</w:t>
      </w:r>
    </w:p>
    <w:p>
      <w:pPr>
        <w:spacing w:after="0" w:line="389" w:lineRule="exact"/>
        <w:rPr>
          <w:rFonts w:ascii="Arial" w:cs="Arial" w:eastAsia="Arial" w:hAnsi="Arial"/>
          <w:sz w:val="19"/>
          <w:szCs w:val="19"/>
          <w:color w:val="auto"/>
        </w:rPr>
      </w:pPr>
    </w:p>
    <w:p>
      <w:pPr>
        <w:ind w:left="2120" w:hanging="1464"/>
        <w:spacing w:after="0" w:line="292" w:lineRule="auto"/>
        <w:tabs>
          <w:tab w:leader="none" w:pos="10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335" w:lineRule="auto"/>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193" w:lineRule="exact"/>
        <w:rPr>
          <w:rFonts w:ascii="Arial" w:cs="Arial" w:eastAsia="Arial" w:hAnsi="Arial"/>
          <w:sz w:val="19"/>
          <w:szCs w:val="19"/>
          <w:color w:val="auto"/>
        </w:rPr>
      </w:pPr>
    </w:p>
    <w:p>
      <w:pPr>
        <w:ind w:left="2120" w:hanging="1464"/>
        <w:spacing w:after="0" w:line="331" w:lineRule="auto"/>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ectPr>
          <w:pgSz w:w="11900" w:h="16838" w:orient="portrait"/>
          <w:cols w:equalWidth="0" w:num="1">
            <w:col w:w="11420"/>
          </w:cols>
          <w:pgMar w:left="240" w:top="145"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hanging="1464"/>
        <w:spacing w:after="0" w:line="288" w:lineRule="auto"/>
        <w:tabs>
          <w:tab w:leader="none" w:pos="10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71" w:lineRule="exact"/>
        <w:rPr>
          <w:rFonts w:ascii="Arial" w:cs="Arial" w:eastAsia="Arial" w:hAnsi="Arial"/>
          <w:sz w:val="22"/>
          <w:szCs w:val="22"/>
          <w:color w:val="auto"/>
        </w:rPr>
      </w:pPr>
    </w:p>
    <w:p>
      <w:pPr>
        <w:ind w:left="2120" w:hanging="1464"/>
        <w:spacing w:after="0" w:line="288" w:lineRule="auto"/>
        <w:tabs>
          <w:tab w:leader="none" w:pos="10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29" w:lineRule="exact"/>
        <w:rPr>
          <w:sz w:val="20"/>
          <w:szCs w:val="20"/>
          <w:color w:val="auto"/>
        </w:rPr>
      </w:pPr>
    </w:p>
    <w:p>
      <w:pPr>
        <w:jc w:val="both"/>
        <w:ind w:left="1580" w:hanging="924"/>
        <w:spacing w:after="0" w:line="288" w:lineRule="auto"/>
        <w:tabs>
          <w:tab w:leader="none" w:pos="15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ectPr>
          <w:pgSz w:w="11900" w:h="16838" w:orient="portrait"/>
          <w:cols w:equalWidth="0" w:num="1">
            <w:col w:w="11420"/>
          </w:cols>
          <w:pgMar w:left="240" w:top="145"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80" w:hanging="924"/>
        <w:spacing w:after="0" w:line="281" w:lineRule="auto"/>
        <w:tabs>
          <w:tab w:leader="none" w:pos="15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Arial" w:cs="Arial" w:eastAsia="Arial" w:hAnsi="Arial"/>
          <w:sz w:val="22"/>
          <w:szCs w:val="22"/>
          <w:color w:val="auto"/>
        </w:rPr>
      </w:pPr>
    </w:p>
    <w:p>
      <w:pPr>
        <w:ind w:left="1580" w:hanging="924"/>
        <w:spacing w:after="0" w:line="281" w:lineRule="auto"/>
        <w:tabs>
          <w:tab w:leader="none" w:pos="15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88" w:lineRule="auto"/>
        <w:tabs>
          <w:tab w:leader="none" w:pos="15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«Officer»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August 15,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a grant in the event of your death. Unless you indicate otherwise by checking the box below,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Units:</w:t>
        <w:tab/>
        <w:t>«LTIP_Grant»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1042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 Check this box only if this beneficiary designation does not apply to prior grants.</w:t>
      </w:r>
    </w:p>
    <w:p>
      <w:pPr>
        <w:sectPr>
          <w:pgSz w:w="11900" w:h="16838" w:orient="portrait"/>
          <w:cols w:equalWidth="0" w:num="1">
            <w:col w:w="11440"/>
          </w:cols>
          <w:pgMar w:left="240" w:top="145"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2019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15, 2019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[amount]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right="20" w:hanging="968"/>
        <w:spacing w:after="0" w:line="343" w:lineRule="auto"/>
        <w:tabs>
          <w:tab w:leader="none" w:pos="652"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2023 Distribution Date.</w:t>
      </w:r>
    </w:p>
    <w:p>
      <w:pPr>
        <w:spacing w:after="0" w:line="145" w:lineRule="exact"/>
        <w:rPr>
          <w:rFonts w:ascii="Arial" w:cs="Arial" w:eastAsia="Arial" w:hAnsi="Arial"/>
          <w:sz w:val="19"/>
          <w:szCs w:val="19"/>
          <w:color w:val="auto"/>
        </w:rPr>
      </w:pPr>
    </w:p>
    <w:p>
      <w:pPr>
        <w:ind w:left="1300" w:hanging="968"/>
        <w:spacing w:after="0" w:line="263" w:lineRule="auto"/>
        <w:tabs>
          <w:tab w:leader="none" w:pos="652"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hanging="968"/>
        <w:spacing w:after="0" w:line="250" w:lineRule="auto"/>
        <w:tabs>
          <w:tab w:leader="none" w:pos="652"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82" w:name="page83"/>
    <w:bookmarkEnd w:id="82"/>
    <w:p>
      <w:pPr>
        <w:ind w:left="9960"/>
        <w:spacing w:after="0"/>
        <w:rPr>
          <w:sz w:val="20"/>
          <w:szCs w:val="20"/>
          <w:color w:val="auto"/>
        </w:rPr>
      </w:pPr>
      <w:r>
        <w:rPr>
          <w:rFonts w:ascii="Arial" w:cs="Arial" w:eastAsia="Arial" w:hAnsi="Arial"/>
          <w:sz w:val="19"/>
          <w:szCs w:val="19"/>
          <w:color w:val="auto"/>
        </w:rPr>
        <w:t>August 15, 2019</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[Name]</w:t>
            </w:r>
          </w:p>
        </w:tc>
        <w:tc>
          <w:tcPr>
            <w:tcW w:w="272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hanging="968"/>
        <w:spacing w:after="0" w:line="297" w:lineRule="auto"/>
        <w:tabs>
          <w:tab w:leader="none" w:pos="6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280" w:right="239" w:bottom="1440" w:gutter="0" w:footer="0" w:header="0"/>
        </w:sectPr>
      </w:pPr>
    </w:p>
    <w:bookmarkStart w:id="83" w:name="page84"/>
    <w:bookmarkEnd w:id="83"/>
    <w:p>
      <w:pPr>
        <w:ind w:left="9960"/>
        <w:spacing w:after="0"/>
        <w:rPr>
          <w:sz w:val="20"/>
          <w:szCs w:val="20"/>
          <w:color w:val="auto"/>
        </w:rPr>
      </w:pPr>
      <w:r>
        <w:rPr>
          <w:rFonts w:ascii="Arial" w:cs="Arial" w:eastAsia="Arial" w:hAnsi="Arial"/>
          <w:sz w:val="19"/>
          <w:szCs w:val="19"/>
          <w:color w:val="auto"/>
        </w:rPr>
        <w:t>August 15, 2019</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[Name]</w:t>
            </w:r>
          </w:p>
        </w:tc>
        <w:tc>
          <w:tcPr>
            <w:tcW w:w="2720" w:type="dxa"/>
            <w:vAlign w:val="bottom"/>
          </w:tcPr>
          <w:p>
            <w:pPr>
              <w:jc w:val="right"/>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17754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640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1."/>
      <w:numFmt w:val="decimal"/>
      <w:start w:val="90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3"/>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lowerRoman"/>
      <w:start w:val="2"/>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4"/>
    </w:lvl>
  </w:abstractNum>
  <w:abstractNum w:abstractNumId="62">
    <w:nsid w:val="5F5E7FD0"/>
    <w:multiLevelType w:val="hybridMultilevel"/>
    <w:lvl w:ilvl="0">
      <w:lvlJc w:val="left"/>
      <w:lvlText w:val="%1."/>
      <w:numFmt w:val="decimal"/>
      <w:start w:val="8"/>
    </w:lvl>
  </w:abstractNum>
  <w:abstractNum w:abstractNumId="63">
    <w:nsid w:val="98A3148"/>
    <w:multiLevelType w:val="hybridMultilevel"/>
    <w:lvl w:ilvl="0">
      <w:lvlJc w:val="left"/>
      <w:lvlText w:val="(%1)"/>
      <w:numFmt w:val="lowerRoman"/>
      <w:start w:val="1"/>
    </w:lvl>
  </w:abstractNum>
  <w:abstractNum w:abstractNumId="64">
    <w:nsid w:val="799D0247"/>
    <w:multiLevelType w:val="hybridMultilevel"/>
    <w:lvl w:ilvl="0">
      <w:lvlJc w:val="left"/>
      <w:lvlText w:val="(%1)"/>
      <w:numFmt w:val="lowerRoman"/>
      <w:start w:val="2"/>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Roman"/>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73" Type="http://schemas.openxmlformats.org/officeDocument/2006/relationships/image" Target="media/image37.pn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jpeg"/><Relationship Id="rId77" Type="http://schemas.openxmlformats.org/officeDocument/2006/relationships/image" Target="media/image41.png"/><Relationship Id="rId78" Type="http://schemas.openxmlformats.org/officeDocument/2006/relationships/image" Target="media/image42.jpe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44" Type="http://schemas.openxmlformats.org/officeDocument/2006/relationships/hyperlink" Target="http://www.sec.gov/Archives/edgar/data/1581990/000104746913007875/a2216069zex-3_1.htm" TargetMode="External"/><Relationship Id="rId45" Type="http://schemas.openxmlformats.org/officeDocument/2006/relationships/hyperlink" Target="http://www.sec.gov/Archives/edgar/data/1581990/000110465916158356/a16-21845_1ex3d2.htm" TargetMode="External"/><Relationship Id="rId46" Type="http://schemas.openxmlformats.org/officeDocument/2006/relationships/hyperlink" Target="http://www.sec.gov/Archives/edgar/data/1581990/000104746913007875/a2216069zex-3_3.htm" TargetMode="External"/><Relationship Id="rId47" Type="http://schemas.openxmlformats.org/officeDocument/2006/relationships/hyperlink" Target="http://www.sec.gov/Archives/edgar/data/1581990/000110465917010602/a17-6893_1ex3d1.htm" TargetMode="External"/><Relationship Id="rId48" Type="http://schemas.openxmlformats.org/officeDocument/2006/relationships/hyperlink" Target="http://www.sec.gov/Archives/edgar/data/1581990/000110465918052852/a18-18386_2ex3d1.htm" TargetMode="External"/><Relationship Id="rId49" Type="http://schemas.openxmlformats.org/officeDocument/2006/relationships/hyperlink" Target="http://www.sec.gov/Archives/edgar/data/1070423/000110465917061889/a17-22685_5ex3d1.htm" TargetMode="External"/><Relationship Id="rId50" Type="http://schemas.openxmlformats.org/officeDocument/2006/relationships/hyperlink" Target="http://www.sec.gov/Archives/edgar/data/1581990/000110465916158356/a16-21845_1ex3d3.htm" TargetMode="External"/><Relationship Id="rId51" Type="http://schemas.openxmlformats.org/officeDocument/2006/relationships/hyperlink" Target="http://www.sec.gov/Archives/edgar/data/1581990/000110465916158356/a16-21845_1ex3d4.htm" TargetMode="External"/><Relationship Id="rId52" Type="http://schemas.openxmlformats.org/officeDocument/2006/relationships/hyperlink" Target="http://www.sec.gov/Archives/edgar/data/1581990/000110465918060012/a18-36197_1ex3d1.htm" TargetMode="External"/><Relationship Id="rId53" Type="http://schemas.openxmlformats.org/officeDocument/2006/relationships/hyperlink" Target="http://www.sec.gov/Archives/edgar/data/1581990/000110465919032813/a19-10857_1ex3d1.htm" TargetMode="External"/><Relationship Id="rId54" Type="http://schemas.openxmlformats.org/officeDocument/2006/relationships/hyperlink" Target="http://www.sec.gov/Archives/edgar/data/1070423/000095012908000071/h52770exv3w3.htm" TargetMode="External"/><Relationship Id="rId55" Type="http://schemas.openxmlformats.org/officeDocument/2006/relationships/hyperlink" Target="http://www.sec.gov/Archives/edgar/data/1070423/000089924302002834/dex41.txt" TargetMode="External"/><Relationship Id="rId56" Type="http://schemas.openxmlformats.org/officeDocument/2006/relationships/hyperlink" Target="http://www.sec.gov/Archives/edgar/data/1070423/000110465906034368/a06-11663_1ex4d1.htm" TargetMode="External"/><Relationship Id="rId57" Type="http://schemas.openxmlformats.org/officeDocument/2006/relationships/hyperlink" Target="http://www.sec.gov/Archives/edgar/data/1070423/000095012906009235/h40667exv4w2.htm" TargetMode="External"/><Relationship Id="rId58" Type="http://schemas.openxmlformats.org/officeDocument/2006/relationships/hyperlink" Target="http://www.sec.gov/Archives/edgar/data/1070423/000095012309041075/h67912exv4w1.htm" TargetMode="External"/><Relationship Id="rId59" Type="http://schemas.openxmlformats.org/officeDocument/2006/relationships/hyperlink" Target="http://www.sec.gov/Archives/edgar/data/1070423/000095012311002051/h78739exv4w1.htm" TargetMode="External"/><Relationship Id="rId60" Type="http://schemas.openxmlformats.org/officeDocument/2006/relationships/hyperlink" Target="http://www.sec.gov/Archives/edgar/data/1070423/000119312512132295/d321017dex41.htm" TargetMode="External"/><Relationship Id="rId61" Type="http://schemas.openxmlformats.org/officeDocument/2006/relationships/hyperlink" Target="http://www.sec.gov/Archives/edgar/data/1070423/000119312512132295/d321017dex43.htm" TargetMode="External"/><Relationship Id="rId62" Type="http://schemas.openxmlformats.org/officeDocument/2006/relationships/hyperlink" Target="http://www.sec.gov/Archives/edgar/data/1070423/000119312512499932/d453762dex41.htm" TargetMode="External"/><Relationship Id="rId63" Type="http://schemas.openxmlformats.org/officeDocument/2006/relationships/hyperlink" Target="http://www.sec.gov/Archives/edgar/data/1070423/000119312512499932/d453762dex43.htm" TargetMode="External"/><Relationship Id="rId64" Type="http://schemas.openxmlformats.org/officeDocument/2006/relationships/hyperlink" Target="http://www.sec.gov/Archives/edgar/data/1070423/000119312513336066/d581734dex41.htm" TargetMode="External"/><Relationship Id="rId65" Type="http://schemas.openxmlformats.org/officeDocument/2006/relationships/hyperlink" Target="http://www.sec.gov/Archives/edgar/data/1581990/000119312514164185/d717953dex41.htm" TargetMode="External"/><Relationship Id="rId66" Type="http://schemas.openxmlformats.org/officeDocument/2006/relationships/hyperlink" Target="http://www.sec.gov/Archives/edgar/data/1581990/000119312514338295/d787197dex41.htm" TargetMode="External"/><Relationship Id="rId67" Type="http://schemas.openxmlformats.org/officeDocument/2006/relationships/hyperlink" Target="http://www.sec.gov/Archives/edgar/data/1581990/000119312514440012/d835488dex41.htm" TargetMode="External"/><Relationship Id="rId68" Type="http://schemas.openxmlformats.org/officeDocument/2006/relationships/hyperlink" Target="http://www.sec.gov/Archives/edgar/data/1581990/000119312514440012/d835488dex43.htm" TargetMode="External"/><Relationship Id="rId69" Type="http://schemas.openxmlformats.org/officeDocument/2006/relationships/hyperlink" Target="http://www.sec.gov/Archives/edgar/data/1070423/000119312515302829/d45393dex41.htm" TargetMode="External"/><Relationship Id="rId70" Type="http://schemas.openxmlformats.org/officeDocument/2006/relationships/hyperlink" Target="http://www.sec.gov/Archives/edgar/data/1070423/000110465916159593/a16-22232_1ex4d1.htm" TargetMode="External"/><Relationship Id="rId71" Type="http://schemas.openxmlformats.org/officeDocument/2006/relationships/hyperlink" Target="http://www.sec.gov/Archives/edgar/data/1070423/000141057819001281/0001410578-19-001281-index.htm" TargetMode="External"/><Relationship Id="rId72" Type="http://schemas.openxmlformats.org/officeDocument/2006/relationships/hyperlink" Target="http://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2020-01-09T07:35:55Z</dcterms:created>
  <dcterms:modified xsi:type="dcterms:W3CDTF">2020-01-09T07:35:55Z</dcterms:modified>
</cp:coreProperties>
</file>