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hyperlink w:anchor="TableOfContents">
        <w:bookmarkStart w:id="0" w:name="a13-22383_110q.htm"/>
        <w:bookmarkStart w:id="1" w:name="ksa1322383_110q"/>
        <w:bookmarkEnd w:id="0"/>
        <w:bookmarkEnd w:id="1"/>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10-Q</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616"/>
        <w:gridCol w:w="9589"/>
      </w:tblGrid>
      <w:tr>
        <w:trPr/>
        <w:tc>
          <w:tcPr>
            <w:tcW w:w="616" w:type="dxa"/>
            <w:tcBorders/>
            <w:shd w:fill="auto" w:val="clear"/>
          </w:tcPr>
          <w:p>
            <w:pPr>
              <w:pStyle w:val="TableContents"/>
              <w:spacing w:before="0" w:after="0"/>
              <w:ind w:left="0" w:right="0" w:hanging="0"/>
              <w:jc w:val="center"/>
              <w:rPr>
                <w:rFonts w:ascii="Wingdings" w:hAnsi="Wingdings"/>
                <w:b/>
                <w:sz w:val="20"/>
              </w:rPr>
            </w:pPr>
            <w:r>
              <w:rPr>
                <w:rFonts w:ascii="Wingdings" w:hAnsi="Wingdings"/>
                <w:b/>
                <w:sz w:val="20"/>
              </w:rPr>
              <w:t>x</w:t>
            </w:r>
          </w:p>
        </w:tc>
        <w:tc>
          <w:tcPr>
            <w:tcW w:w="9589"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 the quarterly period ended September 30,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OR</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17"/>
        <w:gridCol w:w="9588"/>
      </w:tblGrid>
      <w:tr>
        <w:trPr/>
        <w:tc>
          <w:tcPr>
            <w:tcW w:w="617" w:type="dxa"/>
            <w:tcBorders/>
            <w:shd w:fill="auto" w:val="clear"/>
          </w:tcPr>
          <w:p>
            <w:pPr>
              <w:pStyle w:val="TableContents"/>
              <w:spacing w:before="0" w:after="0"/>
              <w:ind w:left="0" w:right="0" w:hanging="0"/>
              <w:jc w:val="center"/>
              <w:rPr>
                <w:rFonts w:ascii="Wingdings" w:hAnsi="Wingdings"/>
                <w:b/>
                <w:sz w:val="20"/>
              </w:rPr>
            </w:pPr>
            <w:r>
              <w:rPr>
                <w:rFonts w:ascii="Wingdings" w:hAnsi="Wingdings"/>
                <w:b/>
                <w:sz w:val="20"/>
              </w:rPr>
              <w:t>o</w:t>
            </w:r>
          </w:p>
        </w:tc>
        <w:tc>
          <w:tcPr>
            <w:tcW w:w="958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Commission file number: 1-36132</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GP HOLDINGS,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4999"/>
        <w:gridCol w:w="206"/>
        <w:gridCol w:w="5000"/>
      </w:tblGrid>
      <w:tr>
        <w:trPr/>
        <w:tc>
          <w:tcPr>
            <w:tcW w:w="4999"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90-1005472</w:t>
            </w:r>
          </w:p>
        </w:tc>
      </w:tr>
      <w:tr>
        <w:trPr/>
        <w:tc>
          <w:tcPr>
            <w:tcW w:w="499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tc>
      </w:tr>
      <w:tr>
        <w:trPr/>
        <w:tc>
          <w:tcPr>
            <w:tcW w:w="499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 or organization)</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bl>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4999"/>
        <w:gridCol w:w="206"/>
        <w:gridCol w:w="5000"/>
      </w:tblGrid>
      <w:tr>
        <w:trPr/>
        <w:tc>
          <w:tcPr>
            <w:tcW w:w="4999"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77002</w:t>
            </w:r>
          </w:p>
        </w:tc>
      </w:tr>
      <w:tr>
        <w:trPr/>
        <w:tc>
          <w:tcPr>
            <w:tcW w:w="499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 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sz w:val="17"/>
        </w:rPr>
        <w:t>o</w:t>
      </w:r>
      <w:r>
        <w:rPr>
          <w:rFonts w:ascii="Times New Roman" w:hAnsi="Times New Roman"/>
        </w:rPr>
        <w:t> </w:t>
      </w:r>
      <w:r>
        <w:rPr>
          <w:rFonts w:ascii="Times New Roman" w:hAnsi="Times New Roman"/>
          <w:sz w:val="17"/>
        </w:rPr>
        <w:t>Yes  </w:t>
      </w:r>
      <w:r>
        <w:rPr>
          <w:rFonts w:ascii="Wingdings" w:hAnsi="Wingdings"/>
          <w:sz w:val="17"/>
        </w:rPr>
        <w:t>x</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w:t>
      </w:r>
      <w:r>
        <w:rPr>
          <w:rFonts w:ascii="Wingdings" w:hAnsi="Wingdings"/>
          <w:sz w:val="17"/>
        </w:rPr>
        <w:t>x</w:t>
      </w:r>
      <w:r>
        <w:rPr>
          <w:rFonts w:ascii="Times New Roman" w:hAnsi="Times New Roman"/>
        </w:rPr>
        <w:t> </w:t>
      </w:r>
      <w:r>
        <w:rPr>
          <w:rFonts w:ascii="Times New Roman" w:hAnsi="Times New Roman"/>
          <w:sz w:val="17"/>
        </w:rPr>
        <w:t>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4998"/>
        <w:gridCol w:w="208"/>
        <w:gridCol w:w="4999"/>
      </w:tblGrid>
      <w:tr>
        <w:trPr/>
        <w:tc>
          <w:tcPr>
            <w:tcW w:w="4998" w:type="dxa"/>
            <w:tcBorders/>
            <w:shd w:fill="auto" w:val="clear"/>
          </w:tcPr>
          <w:p>
            <w:pPr>
              <w:pStyle w:val="TableContents"/>
              <w:spacing w:before="0" w:after="0"/>
              <w:ind w:left="0" w:right="0" w:hanging="0"/>
              <w:jc w:val="center"/>
              <w:rPr/>
            </w:pPr>
            <w:r>
              <w:rPr>
                <w:rFonts w:ascii="Times New Roman" w:hAnsi="Times New Roman"/>
                <w:sz w:val="17"/>
              </w:rPr>
              <w:t>Large accelerated filer  </w:t>
            </w:r>
            <w:r>
              <w:rPr>
                <w:rFonts w:ascii="Wingdings" w:hAnsi="Wingdings"/>
                <w:sz w:val="17"/>
              </w:rPr>
              <w:t>o</w:t>
            </w:r>
          </w:p>
        </w:tc>
        <w:tc>
          <w:tcPr>
            <w:tcW w:w="208" w:type="dxa"/>
            <w:tcBorders/>
            <w:shd w:fill="auto" w:val="clear"/>
            <w:vAlign w:val="bottom"/>
          </w:tcPr>
          <w:p>
            <w:pPr>
              <w:pStyle w:val="TableContents"/>
              <w:spacing w:before="0" w:after="0"/>
              <w:ind w:left="0" w:right="0" w:hanging="0"/>
              <w:rPr/>
            </w:pPr>
            <w:r>
              <w:rPr/>
              <w:t> </w:t>
            </w:r>
          </w:p>
        </w:tc>
        <w:tc>
          <w:tcPr>
            <w:tcW w:w="4999" w:type="dxa"/>
            <w:tcBorders/>
            <w:shd w:fill="auto" w:val="clear"/>
          </w:tcPr>
          <w:p>
            <w:pPr>
              <w:pStyle w:val="TableContents"/>
              <w:spacing w:before="0" w:after="0"/>
              <w:ind w:left="0" w:right="0" w:hanging="0"/>
              <w:jc w:val="center"/>
              <w:rPr/>
            </w:pPr>
            <w:r>
              <w:rPr>
                <w:rFonts w:ascii="Times New Roman" w:hAnsi="Times New Roman"/>
                <w:sz w:val="17"/>
              </w:rPr>
              <w:t>Accelerated filer  </w:t>
            </w:r>
            <w:r>
              <w:rPr>
                <w:rFonts w:ascii="Wingdings" w:hAnsi="Wingdings"/>
                <w:sz w:val="17"/>
              </w:rPr>
              <w:t>o</w:t>
            </w:r>
          </w:p>
        </w:tc>
      </w:tr>
      <w:tr>
        <w:trPr/>
        <w:tc>
          <w:tcPr>
            <w:tcW w:w="4998" w:type="dxa"/>
            <w:tcBorders/>
            <w:shd w:fill="auto" w:val="clear"/>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rPr/>
            </w:pPr>
            <w:r>
              <w:rPr/>
              <w:t> </w:t>
            </w:r>
          </w:p>
        </w:tc>
        <w:tc>
          <w:tcPr>
            <w:tcW w:w="4999" w:type="dxa"/>
            <w:tcBorders/>
            <w:shd w:fill="auto" w:val="clear"/>
          </w:tcPr>
          <w:p>
            <w:pPr>
              <w:pStyle w:val="TableContents"/>
              <w:spacing w:before="0" w:after="0"/>
              <w:ind w:left="0" w:right="0" w:hanging="0"/>
              <w:jc w:val="center"/>
              <w:rPr/>
            </w:pPr>
            <w:r>
              <w:rPr/>
              <w:t> </w:t>
            </w:r>
          </w:p>
        </w:tc>
      </w:tr>
      <w:tr>
        <w:trPr/>
        <w:tc>
          <w:tcPr>
            <w:tcW w:w="4998" w:type="dxa"/>
            <w:tcBorders/>
            <w:shd w:fill="auto" w:val="clear"/>
          </w:tcPr>
          <w:p>
            <w:pPr>
              <w:pStyle w:val="TableContents"/>
              <w:spacing w:before="0" w:after="0"/>
              <w:ind w:left="0" w:right="0" w:hanging="0"/>
              <w:jc w:val="center"/>
              <w:rPr/>
            </w:pPr>
            <w:r>
              <w:rPr>
                <w:rFonts w:ascii="Times New Roman" w:hAnsi="Times New Roman"/>
                <w:sz w:val="17"/>
              </w:rPr>
              <w:t>Non-accelerated filer  </w:t>
            </w:r>
            <w:r>
              <w:rPr>
                <w:rFonts w:ascii="Wingdings" w:hAnsi="Wingdings"/>
                <w:sz w:val="17"/>
              </w:rPr>
              <w:t>x</w:t>
            </w:r>
          </w:p>
        </w:tc>
        <w:tc>
          <w:tcPr>
            <w:tcW w:w="208" w:type="dxa"/>
            <w:tcBorders/>
            <w:shd w:fill="auto" w:val="clear"/>
            <w:vAlign w:val="bottom"/>
          </w:tcPr>
          <w:p>
            <w:pPr>
              <w:pStyle w:val="TableContents"/>
              <w:spacing w:before="0" w:after="0"/>
              <w:ind w:left="0" w:right="0" w:hanging="0"/>
              <w:rPr/>
            </w:pPr>
            <w:r>
              <w:rPr/>
              <w:t> </w:t>
            </w:r>
          </w:p>
        </w:tc>
        <w:tc>
          <w:tcPr>
            <w:tcW w:w="4999" w:type="dxa"/>
            <w:tcBorders/>
            <w:shd w:fill="auto" w:val="clear"/>
          </w:tcPr>
          <w:p>
            <w:pPr>
              <w:pStyle w:val="TableContents"/>
              <w:spacing w:before="0" w:after="0"/>
              <w:ind w:left="0" w:right="0" w:hanging="0"/>
              <w:jc w:val="center"/>
              <w:rPr/>
            </w:pPr>
            <w:r>
              <w:rPr>
                <w:rFonts w:ascii="Times New Roman" w:hAnsi="Times New Roman"/>
                <w:sz w:val="17"/>
              </w:rPr>
              <w:t>Smaller reporting company  </w:t>
            </w:r>
            <w:r>
              <w:rPr>
                <w:rFonts w:ascii="Wingdings" w:hAnsi="Wingdings"/>
                <w:sz w:val="17"/>
              </w:rPr>
              <w:t>o</w:t>
            </w:r>
          </w:p>
        </w:tc>
      </w:tr>
      <w:tr>
        <w:trPr/>
        <w:tc>
          <w:tcPr>
            <w:tcW w:w="499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(Do not check if a smaller reporting company)</w:t>
            </w:r>
          </w:p>
        </w:tc>
        <w:tc>
          <w:tcPr>
            <w:tcW w:w="208" w:type="dxa"/>
            <w:tcBorders/>
            <w:shd w:fill="auto" w:val="clear"/>
            <w:vAlign w:val="bottom"/>
          </w:tcPr>
          <w:p>
            <w:pPr>
              <w:pStyle w:val="TableContents"/>
              <w:spacing w:before="0" w:after="0"/>
              <w:ind w:left="0" w:right="0" w:hanging="0"/>
              <w:rPr/>
            </w:pPr>
            <w:r>
              <w:rPr/>
              <w:t> </w:t>
            </w:r>
          </w:p>
        </w:tc>
        <w:tc>
          <w:tcPr>
            <w:tcW w:w="4999"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whether the registrant is a shell company (as defined in Rule 12b-2 of the Exchange Act).  </w:t>
      </w:r>
      <w:r>
        <w:rPr>
          <w:rFonts w:ascii="Wingdings" w:hAnsi="Wingdings"/>
          <w:sz w:val="17"/>
        </w:rPr>
        <w:t>o</w:t>
      </w:r>
      <w:r>
        <w:rPr>
          <w:rFonts w:ascii="Times New Roman" w:hAnsi="Times New Roman"/>
        </w:rPr>
        <w:t> </w:t>
      </w:r>
      <w:r>
        <w:rPr>
          <w:rFonts w:ascii="Times New Roman" w:hAnsi="Times New Roman"/>
          <w:sz w:val="17"/>
        </w:rPr>
        <w:t>Yes  </w:t>
      </w:r>
      <w:r>
        <w:rPr>
          <w:rFonts w:ascii="Wingdings" w:hAnsi="Wingdings"/>
          <w:sz w:val="17"/>
        </w:rPr>
        <w:t>x</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November 15, 2013, there were 132,382,094 Class A Shares outstanding.</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GP HOLDINGS,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bookmarkStart w:id="2" w:name="TableOfContents"/>
      <w:bookmarkEnd w:id="2"/>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587"/>
        <w:gridCol w:w="618"/>
      </w:tblGrid>
      <w:tr>
        <w:trPr/>
        <w:tc>
          <w:tcPr>
            <w:tcW w:w="9587" w:type="dxa"/>
            <w:tcBorders/>
            <w:shd w:fill="auto" w:val="clear"/>
            <w:vAlign w:val="bottom"/>
          </w:tcPr>
          <w:p>
            <w:pPr>
              <w:pStyle w:val="TableContents"/>
              <w:spacing w:before="0" w:after="0"/>
              <w:ind w:left="0" w:right="0" w:hanging="0"/>
              <w:rPr/>
            </w:pPr>
            <w:r>
              <w:rPr/>
              <w:t> </w:t>
            </w:r>
          </w:p>
        </w:tc>
        <w:tc>
          <w:tcPr>
            <w:tcW w:w="61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9587" w:type="dxa"/>
            <w:tcBorders/>
            <w:shd w:fill="auto" w:val="clear"/>
          </w:tcPr>
          <w:p>
            <w:pPr>
              <w:pStyle w:val="TableContents"/>
              <w:spacing w:before="0" w:after="0"/>
              <w:ind w:left="0" w:right="0" w:hanging="0"/>
              <w:rPr/>
            </w:pPr>
            <w:hyperlink w:anchor="Parti_FinancialInformation_151442">
              <w:r>
                <w:rPr>
                  <w:rStyle w:val="InternetLink"/>
                  <w:rFonts w:ascii="Times New Roman" w:hAnsi="Times New Roman"/>
                  <w:b/>
                  <w:sz w:val="17"/>
                </w:rPr>
                <w:t>PART I. FINANCIAL INFORMATION</w:t>
              </w:r>
            </w:hyperlink>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Item1_UnauditedCondensedConsolida_195833">
              <w:r>
                <w:rPr>
                  <w:rStyle w:val="InternetLink"/>
                  <w:rFonts w:ascii="Times New Roman" w:hAnsi="Times New Roman"/>
                  <w:sz w:val="17"/>
                </w:rPr>
                <w:t>Item 1. UNAUDITED CONDENSED CONSOLIDATED FINANCIAL STATEMENTS OF PLAINS ALL AMERICAN GP LLC AND SUBSIDIARIES (PREDECESSOR OF PLAINS GP HOLDINGS, L.P.):</w:t>
              </w:r>
            </w:hyperlink>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CondensedConsolidatedBalanceSheet_151457">
              <w:r>
                <w:rPr>
                  <w:rStyle w:val="InternetLink"/>
                  <w:rFonts w:ascii="Times New Roman" w:hAnsi="Times New Roman"/>
                  <w:sz w:val="17"/>
                </w:rPr>
                <w:t>Condensed Consolidated Balance Sheets: September 30, 2013 and December 31, 2012</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9587" w:type="dxa"/>
            <w:tcBorders/>
            <w:shd w:fill="auto" w:val="clear"/>
          </w:tcPr>
          <w:p>
            <w:pPr>
              <w:pStyle w:val="TableContents"/>
              <w:spacing w:before="0" w:after="0"/>
              <w:ind w:left="0" w:right="0" w:hanging="0"/>
              <w:rPr/>
            </w:pPr>
            <w:hyperlink w:anchor="CondensedConsolidatedStatementsOf_151502">
              <w:r>
                <w:rPr>
                  <w:rStyle w:val="InternetLink"/>
                  <w:rFonts w:ascii="Times New Roman" w:hAnsi="Times New Roman"/>
                  <w:sz w:val="17"/>
                </w:rPr>
                <w:t>Condensed Consolidated Statements of Operations: For the three and nine months ended September 30, 2013 and 2012</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587" w:type="dxa"/>
            <w:tcBorders/>
            <w:shd w:fill="auto" w:val="clear"/>
          </w:tcPr>
          <w:p>
            <w:pPr>
              <w:pStyle w:val="TableContents"/>
              <w:spacing w:before="0" w:after="0"/>
              <w:ind w:left="0" w:right="0" w:hanging="0"/>
              <w:rPr/>
            </w:pPr>
            <w:hyperlink w:anchor="StatementsOfComprehensiveIncome_151507">
              <w:r>
                <w:rPr>
                  <w:rStyle w:val="InternetLink"/>
                  <w:rFonts w:ascii="Times New Roman" w:hAnsi="Times New Roman"/>
                  <w:sz w:val="17"/>
                </w:rPr>
                <w:t>Condensed Consolidated Statements of Comprehensive Income: For the three and nine months ended September 30, 2013 and 2012</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587" w:type="dxa"/>
            <w:tcBorders/>
            <w:shd w:fill="auto" w:val="clear"/>
          </w:tcPr>
          <w:p>
            <w:pPr>
              <w:pStyle w:val="TableContents"/>
              <w:spacing w:before="0" w:after="0"/>
              <w:ind w:left="0" w:right="0" w:hanging="0"/>
              <w:rPr/>
            </w:pPr>
            <w:hyperlink w:anchor="ChangesInAccumulatedOtherComprehe_153713">
              <w:r>
                <w:rPr>
                  <w:rStyle w:val="InternetLink"/>
                  <w:rFonts w:ascii="Times New Roman" w:hAnsi="Times New Roman"/>
                  <w:sz w:val="17"/>
                </w:rPr>
                <w:t>Condensed Consolidated Statement of Changes in Accumulated Other Comprehensive Income: For the nine months ended September 30, 2013</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587" w:type="dxa"/>
            <w:tcBorders/>
            <w:shd w:fill="auto" w:val="clear"/>
          </w:tcPr>
          <w:p>
            <w:pPr>
              <w:pStyle w:val="TableContents"/>
              <w:spacing w:before="0" w:after="0"/>
              <w:ind w:left="0" w:right="0" w:hanging="0"/>
              <w:rPr/>
            </w:pPr>
            <w:hyperlink w:anchor="StatementsOfCashFlows_151512">
              <w:r>
                <w:rPr>
                  <w:rStyle w:val="InternetLink"/>
                  <w:rFonts w:ascii="Times New Roman" w:hAnsi="Times New Roman"/>
                  <w:sz w:val="17"/>
                </w:rPr>
                <w:t>Condensed Consolidated Statements of Cash Flows: For the nine months ended September 30, 2013 and 2012</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9587" w:type="dxa"/>
            <w:tcBorders/>
            <w:shd w:fill="auto" w:val="clear"/>
          </w:tcPr>
          <w:p>
            <w:pPr>
              <w:pStyle w:val="TableContents"/>
              <w:spacing w:before="0" w:after="0"/>
              <w:ind w:left="0" w:right="0" w:hanging="0"/>
              <w:rPr/>
            </w:pPr>
            <w:hyperlink w:anchor="StatementOfChangesInMembersEquity_151522">
              <w:r>
                <w:rPr>
                  <w:rStyle w:val="InternetLink"/>
                  <w:rFonts w:ascii="Times New Roman" w:hAnsi="Times New Roman"/>
                  <w:sz w:val="17"/>
                </w:rPr>
                <w:t>Condensed Consolidated Statement of Changes in Members Equity: For the nine months ended September 30, 2013</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587" w:type="dxa"/>
            <w:tcBorders/>
            <w:shd w:fill="auto" w:val="clear"/>
          </w:tcPr>
          <w:p>
            <w:pPr>
              <w:pStyle w:val="TableContents"/>
              <w:spacing w:before="0" w:after="0"/>
              <w:ind w:left="0" w:right="0" w:hanging="0"/>
              <w:rPr/>
            </w:pPr>
            <w:hyperlink w:anchor="NotesToCondensedConsolidatedFinan_150910">
              <w:r>
                <w:rPr>
                  <w:rStyle w:val="InternetLink"/>
                  <w:rFonts w:ascii="Times New Roman" w:hAnsi="Times New Roman"/>
                  <w:sz w:val="17"/>
                </w:rPr>
                <w:t>Notes to Condensed Consolidated Financial Statements: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9587" w:type="dxa"/>
            <w:tcBorders/>
            <w:shd w:fill="auto" w:val="clear"/>
          </w:tcPr>
          <w:p>
            <w:pPr>
              <w:pStyle w:val="TableContents"/>
              <w:spacing w:before="0" w:after="0"/>
              <w:ind w:left="0" w:right="0" w:hanging="0"/>
              <w:rPr/>
            </w:pPr>
            <w:hyperlink w:anchor="Note1organizationAndBasisOfPresen_152949">
              <w:r>
                <w:rPr>
                  <w:rStyle w:val="InternetLink"/>
                  <w:rFonts w:ascii="Times New Roman" w:hAnsi="Times New Roman"/>
                  <w:sz w:val="17"/>
                </w:rPr>
                <w:t>1. Organization and Basis of Presentation</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9587" w:type="dxa"/>
            <w:tcBorders/>
            <w:shd w:fill="auto" w:val="clear"/>
          </w:tcPr>
          <w:p>
            <w:pPr>
              <w:pStyle w:val="TableContents"/>
              <w:spacing w:before="0" w:after="0"/>
              <w:ind w:left="0" w:right="0" w:hanging="0"/>
              <w:rPr/>
            </w:pPr>
            <w:hyperlink w:anchor="Note2recentAccountingPronouncemen_152954">
              <w:r>
                <w:rPr>
                  <w:rStyle w:val="InternetLink"/>
                  <w:rFonts w:ascii="Times New Roman" w:hAnsi="Times New Roman"/>
                  <w:sz w:val="17"/>
                </w:rPr>
                <w:t>2. Recent Accounting Pronouncements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9587" w:type="dxa"/>
            <w:tcBorders/>
            <w:shd w:fill="auto" w:val="clear"/>
          </w:tcPr>
          <w:p>
            <w:pPr>
              <w:pStyle w:val="TableContents"/>
              <w:spacing w:before="0" w:after="0"/>
              <w:ind w:left="0" w:right="0" w:hanging="0"/>
              <w:rPr/>
            </w:pPr>
            <w:hyperlink w:anchor="Note3accountsReceivable_152958">
              <w:r>
                <w:rPr>
                  <w:rStyle w:val="InternetLink"/>
                  <w:rFonts w:ascii="Times New Roman" w:hAnsi="Times New Roman"/>
                  <w:sz w:val="17"/>
                </w:rPr>
                <w:t>3. Accounts Receivable</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9587" w:type="dxa"/>
            <w:tcBorders/>
            <w:shd w:fill="auto" w:val="clear"/>
          </w:tcPr>
          <w:p>
            <w:pPr>
              <w:pStyle w:val="TableContents"/>
              <w:spacing w:before="0" w:after="0"/>
              <w:ind w:left="0" w:right="0" w:hanging="0"/>
              <w:rPr/>
            </w:pPr>
            <w:hyperlink w:anchor="Note4dispositions_153002">
              <w:r>
                <w:rPr>
                  <w:rStyle w:val="InternetLink"/>
                  <w:rFonts w:ascii="Times New Roman" w:hAnsi="Times New Roman"/>
                  <w:sz w:val="17"/>
                </w:rPr>
                <w:t>4. Dispositions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9587" w:type="dxa"/>
            <w:tcBorders/>
            <w:shd w:fill="auto" w:val="clear"/>
          </w:tcPr>
          <w:p>
            <w:pPr>
              <w:pStyle w:val="TableContents"/>
              <w:spacing w:before="0" w:after="0"/>
              <w:ind w:left="0" w:right="0" w:hanging="0"/>
              <w:rPr/>
            </w:pPr>
            <w:hyperlink w:anchor="Note5inventoryLinefillAndBaseGasA_153004">
              <w:r>
                <w:rPr>
                  <w:rStyle w:val="InternetLink"/>
                  <w:rFonts w:ascii="Times New Roman" w:hAnsi="Times New Roman"/>
                  <w:sz w:val="17"/>
                </w:rPr>
                <w:t>5. Inventory, Linefill and Base Gas and Long-term Inventory</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9587" w:type="dxa"/>
            <w:tcBorders/>
            <w:shd w:fill="auto" w:val="clear"/>
          </w:tcPr>
          <w:p>
            <w:pPr>
              <w:pStyle w:val="TableContents"/>
              <w:spacing w:before="0" w:after="0"/>
              <w:ind w:left="0" w:right="0" w:hanging="0"/>
              <w:rPr/>
            </w:pPr>
            <w:hyperlink w:anchor="Note6Goodwill_153006">
              <w:r>
                <w:rPr>
                  <w:rStyle w:val="InternetLink"/>
                  <w:rFonts w:ascii="Times New Roman" w:hAnsi="Times New Roman"/>
                  <w:sz w:val="17"/>
                </w:rPr>
                <w:t>6. Goodwill</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9587" w:type="dxa"/>
            <w:tcBorders/>
            <w:shd w:fill="auto" w:val="clear"/>
          </w:tcPr>
          <w:p>
            <w:pPr>
              <w:pStyle w:val="TableContents"/>
              <w:spacing w:before="0" w:after="0"/>
              <w:ind w:left="0" w:right="0" w:hanging="0"/>
              <w:rPr/>
            </w:pPr>
            <w:hyperlink w:anchor="Note7debt_153009">
              <w:r>
                <w:rPr>
                  <w:rStyle w:val="InternetLink"/>
                  <w:rFonts w:ascii="Times New Roman" w:hAnsi="Times New Roman"/>
                  <w:sz w:val="17"/>
                </w:rPr>
                <w:t>7. Debt</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9587" w:type="dxa"/>
            <w:tcBorders/>
            <w:shd w:fill="auto" w:val="clear"/>
          </w:tcPr>
          <w:p>
            <w:pPr>
              <w:pStyle w:val="TableContents"/>
              <w:spacing w:before="0" w:after="0"/>
              <w:ind w:left="0" w:right="0" w:hanging="0"/>
              <w:rPr/>
            </w:pPr>
            <w:hyperlink w:anchor="Note8membersEquity_171119">
              <w:r>
                <w:rPr>
                  <w:rStyle w:val="InternetLink"/>
                  <w:rFonts w:ascii="Times New Roman" w:hAnsi="Times New Roman"/>
                  <w:sz w:val="17"/>
                </w:rPr>
                <w:t>8. Members Equity</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9587" w:type="dxa"/>
            <w:tcBorders/>
            <w:shd w:fill="auto" w:val="clear"/>
          </w:tcPr>
          <w:p>
            <w:pPr>
              <w:pStyle w:val="TableContents"/>
              <w:spacing w:before="0" w:after="0"/>
              <w:ind w:left="0" w:right="0" w:hanging="0"/>
              <w:rPr/>
            </w:pPr>
            <w:hyperlink w:anchor="Note9equityindexedCompensationPla_171127">
              <w:r>
                <w:rPr>
                  <w:rStyle w:val="InternetLink"/>
                  <w:rFonts w:ascii="Times New Roman" w:hAnsi="Times New Roman"/>
                  <w:sz w:val="17"/>
                </w:rPr>
                <w:t>9. Equity-Indexed Compensation Plans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9587" w:type="dxa"/>
            <w:tcBorders/>
            <w:shd w:fill="auto" w:val="clear"/>
          </w:tcPr>
          <w:p>
            <w:pPr>
              <w:pStyle w:val="TableContents"/>
              <w:spacing w:before="0" w:after="0"/>
              <w:ind w:left="0" w:right="0" w:hanging="0"/>
              <w:rPr/>
            </w:pPr>
            <w:hyperlink w:anchor="Note10derivativesAndRiskManagemen_171135">
              <w:r>
                <w:rPr>
                  <w:rStyle w:val="InternetLink"/>
                  <w:rFonts w:ascii="Times New Roman" w:hAnsi="Times New Roman"/>
                  <w:sz w:val="17"/>
                </w:rPr>
                <w:t>10. Derivatives and Risk Management Activities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9587" w:type="dxa"/>
            <w:tcBorders/>
            <w:shd w:fill="auto" w:val="clear"/>
          </w:tcPr>
          <w:p>
            <w:pPr>
              <w:pStyle w:val="TableContents"/>
              <w:spacing w:before="0" w:after="0"/>
              <w:ind w:left="0" w:right="0" w:hanging="0"/>
              <w:rPr/>
            </w:pPr>
            <w:hyperlink w:anchor="Note11commitmentsAndContingencies_171224">
              <w:r>
                <w:rPr>
                  <w:rStyle w:val="InternetLink"/>
                  <w:rFonts w:ascii="Times New Roman" w:hAnsi="Times New Roman"/>
                  <w:sz w:val="17"/>
                </w:rPr>
                <w:t>11. Commitments and Contingencies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9587" w:type="dxa"/>
            <w:tcBorders/>
            <w:shd w:fill="auto" w:val="clear"/>
          </w:tcPr>
          <w:p>
            <w:pPr>
              <w:pStyle w:val="TableContents"/>
              <w:spacing w:before="0" w:after="0"/>
              <w:ind w:left="0" w:right="0" w:hanging="0"/>
              <w:rPr/>
            </w:pPr>
            <w:hyperlink w:anchor="Note12operatingSegments_171232">
              <w:r>
                <w:rPr>
                  <w:rStyle w:val="InternetLink"/>
                  <w:rFonts w:ascii="Times New Roman" w:hAnsi="Times New Roman"/>
                  <w:sz w:val="17"/>
                </w:rPr>
                <w:t>12. Operating Segments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r>
      <w:tr>
        <w:trPr/>
        <w:tc>
          <w:tcPr>
            <w:tcW w:w="9587" w:type="dxa"/>
            <w:tcBorders/>
            <w:shd w:fill="auto" w:val="clear"/>
          </w:tcPr>
          <w:p>
            <w:pPr>
              <w:pStyle w:val="TableContents"/>
              <w:spacing w:before="0" w:after="0"/>
              <w:ind w:left="0" w:right="0" w:hanging="0"/>
              <w:rPr/>
            </w:pPr>
            <w:hyperlink w:anchor="Note13relatedPartyTransactions_154246">
              <w:r>
                <w:rPr>
                  <w:rStyle w:val="InternetLink"/>
                  <w:rFonts w:ascii="Times New Roman" w:hAnsi="Times New Roman"/>
                  <w:sz w:val="17"/>
                </w:rPr>
                <w:t>13. Related Party Transactions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r>
      <w:tr>
        <w:trPr/>
        <w:tc>
          <w:tcPr>
            <w:tcW w:w="9587" w:type="dxa"/>
            <w:tcBorders/>
            <w:shd w:fill="auto" w:val="clear"/>
          </w:tcPr>
          <w:p>
            <w:pPr>
              <w:pStyle w:val="TableContents"/>
              <w:spacing w:before="0" w:after="0"/>
              <w:ind w:left="0" w:right="0" w:hanging="0"/>
              <w:rPr/>
            </w:pPr>
            <w:hyperlink w:anchor="Note14impairments_154250">
              <w:r>
                <w:rPr>
                  <w:rStyle w:val="InternetLink"/>
                  <w:rFonts w:ascii="Times New Roman" w:hAnsi="Times New Roman"/>
                  <w:sz w:val="17"/>
                </w:rPr>
                <w:t>14. Impairments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r>
      <w:tr>
        <w:trPr/>
        <w:tc>
          <w:tcPr>
            <w:tcW w:w="9587" w:type="dxa"/>
            <w:tcBorders/>
            <w:shd w:fill="auto" w:val="clear"/>
          </w:tcPr>
          <w:p>
            <w:pPr>
              <w:pStyle w:val="TableContents"/>
              <w:spacing w:before="0" w:after="0"/>
              <w:ind w:left="0" w:right="0" w:hanging="0"/>
              <w:rPr/>
            </w:pPr>
            <w:hyperlink w:anchor="Note15subsequentEvents_171354">
              <w:r>
                <w:rPr>
                  <w:rStyle w:val="InternetLink"/>
                  <w:rFonts w:ascii="Times New Roman" w:hAnsi="Times New Roman"/>
                  <w:sz w:val="17"/>
                </w:rPr>
                <w:t>15. Subsequent Events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r>
      <w:tr>
        <w:trPr/>
        <w:tc>
          <w:tcPr>
            <w:tcW w:w="9587" w:type="dxa"/>
            <w:tcBorders/>
            <w:shd w:fill="auto" w:val="clear"/>
          </w:tcPr>
          <w:p>
            <w:pPr>
              <w:pStyle w:val="TableContents"/>
              <w:spacing w:before="0" w:after="0"/>
              <w:ind w:left="0" w:right="0" w:hanging="0"/>
              <w:rPr/>
            </w:pPr>
            <w:r>
              <w:rPr/>
              <w:t> </w:t>
            </w:r>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Item2_managementsDiscussionAndAna_152436">
              <w:r>
                <w:rPr>
                  <w:rStyle w:val="InternetLink"/>
                  <w:rFonts w:ascii="Times New Roman" w:hAnsi="Times New Roman"/>
                  <w:sz w:val="17"/>
                </w:rPr>
                <w:t>Item 2. MANAGEMENTS DISCUSSION AND ANALYSIS OF FINANCIAL CONDITION AND RESULTS OF OPERATIONS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r>
      <w:tr>
        <w:trPr/>
        <w:tc>
          <w:tcPr>
            <w:tcW w:w="9587" w:type="dxa"/>
            <w:tcBorders/>
            <w:shd w:fill="auto" w:val="clear"/>
          </w:tcPr>
          <w:p>
            <w:pPr>
              <w:pStyle w:val="TableContents"/>
              <w:spacing w:before="0" w:after="0"/>
              <w:ind w:left="0" w:right="0" w:hanging="0"/>
              <w:rPr/>
            </w:pPr>
            <w:hyperlink w:anchor="Item3_QuantitativeAndQualitativeD_155202">
              <w:r>
                <w:rPr>
                  <w:rStyle w:val="InternetLink"/>
                  <w:rFonts w:ascii="Times New Roman" w:hAnsi="Times New Roman"/>
                  <w:sz w:val="17"/>
                </w:rPr>
                <w:t>Item 3. QUANTITATIVE AND QUALITATIVE DISCLOSURES ABOUT MARKET RISK</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r>
      <w:tr>
        <w:trPr/>
        <w:tc>
          <w:tcPr>
            <w:tcW w:w="9587" w:type="dxa"/>
            <w:tcBorders/>
            <w:shd w:fill="auto" w:val="clear"/>
          </w:tcPr>
          <w:p>
            <w:pPr>
              <w:pStyle w:val="TableContents"/>
              <w:spacing w:before="0" w:after="0"/>
              <w:ind w:left="0" w:right="0" w:hanging="0"/>
              <w:rPr/>
            </w:pPr>
            <w:hyperlink w:anchor="Item4_ControlsAndProcedures_155310">
              <w:r>
                <w:rPr>
                  <w:rStyle w:val="InternetLink"/>
                  <w:rFonts w:ascii="Times New Roman" w:hAnsi="Times New Roman"/>
                  <w:sz w:val="17"/>
                </w:rPr>
                <w:t>Item 4. CONTROLS AND PROCEDURES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587" w:type="dxa"/>
            <w:tcBorders/>
            <w:shd w:fill="auto" w:val="clear"/>
          </w:tcPr>
          <w:p>
            <w:pPr>
              <w:pStyle w:val="TableContents"/>
              <w:spacing w:before="0" w:after="0"/>
              <w:ind w:left="0" w:right="0" w:hanging="0"/>
              <w:rPr/>
            </w:pPr>
            <w:r>
              <w:rPr/>
              <w:t> </w:t>
            </w:r>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Partii_OtherInformation_155549">
              <w:r>
                <w:rPr>
                  <w:rStyle w:val="InternetLink"/>
                  <w:rFonts w:ascii="Times New Roman" w:hAnsi="Times New Roman"/>
                  <w:b/>
                  <w:sz w:val="17"/>
                </w:rPr>
                <w:t>PART II. OTHER INFORMATION</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9587" w:type="dxa"/>
            <w:tcBorders/>
            <w:shd w:fill="auto" w:val="clear"/>
          </w:tcPr>
          <w:p>
            <w:pPr>
              <w:pStyle w:val="TableContents"/>
              <w:spacing w:before="0" w:after="0"/>
              <w:ind w:left="0" w:right="0" w:hanging="0"/>
              <w:rPr/>
            </w:pPr>
            <w:hyperlink w:anchor="Item1_LegalProceedings_155551">
              <w:r>
                <w:rPr>
                  <w:rStyle w:val="InternetLink"/>
                  <w:rFonts w:ascii="Times New Roman" w:hAnsi="Times New Roman"/>
                  <w:sz w:val="17"/>
                </w:rPr>
                <w:t>Item 1. LEGAL PROCEEDINGS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9587" w:type="dxa"/>
            <w:tcBorders/>
            <w:shd w:fill="auto" w:val="clear"/>
          </w:tcPr>
          <w:p>
            <w:pPr>
              <w:pStyle w:val="TableContents"/>
              <w:spacing w:before="0" w:after="0"/>
              <w:ind w:left="0" w:right="0" w:hanging="0"/>
              <w:rPr/>
            </w:pPr>
            <w:hyperlink w:anchor="Item1a_RiskFactors_155555">
              <w:r>
                <w:rPr>
                  <w:rStyle w:val="InternetLink"/>
                  <w:rFonts w:ascii="Times New Roman" w:hAnsi="Times New Roman"/>
                  <w:sz w:val="17"/>
                </w:rPr>
                <w:t>Item 1A. RISK FACTORS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9587" w:type="dxa"/>
            <w:tcBorders/>
            <w:shd w:fill="auto" w:val="clear"/>
          </w:tcPr>
          <w:p>
            <w:pPr>
              <w:pStyle w:val="TableContents"/>
              <w:spacing w:before="0" w:after="0"/>
              <w:ind w:left="0" w:right="0" w:hanging="0"/>
              <w:rPr/>
            </w:pPr>
            <w:hyperlink w:anchor="Item2_UnregisteredSalesOfEquitySe_155557">
              <w:r>
                <w:rPr>
                  <w:rStyle w:val="InternetLink"/>
                  <w:rFonts w:ascii="Times New Roman" w:hAnsi="Times New Roman"/>
                  <w:sz w:val="17"/>
                </w:rPr>
                <w:t>Item 2. UNREGISTERED SALES OF EQUITY SECURITIES AND USE OF PROCEEDS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9587" w:type="dxa"/>
            <w:tcBorders/>
            <w:shd w:fill="auto" w:val="clear"/>
          </w:tcPr>
          <w:p>
            <w:pPr>
              <w:pStyle w:val="TableContents"/>
              <w:spacing w:before="0" w:after="0"/>
              <w:ind w:left="0" w:right="0" w:hanging="0"/>
              <w:rPr/>
            </w:pPr>
            <w:hyperlink w:anchor="Item3_DefaultsUponSeniorSecuritie_155636">
              <w:r>
                <w:rPr>
                  <w:rStyle w:val="InternetLink"/>
                  <w:rFonts w:ascii="Times New Roman" w:hAnsi="Times New Roman"/>
                  <w:sz w:val="17"/>
                </w:rPr>
                <w:t>Item 3. DEFAULTS UPON SENIOR SECURITIES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9587" w:type="dxa"/>
            <w:tcBorders/>
            <w:shd w:fill="auto" w:val="clear"/>
          </w:tcPr>
          <w:p>
            <w:pPr>
              <w:pStyle w:val="TableContents"/>
              <w:spacing w:before="0" w:after="0"/>
              <w:ind w:left="0" w:right="0" w:hanging="0"/>
              <w:rPr/>
            </w:pPr>
            <w:hyperlink w:anchor="Item4_MineSafetyDisclosures_155641">
              <w:r>
                <w:rPr>
                  <w:rStyle w:val="InternetLink"/>
                  <w:rFonts w:ascii="Times New Roman" w:hAnsi="Times New Roman"/>
                  <w:sz w:val="17"/>
                </w:rPr>
                <w:t>Item 4. MINE SAFETY DISCLOSURES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9587" w:type="dxa"/>
            <w:tcBorders/>
            <w:shd w:fill="auto" w:val="clear"/>
          </w:tcPr>
          <w:p>
            <w:pPr>
              <w:pStyle w:val="TableContents"/>
              <w:spacing w:before="0" w:after="0"/>
              <w:ind w:left="0" w:right="0" w:hanging="0"/>
              <w:rPr/>
            </w:pPr>
            <w:hyperlink w:anchor="Item5_OtherInformation_155645">
              <w:r>
                <w:rPr>
                  <w:rStyle w:val="InternetLink"/>
                  <w:rFonts w:ascii="Times New Roman" w:hAnsi="Times New Roman"/>
                  <w:sz w:val="17"/>
                </w:rPr>
                <w:t>Item 5. OTHER INFORMATION</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9587" w:type="dxa"/>
            <w:tcBorders/>
            <w:shd w:fill="auto" w:val="clear"/>
          </w:tcPr>
          <w:p>
            <w:pPr>
              <w:pStyle w:val="TableContents"/>
              <w:spacing w:before="0" w:after="0"/>
              <w:ind w:left="0" w:right="0" w:hanging="0"/>
              <w:rPr/>
            </w:pPr>
            <w:hyperlink w:anchor="Item6_Exhibits_155648">
              <w:r>
                <w:rPr>
                  <w:rStyle w:val="InternetLink"/>
                  <w:rFonts w:ascii="Times New Roman" w:hAnsi="Times New Roman"/>
                  <w:sz w:val="17"/>
                </w:rPr>
                <w:t>Item 6. EXHIBITS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9587" w:type="dxa"/>
            <w:tcBorders/>
            <w:shd w:fill="auto" w:val="clear"/>
          </w:tcPr>
          <w:p>
            <w:pPr>
              <w:pStyle w:val="TableContents"/>
              <w:spacing w:before="0" w:after="0"/>
              <w:ind w:left="0" w:right="0" w:hanging="0"/>
              <w:rPr/>
            </w:pPr>
            <w:hyperlink w:anchor="Signatures_160120">
              <w:r>
                <w:rPr>
                  <w:rStyle w:val="InternetLink"/>
                  <w:rFonts w:ascii="Times New Roman" w:hAnsi="Times New Roman"/>
                  <w:sz w:val="17"/>
                </w:rPr>
                <w:t>SIGNATURES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 w:name="PB_2_145636_7056"/>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Explanatory Note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historical financial information contained in this report relates to periods that ended prior to the completion of the initial public offering (the Offering or IPO) of 132,382,094 Class A Shares (including 4,382,094 Class A Shares issued in connection with the partial exercise of the underwriters overallotment option) of Plains GP Holdings, L.P. at a price of $22.00 per share.  These Class A shares began trading on the New York Stock Exchange (NYSE) under the symbol PAGP on October 16, 2013, and the Offering closed on October 21, 2013.  Consequently, the unaudited consolidated financial statements and related discussion of financial condition and results of operations contained in this report pertain to Plains All American GP LLC (the Company or GP LLC), the predecessor entity to PAGP. See Note 1 and Note 15 for further discussion regarding the organization, basis of presentation, completion of PAGPs IPO and other related items.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4" w:name="PB_3_150034_5335"/>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 FINANCIAL INFORMATION</w:t>
      </w:r>
      <w:bookmarkStart w:id="5" w:name="Parti_FinancialInformation_151442"/>
      <w:bookmarkEnd w:id="5"/>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UNAUDITED CONDENSED CONSOLIDATED FINANCIAL STATEMENTS</w:t>
      </w:r>
      <w:bookmarkStart w:id="6" w:name="Item1_UnauditedCondensedConsolida_195833"/>
      <w:bookmarkEnd w:id="6"/>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 AND SUBSIDIARIES (PREDECESSOR OF PLAINS GP HOLDINGS, L.P.)</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BALANCE SHEETS</w:t>
      </w:r>
      <w:bookmarkStart w:id="7" w:name="CondensedConsolidatedBalanceSheet_151457"/>
      <w:bookmarkEnd w:id="7"/>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units)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034"/>
        <w:gridCol w:w="207"/>
        <w:gridCol w:w="144"/>
        <w:gridCol w:w="1175"/>
        <w:gridCol w:w="214"/>
        <w:gridCol w:w="142"/>
        <w:gridCol w:w="1162"/>
        <w:gridCol w:w="127"/>
      </w:tblGrid>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1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4" w:type="dxa"/>
            <w:tcBorders/>
            <w:shd w:fill="auto" w:val="clear"/>
            <w:vAlign w:val="bottom"/>
          </w:tcPr>
          <w:p>
            <w:pPr>
              <w:pStyle w:val="TableContents"/>
              <w:spacing w:before="0" w:after="0"/>
              <w:ind w:left="0" w:right="0" w:hanging="0"/>
              <w:jc w:val="center"/>
              <w:rPr/>
            </w:pPr>
            <w:r>
              <w:rPr/>
              <w:t> </w:t>
            </w:r>
          </w:p>
        </w:tc>
        <w:tc>
          <w:tcPr>
            <w:tcW w:w="13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4" w:type="dxa"/>
            <w:tcBorders/>
            <w:shd w:fill="auto" w:val="clear"/>
            <w:vAlign w:val="bottom"/>
          </w:tcPr>
          <w:p>
            <w:pPr>
              <w:pStyle w:val="TableContents"/>
              <w:spacing w:before="0" w:after="0"/>
              <w:ind w:left="0" w:right="0" w:hanging="0"/>
              <w:jc w:val="center"/>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83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07"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4"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Trade accounts receivable and other receivables, net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3,562</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3,564</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1,198</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1,209</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5,148</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5,149</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12,286</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11,183</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(1,659</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(1,519</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10,627</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9,664</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ASSETS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2,519</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770</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07" w:type="dxa"/>
            <w:tcBorders/>
            <w:shd w:fill="auto" w:val="clear"/>
            <w:vAlign w:val="bottom"/>
          </w:tcPr>
          <w:p>
            <w:pPr>
              <w:pStyle w:val="TableContents"/>
              <w:spacing w:before="0" w:after="0"/>
              <w:ind w:left="0" w:right="0" w:hanging="0"/>
              <w:rPr/>
            </w:pPr>
            <w:r>
              <w:rPr/>
              <w:t> </w:t>
            </w:r>
          </w:p>
        </w:tc>
        <w:tc>
          <w:tcPr>
            <w:tcW w:w="1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20,292</w:t>
            </w:r>
          </w:p>
        </w:tc>
        <w:tc>
          <w:tcPr>
            <w:tcW w:w="214"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19,259</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MEMBERS EQUITY</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liabilities</w:t>
            </w:r>
          </w:p>
        </w:tc>
        <w:tc>
          <w:tcPr>
            <w:tcW w:w="207"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4,051</w:t>
            </w:r>
          </w:p>
        </w:tc>
        <w:tc>
          <w:tcPr>
            <w:tcW w:w="214"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3,824</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Short-term debt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5,014</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5,185</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 of $15 and $15, respectively</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6,710</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808</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long-term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8,072</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7,106</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 (NOTE 11)</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MEMBERS EQUITY</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Members equity, excluding noncontrolling interests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7,209</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6,968</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members equity</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7,206</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6,968</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members equity</w:t>
            </w:r>
          </w:p>
        </w:tc>
        <w:tc>
          <w:tcPr>
            <w:tcW w:w="207" w:type="dxa"/>
            <w:tcBorders/>
            <w:shd w:fill="auto" w:val="clear"/>
            <w:vAlign w:val="bottom"/>
          </w:tcPr>
          <w:p>
            <w:pPr>
              <w:pStyle w:val="TableContents"/>
              <w:spacing w:before="0" w:after="0"/>
              <w:ind w:left="0" w:right="0" w:hanging="0"/>
              <w:rPr/>
            </w:pPr>
            <w:r>
              <w:rPr/>
              <w:t> </w:t>
            </w:r>
          </w:p>
        </w:tc>
        <w:tc>
          <w:tcPr>
            <w:tcW w:w="1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20,292</w:t>
            </w:r>
          </w:p>
        </w:tc>
        <w:tc>
          <w:tcPr>
            <w:tcW w:w="214"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19,259</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8" w:name="PB_4_150311_7056"/>
      <w:bookmarkEnd w:id="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 AND SUBSIDIARIES (PREDECESSOR OF PLAINS GP HOLDINGS, L.P.)</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OPERATIONS</w:t>
      </w:r>
      <w:bookmarkStart w:id="9" w:name="CondensedConsolidatedStatementsOf_151502"/>
      <w:bookmarkEnd w:id="9"/>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52"/>
        <w:gridCol w:w="210"/>
        <w:gridCol w:w="110"/>
        <w:gridCol w:w="965"/>
        <w:gridCol w:w="212"/>
        <w:gridCol w:w="110"/>
        <w:gridCol w:w="960"/>
        <w:gridCol w:w="212"/>
        <w:gridCol w:w="110"/>
        <w:gridCol w:w="965"/>
        <w:gridCol w:w="212"/>
        <w:gridCol w:w="110"/>
        <w:gridCol w:w="965"/>
        <w:gridCol w:w="112"/>
      </w:tblGrid>
      <w:tr>
        <w:trPr/>
        <w:tc>
          <w:tcPr>
            <w:tcW w:w="495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35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2" w:type="dxa"/>
            <w:tcBorders/>
            <w:shd w:fill="auto" w:val="clear"/>
            <w:vAlign w:val="bottom"/>
          </w:tcPr>
          <w:p>
            <w:pPr>
              <w:pStyle w:val="TableContents"/>
              <w:spacing w:before="0" w:after="0"/>
              <w:ind w:left="0" w:right="0" w:hanging="0"/>
              <w:jc w:val="center"/>
              <w:rPr/>
            </w:pPr>
            <w:r>
              <w:rPr/>
              <w:t> </w:t>
            </w:r>
          </w:p>
        </w:tc>
        <w:tc>
          <w:tcPr>
            <w:tcW w:w="236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12" w:type="dxa"/>
            <w:tcBorders/>
            <w:shd w:fill="auto" w:val="clear"/>
            <w:vAlign w:val="bottom"/>
          </w:tcPr>
          <w:p>
            <w:pPr>
              <w:pStyle w:val="TableContents"/>
              <w:spacing w:before="0" w:after="0"/>
              <w:ind w:left="0" w:right="0" w:hanging="0"/>
              <w:jc w:val="center"/>
              <w:rPr/>
            </w:pPr>
            <w:r>
              <w:rPr/>
              <w:t> </w:t>
            </w:r>
          </w:p>
        </w:tc>
      </w:tr>
      <w:tr>
        <w:trPr/>
        <w:tc>
          <w:tcPr>
            <w:tcW w:w="495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35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2" w:type="dxa"/>
            <w:tcBorders/>
            <w:shd w:fill="auto" w:val="clear"/>
            <w:vAlign w:val="bottom"/>
          </w:tcPr>
          <w:p>
            <w:pPr>
              <w:pStyle w:val="TableContents"/>
              <w:spacing w:before="0" w:after="0"/>
              <w:ind w:left="0" w:right="0" w:hanging="0"/>
              <w:jc w:val="center"/>
              <w:rPr/>
            </w:pPr>
            <w:r>
              <w:rPr/>
              <w:t> </w:t>
            </w:r>
          </w:p>
        </w:tc>
        <w:tc>
          <w:tcPr>
            <w:tcW w:w="236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12" w:type="dxa"/>
            <w:tcBorders/>
            <w:shd w:fill="auto" w:val="clear"/>
            <w:vAlign w:val="bottom"/>
          </w:tcPr>
          <w:p>
            <w:pPr>
              <w:pStyle w:val="TableContents"/>
              <w:spacing w:before="0" w:after="0"/>
              <w:ind w:left="0" w:right="0" w:hanging="0"/>
              <w:jc w:val="center"/>
              <w:rPr/>
            </w:pPr>
            <w:r>
              <w:rPr/>
              <w:t> </w:t>
            </w:r>
          </w:p>
        </w:tc>
      </w:tr>
      <w:tr>
        <w:trPr/>
        <w:tc>
          <w:tcPr>
            <w:tcW w:w="495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2" w:type="dxa"/>
            <w:tcBorders/>
            <w:shd w:fill="auto" w:val="clear"/>
            <w:vAlign w:val="bottom"/>
          </w:tcPr>
          <w:p>
            <w:pPr>
              <w:pStyle w:val="TableContents"/>
              <w:spacing w:before="0" w:after="0"/>
              <w:ind w:left="0" w:right="0" w:hanging="0"/>
              <w:jc w:val="center"/>
              <w:rPr/>
            </w:pPr>
            <w:r>
              <w:rPr/>
              <w:t> </w:t>
            </w:r>
          </w:p>
        </w:tc>
        <w:tc>
          <w:tcPr>
            <w:tcW w:w="107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2" w:type="dxa"/>
            <w:tcBorders/>
            <w:shd w:fill="auto" w:val="clear"/>
            <w:vAlign w:val="bottom"/>
          </w:tcPr>
          <w:p>
            <w:pPr>
              <w:pStyle w:val="TableContents"/>
              <w:spacing w:before="0" w:after="0"/>
              <w:ind w:left="0" w:right="0" w:hanging="0"/>
              <w:jc w:val="center"/>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2" w:type="dxa"/>
            <w:tcBorders/>
            <w:shd w:fill="auto" w:val="clear"/>
            <w:vAlign w:val="bottom"/>
          </w:tcPr>
          <w:p>
            <w:pPr>
              <w:pStyle w:val="TableContents"/>
              <w:spacing w:before="0" w:after="0"/>
              <w:ind w:left="0" w:right="0" w:hanging="0"/>
              <w:jc w:val="center"/>
              <w:rPr/>
            </w:pPr>
            <w:r>
              <w:rPr/>
              <w:t> </w:t>
            </w:r>
          </w:p>
        </w:tc>
        <w:tc>
          <w:tcPr>
            <w:tcW w:w="107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2" w:type="dxa"/>
            <w:tcBorders/>
            <w:shd w:fill="auto" w:val="clear"/>
            <w:vAlign w:val="bottom"/>
          </w:tcPr>
          <w:p>
            <w:pPr>
              <w:pStyle w:val="TableContents"/>
              <w:spacing w:before="0" w:after="0"/>
              <w:ind w:left="0" w:right="0" w:hanging="0"/>
              <w:jc w:val="center"/>
              <w:rPr/>
            </w:pPr>
            <w:r>
              <w:rPr/>
              <w:t> </w:t>
            </w:r>
          </w:p>
        </w:tc>
      </w:tr>
      <w:tr>
        <w:trPr/>
        <w:tc>
          <w:tcPr>
            <w:tcW w:w="495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235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12" w:type="dxa"/>
            <w:tcBorders/>
            <w:shd w:fill="auto" w:val="clear"/>
            <w:vAlign w:val="bottom"/>
          </w:tcPr>
          <w:p>
            <w:pPr>
              <w:pStyle w:val="TableContents"/>
              <w:spacing w:before="0" w:after="0"/>
              <w:ind w:left="0" w:right="0" w:hanging="0"/>
              <w:jc w:val="center"/>
              <w:rPr/>
            </w:pPr>
            <w:r>
              <w:rPr/>
              <w:t> </w:t>
            </w:r>
          </w:p>
        </w:tc>
        <w:tc>
          <w:tcPr>
            <w:tcW w:w="236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12" w:type="dxa"/>
            <w:tcBorders/>
            <w:shd w:fill="auto" w:val="clear"/>
            <w:vAlign w:val="bottom"/>
          </w:tcPr>
          <w:p>
            <w:pPr>
              <w:pStyle w:val="TableContents"/>
              <w:spacing w:before="0" w:after="0"/>
              <w:ind w:left="0" w:right="0" w:hanging="0"/>
              <w:jc w:val="center"/>
              <w:rPr/>
            </w:pPr>
            <w:r>
              <w:rPr/>
              <w:t> </w:t>
            </w:r>
          </w:p>
        </w:tc>
      </w:tr>
      <w:tr>
        <w:trPr/>
        <w:tc>
          <w:tcPr>
            <w:tcW w:w="495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0"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49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2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10,386</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9,048</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30,542</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27,367</w:t>
            </w:r>
          </w:p>
        </w:tc>
        <w:tc>
          <w:tcPr>
            <w:tcW w:w="112" w:type="dxa"/>
            <w:tcBorders/>
            <w:shd w:fill="auto" w:val="clear"/>
            <w:vAlign w:val="bottom"/>
          </w:tcPr>
          <w:p>
            <w:pPr>
              <w:pStyle w:val="TableContents"/>
              <w:spacing w:before="0" w:after="0"/>
              <w:ind w:left="0" w:right="0" w:hanging="0"/>
              <w:rPr/>
            </w:pPr>
            <w:r>
              <w:rPr/>
              <w:t> </w:t>
            </w:r>
          </w:p>
        </w:tc>
      </w:tr>
      <w:tr>
        <w:trPr/>
        <w:tc>
          <w:tcPr>
            <w:tcW w:w="49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210"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517</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112" w:type="dxa"/>
            <w:tcBorders/>
            <w:shd w:fill="CCEEFF" w:val="clear"/>
            <w:vAlign w:val="bottom"/>
          </w:tcPr>
          <w:p>
            <w:pPr>
              <w:pStyle w:val="TableContents"/>
              <w:spacing w:before="0" w:after="0"/>
              <w:ind w:left="0" w:right="0" w:hanging="0"/>
              <w:rPr/>
            </w:pPr>
            <w:r>
              <w:rPr/>
              <w:t> </w:t>
            </w:r>
          </w:p>
        </w:tc>
      </w:tr>
      <w:tr>
        <w:trPr/>
        <w:tc>
          <w:tcPr>
            <w:tcW w:w="49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210" w:type="dxa"/>
            <w:tcBorders/>
            <w:shd w:fill="auto" w:val="clear"/>
            <w:vAlign w:val="bottom"/>
          </w:tcPr>
          <w:p>
            <w:pPr>
              <w:pStyle w:val="TableContents"/>
              <w:spacing w:before="0" w:after="0"/>
              <w:ind w:left="0" w:right="0" w:hanging="0"/>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12" w:type="dxa"/>
            <w:tcBorders/>
            <w:shd w:fill="auto" w:val="clear"/>
            <w:vAlign w:val="bottom"/>
          </w:tcPr>
          <w:p>
            <w:pPr>
              <w:pStyle w:val="TableContents"/>
              <w:spacing w:before="0" w:after="0"/>
              <w:ind w:left="0" w:right="0" w:hanging="0"/>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558</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w:t>
            </w:r>
          </w:p>
        </w:tc>
        <w:tc>
          <w:tcPr>
            <w:tcW w:w="112" w:type="dxa"/>
            <w:tcBorders/>
            <w:shd w:fill="auto" w:val="clear"/>
            <w:vAlign w:val="bottom"/>
          </w:tcPr>
          <w:p>
            <w:pPr>
              <w:pStyle w:val="TableContents"/>
              <w:spacing w:before="0" w:after="0"/>
              <w:ind w:left="0" w:right="0" w:hanging="0"/>
              <w:rPr/>
            </w:pPr>
            <w:r>
              <w:rPr/>
              <w:t> </w:t>
            </w:r>
          </w:p>
        </w:tc>
      </w:tr>
      <w:tr>
        <w:trPr/>
        <w:tc>
          <w:tcPr>
            <w:tcW w:w="49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10"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10,703</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9,354</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31,617</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28,358</w:t>
            </w:r>
          </w:p>
        </w:tc>
        <w:tc>
          <w:tcPr>
            <w:tcW w:w="112" w:type="dxa"/>
            <w:tcBorders/>
            <w:shd w:fill="CCEEFF" w:val="clear"/>
            <w:vAlign w:val="bottom"/>
          </w:tcPr>
          <w:p>
            <w:pPr>
              <w:pStyle w:val="TableContents"/>
              <w:spacing w:before="0" w:after="0"/>
              <w:ind w:left="0" w:right="0" w:hanging="0"/>
              <w:rPr/>
            </w:pPr>
            <w:r>
              <w:rPr/>
              <w:t> </w:t>
            </w:r>
          </w:p>
        </w:tc>
      </w:tr>
      <w:tr>
        <w:trPr/>
        <w:tc>
          <w:tcPr>
            <w:tcW w:w="495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495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0"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49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0"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9,909</w:t>
            </w:r>
          </w:p>
        </w:tc>
        <w:tc>
          <w:tcPr>
            <w:tcW w:w="212"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8,524</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28,733</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25,855</w:t>
            </w:r>
          </w:p>
        </w:tc>
        <w:tc>
          <w:tcPr>
            <w:tcW w:w="112" w:type="dxa"/>
            <w:tcBorders/>
            <w:shd w:fill="auto" w:val="clear"/>
            <w:vAlign w:val="bottom"/>
          </w:tcPr>
          <w:p>
            <w:pPr>
              <w:pStyle w:val="TableContents"/>
              <w:spacing w:before="0" w:after="0"/>
              <w:ind w:left="0" w:right="0" w:hanging="0"/>
              <w:rPr/>
            </w:pPr>
            <w:r>
              <w:rPr/>
              <w:t> </w:t>
            </w:r>
          </w:p>
        </w:tc>
      </w:tr>
      <w:tr>
        <w:trPr/>
        <w:tc>
          <w:tcPr>
            <w:tcW w:w="49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0"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1,010</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860</w:t>
            </w:r>
          </w:p>
        </w:tc>
        <w:tc>
          <w:tcPr>
            <w:tcW w:w="112" w:type="dxa"/>
            <w:tcBorders/>
            <w:shd w:fill="CCEEFF" w:val="clear"/>
            <w:vAlign w:val="bottom"/>
          </w:tcPr>
          <w:p>
            <w:pPr>
              <w:pStyle w:val="TableContents"/>
              <w:spacing w:before="0" w:after="0"/>
              <w:ind w:left="0" w:right="0" w:hanging="0"/>
              <w:rPr/>
            </w:pPr>
            <w:r>
              <w:rPr/>
              <w:t> </w:t>
            </w:r>
          </w:p>
        </w:tc>
      </w:tr>
      <w:tr>
        <w:trPr/>
        <w:tc>
          <w:tcPr>
            <w:tcW w:w="49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0"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12"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12" w:type="dxa"/>
            <w:tcBorders/>
            <w:shd w:fill="auto" w:val="clear"/>
            <w:vAlign w:val="bottom"/>
          </w:tcPr>
          <w:p>
            <w:pPr>
              <w:pStyle w:val="TableContents"/>
              <w:spacing w:before="0" w:after="0"/>
              <w:ind w:left="0" w:right="0" w:hanging="0"/>
              <w:rPr/>
            </w:pPr>
            <w:r>
              <w:rPr/>
              <w:t> </w:t>
            </w:r>
          </w:p>
        </w:tc>
      </w:tr>
      <w:tr>
        <w:trPr/>
        <w:tc>
          <w:tcPr>
            <w:tcW w:w="49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210" w:type="dxa"/>
            <w:tcBorders/>
            <w:shd w:fill="CCEEFF" w:val="clear"/>
            <w:vAlign w:val="bottom"/>
          </w:tcPr>
          <w:p>
            <w:pPr>
              <w:pStyle w:val="TableContents"/>
              <w:spacing w:before="0" w:after="0"/>
              <w:ind w:left="0" w:right="0" w:hanging="0"/>
              <w:rPr/>
            </w:pPr>
            <w:r>
              <w:rPr/>
              <w:t> </w:t>
            </w:r>
          </w:p>
        </w:tc>
        <w:tc>
          <w:tcPr>
            <w:tcW w:w="10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112" w:type="dxa"/>
            <w:tcBorders/>
            <w:shd w:fill="CCEEFF" w:val="clear"/>
            <w:vAlign w:val="bottom"/>
          </w:tcPr>
          <w:p>
            <w:pPr>
              <w:pStyle w:val="TableContents"/>
              <w:spacing w:before="0" w:after="0"/>
              <w:ind w:left="0" w:right="0" w:hanging="0"/>
              <w:rPr/>
            </w:pPr>
            <w:r>
              <w:rPr/>
              <w:t> </w:t>
            </w:r>
          </w:p>
        </w:tc>
      </w:tr>
      <w:tr>
        <w:trPr/>
        <w:tc>
          <w:tcPr>
            <w:tcW w:w="49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0"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10,407</w:t>
            </w:r>
          </w:p>
        </w:tc>
        <w:tc>
          <w:tcPr>
            <w:tcW w:w="212"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9,108</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30,285</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27,336</w:t>
            </w:r>
          </w:p>
        </w:tc>
        <w:tc>
          <w:tcPr>
            <w:tcW w:w="112" w:type="dxa"/>
            <w:tcBorders/>
            <w:shd w:fill="auto" w:val="clear"/>
            <w:vAlign w:val="bottom"/>
          </w:tcPr>
          <w:p>
            <w:pPr>
              <w:pStyle w:val="TableContents"/>
              <w:spacing w:before="0" w:after="0"/>
              <w:ind w:left="0" w:right="0" w:hanging="0"/>
              <w:rPr/>
            </w:pPr>
            <w:r>
              <w:rPr/>
              <w:t> </w:t>
            </w:r>
          </w:p>
        </w:tc>
      </w:tr>
      <w:tr>
        <w:trPr/>
        <w:tc>
          <w:tcPr>
            <w:tcW w:w="4952"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495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0"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212"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1,332</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w:t>
            </w:r>
          </w:p>
        </w:tc>
        <w:tc>
          <w:tcPr>
            <w:tcW w:w="112" w:type="dxa"/>
            <w:tcBorders/>
            <w:shd w:fill="auto" w:val="clear"/>
            <w:vAlign w:val="bottom"/>
          </w:tcPr>
          <w:p>
            <w:pPr>
              <w:pStyle w:val="TableContents"/>
              <w:spacing w:before="0" w:after="0"/>
              <w:ind w:left="0" w:right="0" w:hanging="0"/>
              <w:rPr/>
            </w:pPr>
            <w:r>
              <w:rPr/>
              <w:t> </w:t>
            </w:r>
          </w:p>
        </w:tc>
      </w:tr>
      <w:tr>
        <w:trPr/>
        <w:tc>
          <w:tcPr>
            <w:tcW w:w="4952"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495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0"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49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0"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2" w:type="dxa"/>
            <w:tcBorders/>
            <w:shd w:fill="CCEEFF" w:val="clear"/>
            <w:vAlign w:val="bottom"/>
          </w:tcPr>
          <w:p>
            <w:pPr>
              <w:pStyle w:val="TableContents"/>
              <w:spacing w:before="0" w:after="0"/>
              <w:ind w:left="0" w:right="0" w:hanging="0"/>
              <w:rPr/>
            </w:pPr>
            <w:r>
              <w:rPr/>
              <w:t> </w:t>
            </w:r>
          </w:p>
        </w:tc>
      </w:tr>
      <w:tr>
        <w:trPr/>
        <w:tc>
          <w:tcPr>
            <w:tcW w:w="49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 of capitalized interest of $11, $9, $30 and $27, respectively)</w:t>
            </w:r>
          </w:p>
        </w:tc>
        <w:tc>
          <w:tcPr>
            <w:tcW w:w="210"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0" w:type="dxa"/>
            <w:tcBorders/>
            <w:shd w:fill="CCEEFF" w:val="clear"/>
            <w:vAlign w:val="bottom"/>
          </w:tcPr>
          <w:p>
            <w:pPr>
              <w:pStyle w:val="TableContents"/>
              <w:spacing w:before="0" w:after="0"/>
              <w:ind w:left="0" w:right="0" w:hanging="0"/>
              <w:rPr/>
            </w:pPr>
            <w:r>
              <w:rPr/>
              <w:t> </w:t>
            </w:r>
          </w:p>
        </w:tc>
        <w:tc>
          <w:tcPr>
            <w:tcW w:w="10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2" w:type="dxa"/>
            <w:tcBorders/>
            <w:shd w:fill="CCEEFF" w:val="clear"/>
            <w:vAlign w:val="bottom"/>
          </w:tcPr>
          <w:p>
            <w:pPr>
              <w:pStyle w:val="TableContents"/>
              <w:spacing w:before="0" w:after="0"/>
              <w:ind w:left="0" w:right="0" w:hanging="0"/>
              <w:rPr/>
            </w:pPr>
            <w:r>
              <w:rPr/>
              <w:t> </w:t>
            </w:r>
          </w:p>
        </w:tc>
      </w:tr>
      <w:tr>
        <w:trPr/>
        <w:tc>
          <w:tcPr>
            <w:tcW w:w="495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495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0"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1,149</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834</w:t>
            </w:r>
          </w:p>
        </w:tc>
        <w:tc>
          <w:tcPr>
            <w:tcW w:w="112" w:type="dxa"/>
            <w:tcBorders/>
            <w:shd w:fill="CCEEFF" w:val="clear"/>
            <w:vAlign w:val="bottom"/>
          </w:tcPr>
          <w:p>
            <w:pPr>
              <w:pStyle w:val="TableContents"/>
              <w:spacing w:before="0" w:after="0"/>
              <w:ind w:left="0" w:right="0" w:hanging="0"/>
              <w:rPr/>
            </w:pPr>
            <w:r>
              <w:rPr/>
              <w:t> </w:t>
            </w:r>
          </w:p>
        </w:tc>
      </w:tr>
      <w:tr>
        <w:trPr/>
        <w:tc>
          <w:tcPr>
            <w:tcW w:w="49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0"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10" w:type="dxa"/>
            <w:tcBorders/>
            <w:shd w:fill="CCEEFF" w:val="clear"/>
            <w:vAlign w:val="bottom"/>
          </w:tcPr>
          <w:p>
            <w:pPr>
              <w:pStyle w:val="TableContents"/>
              <w:spacing w:before="0" w:after="0"/>
              <w:ind w:left="0" w:right="0" w:hanging="0"/>
              <w:rPr/>
            </w:pPr>
            <w:r>
              <w:rPr/>
              <w:t> </w:t>
            </w:r>
          </w:p>
        </w:tc>
        <w:tc>
          <w:tcPr>
            <w:tcW w:w="10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5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70"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75"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495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0"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2" w:type="dxa"/>
            <w:tcBorders/>
            <w:shd w:fill="CCEEFF" w:val="clear"/>
            <w:vAlign w:val="bottom"/>
          </w:tcPr>
          <w:p>
            <w:pPr>
              <w:pStyle w:val="TableContents"/>
              <w:spacing w:before="0" w:after="0"/>
              <w:ind w:left="0" w:right="0" w:hanging="0"/>
              <w:rPr/>
            </w:pPr>
            <w:r>
              <w:rPr/>
              <w:t> </w:t>
            </w:r>
          </w:p>
        </w:tc>
        <w:tc>
          <w:tcPr>
            <w:tcW w:w="10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1,070</w:t>
            </w:r>
          </w:p>
        </w:tc>
        <w:tc>
          <w:tcPr>
            <w:tcW w:w="212" w:type="dxa"/>
            <w:tcBorders/>
            <w:shd w:fill="CCEEFF" w:val="clear"/>
            <w:vAlign w:val="bottom"/>
          </w:tcPr>
          <w:p>
            <w:pPr>
              <w:pStyle w:val="TableContents"/>
              <w:spacing w:before="0" w:after="0"/>
              <w:ind w:left="0" w:right="0" w:hanging="0"/>
              <w:rPr/>
            </w:pPr>
            <w:r>
              <w:rPr/>
              <w:t> </w:t>
            </w:r>
          </w:p>
        </w:tc>
        <w:tc>
          <w:tcPr>
            <w:tcW w:w="10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790</w:t>
            </w:r>
          </w:p>
        </w:tc>
        <w:tc>
          <w:tcPr>
            <w:tcW w:w="112" w:type="dxa"/>
            <w:tcBorders/>
            <w:shd w:fill="CCEEFF" w:val="clear"/>
            <w:vAlign w:val="bottom"/>
          </w:tcPr>
          <w:p>
            <w:pPr>
              <w:pStyle w:val="TableContents"/>
              <w:spacing w:before="0" w:after="0"/>
              <w:ind w:left="0" w:right="0" w:hanging="0"/>
              <w:rPr/>
            </w:pPr>
            <w:r>
              <w:rPr/>
              <w:t> </w:t>
            </w:r>
          </w:p>
        </w:tc>
      </w:tr>
      <w:tr>
        <w:trPr/>
        <w:tc>
          <w:tcPr>
            <w:tcW w:w="49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0" w:type="dxa"/>
            <w:tcBorders/>
            <w:shd w:fill="auto" w:val="clear"/>
            <w:vAlign w:val="bottom"/>
          </w:tcPr>
          <w:p>
            <w:pPr>
              <w:pStyle w:val="TableContents"/>
              <w:spacing w:before="0" w:after="0"/>
              <w:ind w:left="0" w:right="0" w:hanging="0"/>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(788</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5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GP LLC</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0" w:name="PB_5_150630_5335"/>
      <w:bookmarkEnd w:id="1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 AND SUBSIDIARIES (PREDECESSOR OF PLAINS GP HOLDINGS, L.P.)</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COMPREHENSIVE INCOME</w:t>
      </w:r>
      <w:bookmarkStart w:id="11" w:name="StatementsOfComprehensiveIncome_151507"/>
      <w:bookmarkEnd w:id="11"/>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232"/>
        <w:gridCol w:w="209"/>
        <w:gridCol w:w="156"/>
        <w:gridCol w:w="1090"/>
        <w:gridCol w:w="230"/>
        <w:gridCol w:w="156"/>
        <w:gridCol w:w="1091"/>
        <w:gridCol w:w="217"/>
        <w:gridCol w:w="144"/>
        <w:gridCol w:w="1123"/>
        <w:gridCol w:w="222"/>
        <w:gridCol w:w="143"/>
        <w:gridCol w:w="1060"/>
        <w:gridCol w:w="132"/>
      </w:tblGrid>
      <w:tr>
        <w:trPr/>
        <w:tc>
          <w:tcPr>
            <w:tcW w:w="423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2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69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2" w:type="dxa"/>
            <w:tcBorders/>
            <w:shd w:fill="auto" w:val="clear"/>
            <w:vAlign w:val="bottom"/>
          </w:tcPr>
          <w:p>
            <w:pPr>
              <w:pStyle w:val="TableContents"/>
              <w:spacing w:before="0" w:after="0"/>
              <w:ind w:left="0" w:right="0" w:hanging="0"/>
              <w:jc w:val="center"/>
              <w:rPr/>
            </w:pPr>
            <w:r>
              <w:rPr/>
              <w:t> </w:t>
            </w:r>
          </w:p>
        </w:tc>
      </w:tr>
      <w:tr>
        <w:trPr/>
        <w:tc>
          <w:tcPr>
            <w:tcW w:w="423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2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69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2" w:type="dxa"/>
            <w:tcBorders/>
            <w:shd w:fill="auto" w:val="clear"/>
            <w:vAlign w:val="bottom"/>
          </w:tcPr>
          <w:p>
            <w:pPr>
              <w:pStyle w:val="TableContents"/>
              <w:spacing w:before="0" w:after="0"/>
              <w:ind w:left="0" w:right="0" w:hanging="0"/>
              <w:jc w:val="center"/>
              <w:rPr/>
            </w:pPr>
            <w:r>
              <w:rPr/>
              <w:t> </w:t>
            </w:r>
          </w:p>
        </w:tc>
      </w:tr>
      <w:tr>
        <w:trPr/>
        <w:tc>
          <w:tcPr>
            <w:tcW w:w="423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0" w:type="dxa"/>
            <w:tcBorders/>
            <w:shd w:fill="auto" w:val="clear"/>
            <w:vAlign w:val="bottom"/>
          </w:tcPr>
          <w:p>
            <w:pPr>
              <w:pStyle w:val="TableContents"/>
              <w:spacing w:before="0" w:after="0"/>
              <w:ind w:left="0" w:right="0" w:hanging="0"/>
              <w:jc w:val="center"/>
              <w:rPr/>
            </w:pPr>
            <w:r>
              <w:rPr/>
              <w:t> </w:t>
            </w:r>
          </w:p>
        </w:tc>
        <w:tc>
          <w:tcPr>
            <w:tcW w:w="124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7" w:type="dxa"/>
            <w:tcBorders/>
            <w:shd w:fill="auto" w:val="clear"/>
            <w:vAlign w:val="bottom"/>
          </w:tcPr>
          <w:p>
            <w:pPr>
              <w:pStyle w:val="TableContents"/>
              <w:spacing w:before="0" w:after="0"/>
              <w:ind w:left="0" w:right="0" w:hanging="0"/>
              <w:jc w:val="center"/>
              <w:rPr/>
            </w:pPr>
            <w:r>
              <w:rPr/>
              <w:t> </w:t>
            </w:r>
          </w:p>
        </w:tc>
        <w:tc>
          <w:tcPr>
            <w:tcW w:w="12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2" w:type="dxa"/>
            <w:tcBorders/>
            <w:shd w:fill="auto" w:val="clear"/>
            <w:vAlign w:val="bottom"/>
          </w:tcPr>
          <w:p>
            <w:pPr>
              <w:pStyle w:val="TableContents"/>
              <w:spacing w:before="0" w:after="0"/>
              <w:ind w:left="0" w:right="0" w:hanging="0"/>
              <w:jc w:val="center"/>
              <w:rPr/>
            </w:pPr>
            <w:r>
              <w:rPr/>
              <w:t> </w:t>
            </w:r>
          </w:p>
        </w:tc>
        <w:tc>
          <w:tcPr>
            <w:tcW w:w="120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2" w:type="dxa"/>
            <w:tcBorders/>
            <w:shd w:fill="auto" w:val="clear"/>
            <w:vAlign w:val="bottom"/>
          </w:tcPr>
          <w:p>
            <w:pPr>
              <w:pStyle w:val="TableContents"/>
              <w:spacing w:before="0" w:after="0"/>
              <w:ind w:left="0" w:right="0" w:hanging="0"/>
              <w:jc w:val="center"/>
              <w:rPr/>
            </w:pPr>
            <w:r>
              <w:rPr/>
              <w:t> </w:t>
            </w:r>
          </w:p>
        </w:tc>
      </w:tr>
      <w:tr>
        <w:trPr/>
        <w:tc>
          <w:tcPr>
            <w:tcW w:w="423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72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17" w:type="dxa"/>
            <w:tcBorders/>
            <w:shd w:fill="auto" w:val="clear"/>
            <w:vAlign w:val="bottom"/>
          </w:tcPr>
          <w:p>
            <w:pPr>
              <w:pStyle w:val="TableContents"/>
              <w:spacing w:before="0" w:after="0"/>
              <w:ind w:left="0" w:right="0" w:hanging="0"/>
              <w:jc w:val="center"/>
              <w:rPr/>
            </w:pPr>
            <w:r>
              <w:rPr/>
              <w:t> </w:t>
            </w:r>
          </w:p>
        </w:tc>
        <w:tc>
          <w:tcPr>
            <w:tcW w:w="269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2" w:type="dxa"/>
            <w:tcBorders/>
            <w:shd w:fill="auto" w:val="clear"/>
            <w:vAlign w:val="bottom"/>
          </w:tcPr>
          <w:p>
            <w:pPr>
              <w:pStyle w:val="TableContents"/>
              <w:spacing w:before="0" w:after="0"/>
              <w:ind w:left="0" w:right="0" w:hanging="0"/>
              <w:jc w:val="center"/>
              <w:rPr/>
            </w:pPr>
            <w:r>
              <w:rPr/>
              <w:t> </w:t>
            </w:r>
          </w:p>
        </w:tc>
      </w:tr>
      <w:tr>
        <w:trPr/>
        <w:tc>
          <w:tcPr>
            <w:tcW w:w="4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209" w:type="dxa"/>
            <w:tcBorders/>
            <w:shd w:fill="CCEEFF" w:val="clear"/>
            <w:vAlign w:val="bottom"/>
          </w:tcPr>
          <w:p>
            <w:pPr>
              <w:pStyle w:val="TableContents"/>
              <w:spacing w:before="0" w:after="0"/>
              <w:ind w:left="0" w:right="0" w:hanging="0"/>
              <w:rPr/>
            </w:pPr>
            <w:r>
              <w:rPr/>
              <w:t> </w:t>
            </w:r>
          </w:p>
        </w:tc>
        <w:tc>
          <w:tcPr>
            <w:tcW w:w="1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30" w:type="dxa"/>
            <w:tcBorders/>
            <w:shd w:fill="CCEEFF" w:val="clear"/>
            <w:vAlign w:val="bottom"/>
          </w:tcPr>
          <w:p>
            <w:pPr>
              <w:pStyle w:val="TableContents"/>
              <w:spacing w:before="0" w:after="0"/>
              <w:ind w:left="0" w:right="0" w:hanging="0"/>
              <w:rPr/>
            </w:pPr>
            <w:r>
              <w:rPr/>
              <w:t> </w:t>
            </w:r>
          </w:p>
        </w:tc>
        <w:tc>
          <w:tcPr>
            <w:tcW w:w="1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7"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1,070</w:t>
            </w:r>
          </w:p>
        </w:tc>
        <w:tc>
          <w:tcPr>
            <w:tcW w:w="222"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790</w:t>
            </w:r>
          </w:p>
        </w:tc>
        <w:tc>
          <w:tcPr>
            <w:tcW w:w="132" w:type="dxa"/>
            <w:tcBorders/>
            <w:shd w:fill="CCEEFF" w:val="clear"/>
            <w:vAlign w:val="bottom"/>
          </w:tcPr>
          <w:p>
            <w:pPr>
              <w:pStyle w:val="TableContents"/>
              <w:spacing w:before="0" w:after="0"/>
              <w:ind w:left="0" w:right="0" w:hanging="0"/>
              <w:rPr/>
            </w:pPr>
            <w:r>
              <w:rPr/>
              <w:t> </w:t>
            </w:r>
          </w:p>
        </w:tc>
      </w:tr>
      <w:tr>
        <w:trPr/>
        <w:tc>
          <w:tcPr>
            <w:tcW w:w="4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09" w:type="dxa"/>
            <w:tcBorders/>
            <w:shd w:fill="auto" w:val="clear"/>
            <w:vAlign w:val="bottom"/>
          </w:tcPr>
          <w:p>
            <w:pPr>
              <w:pStyle w:val="TableContents"/>
              <w:spacing w:before="0" w:after="0"/>
              <w:ind w:left="0" w:right="0" w:hanging="0"/>
              <w:rPr/>
            </w:pPr>
            <w:r>
              <w:rPr/>
              <w:t> </w:t>
            </w:r>
          </w:p>
        </w:tc>
        <w:tc>
          <w:tcPr>
            <w:tcW w:w="12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30" w:type="dxa"/>
            <w:tcBorders/>
            <w:shd w:fill="auto" w:val="clear"/>
            <w:vAlign w:val="bottom"/>
          </w:tcPr>
          <w:p>
            <w:pPr>
              <w:pStyle w:val="TableContents"/>
              <w:spacing w:before="0" w:after="0"/>
              <w:ind w:left="0" w:right="0" w:hanging="0"/>
              <w:rPr/>
            </w:pPr>
            <w:r>
              <w:rPr/>
              <w:t> </w:t>
            </w:r>
          </w:p>
        </w:tc>
        <w:tc>
          <w:tcPr>
            <w:tcW w:w="12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7" w:type="dxa"/>
            <w:tcBorders/>
            <w:shd w:fill="auto" w:val="clear"/>
            <w:vAlign w:val="bottom"/>
          </w:tcPr>
          <w:p>
            <w:pPr>
              <w:pStyle w:val="TableContents"/>
              <w:spacing w:before="0" w:after="0"/>
              <w:ind w:left="0" w:right="0" w:hanging="0"/>
              <w:rPr/>
            </w:pPr>
            <w:r>
              <w:rPr/>
              <w:t> </w:t>
            </w:r>
          </w:p>
        </w:tc>
        <w:tc>
          <w:tcPr>
            <w:tcW w:w="12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32" w:type="dxa"/>
            <w:tcBorders/>
            <w:shd w:fill="auto" w:val="clear"/>
            <w:vAlign w:val="bottom"/>
          </w:tcPr>
          <w:p>
            <w:pPr>
              <w:pStyle w:val="TableContents"/>
              <w:spacing w:before="0" w:after="0"/>
              <w:ind w:left="0" w:right="0" w:hanging="0"/>
              <w:rPr/>
            </w:pPr>
            <w:r>
              <w:rPr/>
              <w:t> </w:t>
            </w:r>
          </w:p>
        </w:tc>
      </w:tr>
      <w:tr>
        <w:trPr/>
        <w:tc>
          <w:tcPr>
            <w:tcW w:w="4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w:t>
            </w:r>
          </w:p>
        </w:tc>
        <w:tc>
          <w:tcPr>
            <w:tcW w:w="209" w:type="dxa"/>
            <w:tcBorders/>
            <w:shd w:fill="CCEEFF" w:val="clear"/>
            <w:vAlign w:val="bottom"/>
          </w:tcPr>
          <w:p>
            <w:pPr>
              <w:pStyle w:val="TableContents"/>
              <w:spacing w:before="0" w:after="0"/>
              <w:ind w:left="0" w:right="0" w:hanging="0"/>
              <w:rPr/>
            </w:pPr>
            <w:r>
              <w:rPr/>
              <w:t> </w:t>
            </w:r>
          </w:p>
        </w:tc>
        <w:tc>
          <w:tcPr>
            <w:tcW w:w="12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230" w:type="dxa"/>
            <w:tcBorders/>
            <w:shd w:fill="CCEEFF" w:val="clear"/>
            <w:vAlign w:val="bottom"/>
          </w:tcPr>
          <w:p>
            <w:pPr>
              <w:pStyle w:val="TableContents"/>
              <w:spacing w:before="0" w:after="0"/>
              <w:ind w:left="0" w:right="0" w:hanging="0"/>
              <w:rPr/>
            </w:pPr>
            <w:r>
              <w:rPr/>
              <w:t> </w:t>
            </w:r>
          </w:p>
        </w:tc>
        <w:tc>
          <w:tcPr>
            <w:tcW w:w="12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254</w:t>
            </w:r>
          </w:p>
        </w:tc>
        <w:tc>
          <w:tcPr>
            <w:tcW w:w="217" w:type="dxa"/>
            <w:tcBorders/>
            <w:shd w:fill="CCEEFF" w:val="clear"/>
            <w:vAlign w:val="bottom"/>
          </w:tcPr>
          <w:p>
            <w:pPr>
              <w:pStyle w:val="TableContents"/>
              <w:spacing w:before="0" w:after="0"/>
              <w:ind w:left="0" w:right="0" w:hanging="0"/>
              <w:rPr/>
            </w:pPr>
            <w:r>
              <w:rPr/>
              <w:t> </w:t>
            </w:r>
          </w:p>
        </w:tc>
        <w:tc>
          <w:tcPr>
            <w:tcW w:w="12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972</w:t>
            </w:r>
          </w:p>
        </w:tc>
        <w:tc>
          <w:tcPr>
            <w:tcW w:w="222"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827</w:t>
            </w:r>
          </w:p>
        </w:tc>
        <w:tc>
          <w:tcPr>
            <w:tcW w:w="132" w:type="dxa"/>
            <w:tcBorders/>
            <w:shd w:fill="CCEEFF" w:val="clear"/>
            <w:vAlign w:val="bottom"/>
          </w:tcPr>
          <w:p>
            <w:pPr>
              <w:pStyle w:val="TableContents"/>
              <w:spacing w:before="0" w:after="0"/>
              <w:ind w:left="0" w:right="0" w:hanging="0"/>
              <w:rPr/>
            </w:pPr>
            <w:r>
              <w:rPr/>
              <w:t> </w:t>
            </w:r>
          </w:p>
        </w:tc>
      </w:tr>
      <w:tr>
        <w:trPr/>
        <w:tc>
          <w:tcPr>
            <w:tcW w:w="4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noncontrolling interests</w:t>
            </w:r>
          </w:p>
        </w:tc>
        <w:tc>
          <w:tcPr>
            <w:tcW w:w="209" w:type="dxa"/>
            <w:tcBorders/>
            <w:shd w:fill="auto" w:val="clear"/>
            <w:vAlign w:val="bottom"/>
          </w:tcPr>
          <w:p>
            <w:pPr>
              <w:pStyle w:val="TableContents"/>
              <w:spacing w:before="0" w:after="0"/>
              <w:ind w:left="0" w:right="0" w:hanging="0"/>
              <w:rPr/>
            </w:pPr>
            <w:r>
              <w:rPr/>
              <w:t> </w:t>
            </w:r>
          </w:p>
        </w:tc>
        <w:tc>
          <w:tcPr>
            <w:tcW w:w="12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(969</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GP LLC</w:t>
            </w:r>
          </w:p>
        </w:tc>
        <w:tc>
          <w:tcPr>
            <w:tcW w:w="209"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0"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2"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 AND SUBSIDIARIES (PREDECESSOR OF PLAINS GP HOLDINGS, L.P.)</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w:t>
      </w:r>
    </w:p>
    <w:p>
      <w:pPr>
        <w:pStyle w:val="TextBody"/>
        <w:spacing w:before="0" w:after="0"/>
        <w:ind w:left="0" w:right="0" w:hanging="0"/>
        <w:jc w:val="center"/>
        <w:rPr>
          <w:rFonts w:ascii="Times New Roman" w:hAnsi="Times New Roman"/>
          <w:b/>
          <w:sz w:val="17"/>
        </w:rPr>
      </w:pPr>
      <w:r>
        <w:rPr>
          <w:rFonts w:ascii="Times New Roman" w:hAnsi="Times New Roman"/>
          <w:b/>
          <w:sz w:val="17"/>
        </w:rPr>
        <w:t>CHANGES IN ACCUMULATED OTHER COMPREHENSIVE</w:t>
      </w:r>
      <w:bookmarkStart w:id="12" w:name="ChangesInAccumulatedOtherComprehe_153713"/>
      <w:bookmarkEnd w:id="12"/>
      <w:r>
        <w:rPr>
          <w:rFonts w:ascii="Times New Roman" w:hAnsi="Times New Roman"/>
          <w:b/>
          <w:sz w:val="17"/>
        </w:rPr>
        <w:t xml:space="preserve"> INCOME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431"/>
        <w:gridCol w:w="209"/>
        <w:gridCol w:w="192"/>
        <w:gridCol w:w="1207"/>
        <w:gridCol w:w="221"/>
        <w:gridCol w:w="210"/>
        <w:gridCol w:w="1197"/>
        <w:gridCol w:w="221"/>
        <w:gridCol w:w="152"/>
        <w:gridCol w:w="1025"/>
        <w:gridCol w:w="140"/>
      </w:tblGrid>
      <w:tr>
        <w:trPr/>
        <w:tc>
          <w:tcPr>
            <w:tcW w:w="543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39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21" w:type="dxa"/>
            <w:tcBorders/>
            <w:shd w:fill="auto" w:val="clear"/>
            <w:vAlign w:val="bottom"/>
          </w:tcPr>
          <w:p>
            <w:pPr>
              <w:pStyle w:val="TableContents"/>
              <w:spacing w:before="0" w:after="0"/>
              <w:ind w:left="0" w:right="0" w:hanging="0"/>
              <w:jc w:val="center"/>
              <w:rPr/>
            </w:pPr>
            <w:r>
              <w:rPr/>
              <w:t> </w:t>
            </w:r>
          </w:p>
        </w:tc>
        <w:tc>
          <w:tcPr>
            <w:tcW w:w="140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Translation</w:t>
            </w:r>
          </w:p>
        </w:tc>
        <w:tc>
          <w:tcPr>
            <w:tcW w:w="221" w:type="dxa"/>
            <w:tcBorders/>
            <w:shd w:fill="auto" w:val="clear"/>
            <w:vAlign w:val="bottom"/>
          </w:tcPr>
          <w:p>
            <w:pPr>
              <w:pStyle w:val="TableContents"/>
              <w:spacing w:before="0" w:after="0"/>
              <w:ind w:left="0" w:right="0" w:hanging="0"/>
              <w:jc w:val="center"/>
              <w:rPr/>
            </w:pPr>
            <w:r>
              <w:rPr/>
              <w:t> </w:t>
            </w:r>
          </w:p>
        </w:tc>
        <w:tc>
          <w:tcPr>
            <w:tcW w:w="1177" w:type="dxa"/>
            <w:gridSpan w:val="2"/>
            <w:tcBorders/>
            <w:shd w:fill="auto" w:val="clear"/>
            <w:vAlign w:val="bottom"/>
          </w:tcPr>
          <w:p>
            <w:pPr>
              <w:pStyle w:val="TableContents"/>
              <w:spacing w:before="0" w:after="0"/>
              <w:ind w:left="0" w:right="0" w:hanging="0"/>
              <w:jc w:val="center"/>
              <w:rPr/>
            </w:pPr>
            <w:r>
              <w:rPr/>
              <w:t> </w:t>
            </w:r>
          </w:p>
        </w:tc>
        <w:tc>
          <w:tcPr>
            <w:tcW w:w="140" w:type="dxa"/>
            <w:tcBorders/>
            <w:shd w:fill="auto" w:val="clear"/>
            <w:vAlign w:val="bottom"/>
          </w:tcPr>
          <w:p>
            <w:pPr>
              <w:pStyle w:val="TableContents"/>
              <w:spacing w:before="0" w:after="0"/>
              <w:ind w:left="0" w:right="0" w:hanging="0"/>
              <w:jc w:val="center"/>
              <w:rPr/>
            </w:pPr>
            <w:r>
              <w:rPr/>
              <w:t> </w:t>
            </w:r>
          </w:p>
        </w:tc>
      </w:tr>
      <w:tr>
        <w:trPr/>
        <w:tc>
          <w:tcPr>
            <w:tcW w:w="543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3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Instruments</w:t>
            </w:r>
          </w:p>
        </w:tc>
        <w:tc>
          <w:tcPr>
            <w:tcW w:w="221" w:type="dxa"/>
            <w:tcBorders/>
            <w:shd w:fill="auto" w:val="clear"/>
            <w:vAlign w:val="bottom"/>
          </w:tcPr>
          <w:p>
            <w:pPr>
              <w:pStyle w:val="TableContents"/>
              <w:spacing w:before="0" w:after="0"/>
              <w:ind w:left="0" w:right="0" w:hanging="0"/>
              <w:jc w:val="center"/>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221" w:type="dxa"/>
            <w:tcBorders/>
            <w:shd w:fill="auto" w:val="clear"/>
            <w:vAlign w:val="bottom"/>
          </w:tcPr>
          <w:p>
            <w:pPr>
              <w:pStyle w:val="TableContents"/>
              <w:spacing w:before="0" w:after="0"/>
              <w:ind w:left="0" w:right="0" w:hanging="0"/>
              <w:jc w:val="center"/>
              <w:rPr/>
            </w:pPr>
            <w:r>
              <w:rPr/>
              <w:t> </w:t>
            </w:r>
          </w:p>
        </w:tc>
        <w:tc>
          <w:tcPr>
            <w:tcW w:w="11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40" w:type="dxa"/>
            <w:tcBorders/>
            <w:shd w:fill="auto" w:val="clear"/>
            <w:vAlign w:val="bottom"/>
          </w:tcPr>
          <w:p>
            <w:pPr>
              <w:pStyle w:val="TableContents"/>
              <w:spacing w:before="0" w:after="0"/>
              <w:ind w:left="0" w:right="0" w:hanging="0"/>
              <w:jc w:val="center"/>
              <w:rPr/>
            </w:pPr>
            <w:r>
              <w:rPr/>
              <w:t> </w:t>
            </w:r>
          </w:p>
        </w:tc>
      </w:tr>
      <w:tr>
        <w:trPr/>
        <w:tc>
          <w:tcPr>
            <w:tcW w:w="5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209" w:type="dxa"/>
            <w:tcBorders/>
            <w:shd w:fill="CCEEFF" w:val="clear"/>
            <w:vAlign w:val="bottom"/>
          </w:tcPr>
          <w:p>
            <w:pPr>
              <w:pStyle w:val="TableContents"/>
              <w:spacing w:before="0" w:after="0"/>
              <w:ind w:left="0" w:right="0" w:hanging="0"/>
              <w:rPr/>
            </w:pPr>
            <w:r>
              <w:rPr/>
              <w:t> </w:t>
            </w:r>
          </w:p>
        </w:tc>
        <w:tc>
          <w:tcPr>
            <w:tcW w:w="19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21"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40" w:type="dxa"/>
            <w:tcBorders/>
            <w:shd w:fill="CCEEFF" w:val="clear"/>
            <w:vAlign w:val="bottom"/>
          </w:tcPr>
          <w:p>
            <w:pPr>
              <w:pStyle w:val="TableContents"/>
              <w:spacing w:before="0" w:after="0"/>
              <w:ind w:left="0" w:right="0" w:hanging="0"/>
              <w:rPr/>
            </w:pPr>
            <w:r>
              <w:rPr/>
              <w:t> </w:t>
            </w:r>
          </w:p>
        </w:tc>
      </w:tr>
      <w:tr>
        <w:trPr/>
        <w:tc>
          <w:tcPr>
            <w:tcW w:w="54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Reclassification adjustments </w:t>
            </w:r>
          </w:p>
        </w:tc>
        <w:tc>
          <w:tcPr>
            <w:tcW w:w="209" w:type="dxa"/>
            <w:tcBorders/>
            <w:shd w:fill="auto" w:val="clear"/>
            <w:vAlign w:val="bottom"/>
          </w:tcPr>
          <w:p>
            <w:pPr>
              <w:pStyle w:val="TableContents"/>
              <w:spacing w:before="0" w:after="0"/>
              <w:ind w:left="0" w:right="0" w:hanging="0"/>
              <w:rPr/>
            </w:pPr>
            <w:r>
              <w:rPr/>
              <w:t> </w:t>
            </w:r>
          </w:p>
        </w:tc>
        <w:tc>
          <w:tcPr>
            <w:tcW w:w="13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1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Deferred gain on cash flow hedges, net of tax </w:t>
            </w:r>
          </w:p>
        </w:tc>
        <w:tc>
          <w:tcPr>
            <w:tcW w:w="209" w:type="dxa"/>
            <w:tcBorders/>
            <w:shd w:fill="CCEEFF" w:val="clear"/>
            <w:vAlign w:val="bottom"/>
          </w:tcPr>
          <w:p>
            <w:pPr>
              <w:pStyle w:val="TableContents"/>
              <w:spacing w:before="0" w:after="0"/>
              <w:ind w:left="0" w:right="0" w:hanging="0"/>
              <w:rPr/>
            </w:pPr>
            <w:r>
              <w:rPr/>
              <w:t> </w:t>
            </w:r>
          </w:p>
        </w:tc>
        <w:tc>
          <w:tcPr>
            <w:tcW w:w="13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21"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11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40" w:type="dxa"/>
            <w:tcBorders/>
            <w:shd w:fill="CCEEFF" w:val="clear"/>
            <w:vAlign w:val="bottom"/>
          </w:tcPr>
          <w:p>
            <w:pPr>
              <w:pStyle w:val="TableContents"/>
              <w:spacing w:before="0" w:after="0"/>
              <w:ind w:left="0" w:right="0" w:hanging="0"/>
              <w:rPr/>
            </w:pPr>
            <w:r>
              <w:rPr/>
              <w:t> </w:t>
            </w:r>
          </w:p>
        </w:tc>
      </w:tr>
      <w:tr>
        <w:trPr/>
        <w:tc>
          <w:tcPr>
            <w:tcW w:w="54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adjustments</w:t>
            </w:r>
          </w:p>
        </w:tc>
        <w:tc>
          <w:tcPr>
            <w:tcW w:w="209" w:type="dxa"/>
            <w:tcBorders/>
            <w:shd w:fill="auto" w:val="clear"/>
            <w:vAlign w:val="bottom"/>
          </w:tcPr>
          <w:p>
            <w:pPr>
              <w:pStyle w:val="TableContents"/>
              <w:spacing w:before="0" w:after="0"/>
              <w:ind w:left="0" w:right="0" w:hanging="0"/>
              <w:rPr/>
            </w:pPr>
            <w:r>
              <w:rPr/>
              <w:t> </w:t>
            </w:r>
          </w:p>
        </w:tc>
        <w:tc>
          <w:tcPr>
            <w:tcW w:w="13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period activity</w:t>
            </w:r>
          </w:p>
        </w:tc>
        <w:tc>
          <w:tcPr>
            <w:tcW w:w="209" w:type="dxa"/>
            <w:tcBorders/>
            <w:shd w:fill="CCEEFF" w:val="clear"/>
            <w:vAlign w:val="bottom"/>
          </w:tcPr>
          <w:p>
            <w:pPr>
              <w:pStyle w:val="TableContents"/>
              <w:spacing w:before="0" w:after="0"/>
              <w:ind w:left="0" w:right="0" w:hanging="0"/>
              <w:rPr/>
            </w:pPr>
            <w:r>
              <w:rPr/>
              <w:t> </w:t>
            </w:r>
          </w:p>
        </w:tc>
        <w:tc>
          <w:tcPr>
            <w:tcW w:w="13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1" w:type="dxa"/>
            <w:tcBorders/>
            <w:shd w:fill="CCEEFF" w:val="clear"/>
            <w:vAlign w:val="bottom"/>
          </w:tcPr>
          <w:p>
            <w:pPr>
              <w:pStyle w:val="TableContents"/>
              <w:spacing w:before="0" w:after="0"/>
              <w:ind w:left="0" w:right="0" w:hanging="0"/>
              <w:rPr/>
            </w:pPr>
            <w:r>
              <w:rPr/>
              <w:t> </w:t>
            </w:r>
          </w:p>
        </w:tc>
        <w:tc>
          <w:tcPr>
            <w:tcW w:w="14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4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September 30, 2013</w:t>
            </w:r>
          </w:p>
        </w:tc>
        <w:tc>
          <w:tcPr>
            <w:tcW w:w="209" w:type="dxa"/>
            <w:tcBorders/>
            <w:shd w:fill="auto" w:val="clear"/>
            <w:vAlign w:val="bottom"/>
          </w:tcPr>
          <w:p>
            <w:pPr>
              <w:pStyle w:val="TableContents"/>
              <w:spacing w:before="0" w:after="0"/>
              <w:ind w:left="0" w:right="0" w:hanging="0"/>
              <w:rPr/>
            </w:pPr>
            <w:r>
              <w:rPr/>
              <w:t> </w:t>
            </w:r>
          </w:p>
        </w:tc>
        <w:tc>
          <w:tcPr>
            <w:tcW w:w="19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21"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3" w:name="PB_6_151027_2897"/>
      <w:bookmarkEnd w:id="1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 AND SUBSIDIARIES (PREDECESSOR OF PLAINS GP HOLDINGS, L.P.)</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CASH FLOWS</w:t>
      </w:r>
      <w:bookmarkStart w:id="14" w:name="StatementsOfCashFlows_151512"/>
      <w:bookmarkEnd w:id="14"/>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185"/>
        <w:gridCol w:w="212"/>
        <w:gridCol w:w="132"/>
        <w:gridCol w:w="1117"/>
        <w:gridCol w:w="221"/>
        <w:gridCol w:w="134"/>
        <w:gridCol w:w="1079"/>
        <w:gridCol w:w="125"/>
      </w:tblGrid>
      <w:tr>
        <w:trPr/>
        <w:tc>
          <w:tcPr>
            <w:tcW w:w="71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8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5" w:type="dxa"/>
            <w:tcBorders/>
            <w:shd w:fill="auto" w:val="clear"/>
            <w:vAlign w:val="bottom"/>
          </w:tcPr>
          <w:p>
            <w:pPr>
              <w:pStyle w:val="TableContents"/>
              <w:spacing w:before="0" w:after="0"/>
              <w:ind w:left="0" w:right="0" w:hanging="0"/>
              <w:jc w:val="center"/>
              <w:rPr/>
            </w:pPr>
            <w:r>
              <w:rPr/>
              <w:t> </w:t>
            </w:r>
          </w:p>
        </w:tc>
      </w:tr>
      <w:tr>
        <w:trPr/>
        <w:tc>
          <w:tcPr>
            <w:tcW w:w="71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8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5" w:type="dxa"/>
            <w:tcBorders/>
            <w:shd w:fill="auto" w:val="clear"/>
            <w:vAlign w:val="bottom"/>
          </w:tcPr>
          <w:p>
            <w:pPr>
              <w:pStyle w:val="TableContents"/>
              <w:spacing w:before="0" w:after="0"/>
              <w:ind w:left="0" w:right="0" w:hanging="0"/>
              <w:jc w:val="center"/>
              <w:rPr/>
            </w:pPr>
            <w:r>
              <w:rPr/>
              <w:t> </w:t>
            </w:r>
          </w:p>
        </w:tc>
      </w:tr>
      <w:tr>
        <w:trPr/>
        <w:tc>
          <w:tcPr>
            <w:tcW w:w="71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1" w:type="dxa"/>
            <w:tcBorders/>
            <w:shd w:fill="auto" w:val="clear"/>
            <w:vAlign w:val="bottom"/>
          </w:tcPr>
          <w:p>
            <w:pPr>
              <w:pStyle w:val="TableContents"/>
              <w:spacing w:before="0" w:after="0"/>
              <w:ind w:left="0" w:right="0" w:hanging="0"/>
              <w:jc w:val="center"/>
              <w:rPr/>
            </w:pPr>
            <w:r>
              <w:rPr/>
              <w:t> </w:t>
            </w:r>
          </w:p>
        </w:tc>
        <w:tc>
          <w:tcPr>
            <w:tcW w:w="12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5" w:type="dxa"/>
            <w:tcBorders/>
            <w:shd w:fill="auto" w:val="clear"/>
            <w:vAlign w:val="bottom"/>
          </w:tcPr>
          <w:p>
            <w:pPr>
              <w:pStyle w:val="TableContents"/>
              <w:spacing w:before="0" w:after="0"/>
              <w:ind w:left="0" w:right="0" w:hanging="0"/>
              <w:jc w:val="center"/>
              <w:rPr/>
            </w:pPr>
            <w:r>
              <w:rPr/>
              <w:t> </w:t>
            </w:r>
          </w:p>
        </w:tc>
      </w:tr>
      <w:tr>
        <w:trPr/>
        <w:tc>
          <w:tcPr>
            <w:tcW w:w="71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8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5" w:type="dxa"/>
            <w:tcBorders/>
            <w:shd w:fill="auto" w:val="clear"/>
            <w:vAlign w:val="bottom"/>
          </w:tcPr>
          <w:p>
            <w:pPr>
              <w:pStyle w:val="TableContents"/>
              <w:spacing w:before="0" w:after="0"/>
              <w:ind w:left="0" w:right="0" w:hanging="0"/>
              <w:jc w:val="center"/>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2"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1,070</w:t>
            </w:r>
          </w:p>
        </w:tc>
        <w:tc>
          <w:tcPr>
            <w:tcW w:w="221"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790</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valuation adjustments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sales of linefill and base gas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Settlement of terminated interest rate and foreign currency hedging instruments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(Gain)/loss on foreign currency revaluation</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(453</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1,589</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874</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(1,537</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for sales of linefill and base gas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for purchases of linefill and base gas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sales of assets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upon formation of equity-method investment</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investing activities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(1,340</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(2,376</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under PAA senior secured hedged inventory facility (Note 7)</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(659</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under PAA senior unsecured revolving credit facility (Note 7)</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under PNG credit agreement (Note 7)</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under AAP revolving credit facility (Note 7)</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AAP term loan (Note 7)</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 under PAA commercial paper program (Note 7)</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the issuance of PAA senior notes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699</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1,247</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Repayments of PAA senior notes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proceeds from the issuance of PAA common units </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817</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PNG common units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noncontrolling interests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(737</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members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financing activities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1,508</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increase in cash and cash equivalents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212"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21" w:type="dxa"/>
            <w:tcBorders/>
            <w:shd w:fill="auto" w:val="clear"/>
            <w:vAlign w:val="bottom"/>
          </w:tcPr>
          <w:p>
            <w:pPr>
              <w:pStyle w:val="TableContents"/>
              <w:spacing w:before="0" w:after="0"/>
              <w:ind w:left="0" w:right="0" w:hanging="0"/>
              <w:rPr/>
            </w:pPr>
            <w:r>
              <w:rPr/>
              <w:t> </w:t>
            </w:r>
          </w:p>
        </w:tc>
        <w:tc>
          <w:tcPr>
            <w:tcW w:w="1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for:</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net of amounts capitalized</w:t>
            </w:r>
          </w:p>
        </w:tc>
        <w:tc>
          <w:tcPr>
            <w:tcW w:w="212"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221"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taxes, net of amounts refunded</w:t>
            </w:r>
          </w:p>
        </w:tc>
        <w:tc>
          <w:tcPr>
            <w:tcW w:w="212"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1"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2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5" w:name="PB_7_151232_3020"/>
      <w:bookmarkEnd w:id="1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 AND SUBSIDIARIES (PREDECESSOR OF PLAINS GP HOLDINGS, L.P.)</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 CHANGES IN MEMBERS EQUITY</w:t>
      </w:r>
      <w:bookmarkStart w:id="16" w:name="StatementOfChangesInMembersEquity_151522"/>
      <w:bookmarkEnd w:id="16"/>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892"/>
        <w:gridCol w:w="194"/>
        <w:gridCol w:w="433"/>
        <w:gridCol w:w="1281"/>
        <w:gridCol w:w="211"/>
        <w:gridCol w:w="232"/>
        <w:gridCol w:w="1344"/>
        <w:gridCol w:w="211"/>
        <w:gridCol w:w="168"/>
        <w:gridCol w:w="1094"/>
        <w:gridCol w:w="145"/>
      </w:tblGrid>
      <w:tr>
        <w:trPr/>
        <w:tc>
          <w:tcPr>
            <w:tcW w:w="4892"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71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Members Equity</w:t>
            </w:r>
          </w:p>
        </w:tc>
        <w:tc>
          <w:tcPr>
            <w:tcW w:w="211" w:type="dxa"/>
            <w:tcBorders/>
            <w:shd w:fill="auto" w:val="clear"/>
            <w:vAlign w:val="bottom"/>
          </w:tcPr>
          <w:p>
            <w:pPr>
              <w:pStyle w:val="TableContents"/>
              <w:spacing w:before="0" w:after="0"/>
              <w:ind w:left="0" w:right="0" w:hanging="0"/>
              <w:jc w:val="center"/>
              <w:rPr/>
            </w:pPr>
            <w:r>
              <w:rPr/>
              <w:t> </w:t>
            </w:r>
          </w:p>
        </w:tc>
        <w:tc>
          <w:tcPr>
            <w:tcW w:w="1576" w:type="dxa"/>
            <w:gridSpan w:val="2"/>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62" w:type="dxa"/>
            <w:gridSpan w:val="2"/>
            <w:tcBorders/>
            <w:shd w:fill="auto" w:val="clear"/>
            <w:vAlign w:val="bottom"/>
          </w:tcPr>
          <w:p>
            <w:pPr>
              <w:pStyle w:val="TableContents"/>
              <w:spacing w:before="0" w:after="0"/>
              <w:ind w:left="0" w:right="0" w:hanging="0"/>
              <w:jc w:val="center"/>
              <w:rPr/>
            </w:pPr>
            <w:r>
              <w:rPr/>
              <w:t> </w:t>
            </w:r>
          </w:p>
        </w:tc>
        <w:tc>
          <w:tcPr>
            <w:tcW w:w="145" w:type="dxa"/>
            <w:tcBorders/>
            <w:shd w:fill="auto" w:val="clear"/>
            <w:vAlign w:val="bottom"/>
          </w:tcPr>
          <w:p>
            <w:pPr>
              <w:pStyle w:val="TableContents"/>
              <w:spacing w:before="0" w:after="0"/>
              <w:ind w:left="0" w:right="0" w:hanging="0"/>
              <w:jc w:val="center"/>
              <w:rPr/>
            </w:pPr>
            <w:r>
              <w:rPr/>
              <w:t> </w:t>
            </w:r>
          </w:p>
        </w:tc>
      </w:tr>
      <w:tr>
        <w:trPr/>
        <w:tc>
          <w:tcPr>
            <w:tcW w:w="4892"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71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(Excluding</w:t>
            </w:r>
          </w:p>
        </w:tc>
        <w:tc>
          <w:tcPr>
            <w:tcW w:w="211" w:type="dxa"/>
            <w:tcBorders/>
            <w:shd w:fill="auto" w:val="clear"/>
            <w:vAlign w:val="bottom"/>
          </w:tcPr>
          <w:p>
            <w:pPr>
              <w:pStyle w:val="TableContents"/>
              <w:spacing w:before="0" w:after="0"/>
              <w:ind w:left="0" w:right="0" w:hanging="0"/>
              <w:jc w:val="center"/>
              <w:rPr/>
            </w:pPr>
            <w:r>
              <w:rPr/>
              <w:t> </w:t>
            </w:r>
          </w:p>
        </w:tc>
        <w:tc>
          <w:tcPr>
            <w:tcW w:w="1576" w:type="dxa"/>
            <w:gridSpan w:val="2"/>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62" w:type="dxa"/>
            <w:gridSpan w:val="2"/>
            <w:tcBorders/>
            <w:shd w:fill="auto" w:val="clear"/>
            <w:vAlign w:val="bottom"/>
          </w:tcPr>
          <w:p>
            <w:pPr>
              <w:pStyle w:val="TableContents"/>
              <w:spacing w:before="0" w:after="0"/>
              <w:ind w:left="0" w:right="0" w:hanging="0"/>
              <w:jc w:val="center"/>
              <w:rPr/>
            </w:pPr>
            <w:r>
              <w:rPr/>
              <w:t> </w:t>
            </w:r>
          </w:p>
        </w:tc>
        <w:tc>
          <w:tcPr>
            <w:tcW w:w="145" w:type="dxa"/>
            <w:tcBorders/>
            <w:shd w:fill="auto" w:val="clear"/>
            <w:vAlign w:val="bottom"/>
          </w:tcPr>
          <w:p>
            <w:pPr>
              <w:pStyle w:val="TableContents"/>
              <w:spacing w:before="0" w:after="0"/>
              <w:ind w:left="0" w:right="0" w:hanging="0"/>
              <w:jc w:val="center"/>
              <w:rPr/>
            </w:pPr>
            <w:r>
              <w:rPr/>
              <w:t> </w:t>
            </w:r>
          </w:p>
        </w:tc>
      </w:tr>
      <w:tr>
        <w:trPr/>
        <w:tc>
          <w:tcPr>
            <w:tcW w:w="4892"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71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211" w:type="dxa"/>
            <w:tcBorders/>
            <w:shd w:fill="auto" w:val="clear"/>
            <w:vAlign w:val="bottom"/>
          </w:tcPr>
          <w:p>
            <w:pPr>
              <w:pStyle w:val="TableContents"/>
              <w:spacing w:before="0" w:after="0"/>
              <w:ind w:left="0" w:right="0" w:hanging="0"/>
              <w:jc w:val="center"/>
              <w:rPr/>
            </w:pPr>
            <w:r>
              <w:rPr/>
              <w:t> </w:t>
            </w:r>
          </w:p>
        </w:tc>
        <w:tc>
          <w:tcPr>
            <w:tcW w:w="157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211" w:type="dxa"/>
            <w:tcBorders/>
            <w:shd w:fill="auto" w:val="clear"/>
            <w:vAlign w:val="bottom"/>
          </w:tcPr>
          <w:p>
            <w:pPr>
              <w:pStyle w:val="TableContents"/>
              <w:spacing w:before="0" w:after="0"/>
              <w:ind w:left="0" w:right="0" w:hanging="0"/>
              <w:jc w:val="center"/>
              <w:rPr/>
            </w:pPr>
            <w:r>
              <w:rPr/>
              <w:t> </w:t>
            </w:r>
          </w:p>
        </w:tc>
        <w:tc>
          <w:tcPr>
            <w:tcW w:w="126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Members</w:t>
            </w:r>
          </w:p>
        </w:tc>
        <w:tc>
          <w:tcPr>
            <w:tcW w:w="145" w:type="dxa"/>
            <w:tcBorders/>
            <w:shd w:fill="auto" w:val="clear"/>
            <w:vAlign w:val="bottom"/>
          </w:tcPr>
          <w:p>
            <w:pPr>
              <w:pStyle w:val="TableContents"/>
              <w:spacing w:before="0" w:after="0"/>
              <w:ind w:left="0" w:right="0" w:hanging="0"/>
              <w:jc w:val="center"/>
              <w:rPr/>
            </w:pPr>
            <w:r>
              <w:rPr/>
              <w:t> </w:t>
            </w:r>
          </w:p>
        </w:tc>
      </w:tr>
      <w:tr>
        <w:trPr/>
        <w:tc>
          <w:tcPr>
            <w:tcW w:w="4892"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7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211" w:type="dxa"/>
            <w:tcBorders/>
            <w:shd w:fill="auto" w:val="clear"/>
            <w:vAlign w:val="bottom"/>
          </w:tcPr>
          <w:p>
            <w:pPr>
              <w:pStyle w:val="TableContents"/>
              <w:spacing w:before="0" w:after="0"/>
              <w:ind w:left="0" w:right="0" w:hanging="0"/>
              <w:jc w:val="center"/>
              <w:rPr/>
            </w:pPr>
            <w:r>
              <w:rPr/>
              <w:t> </w:t>
            </w:r>
          </w:p>
        </w:tc>
        <w:tc>
          <w:tcPr>
            <w:tcW w:w="15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211" w:type="dxa"/>
            <w:tcBorders/>
            <w:shd w:fill="auto" w:val="clear"/>
            <w:vAlign w:val="bottom"/>
          </w:tcPr>
          <w:p>
            <w:pPr>
              <w:pStyle w:val="TableContents"/>
              <w:spacing w:before="0" w:after="0"/>
              <w:ind w:left="0" w:right="0" w:hanging="0"/>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Equity</w:t>
            </w:r>
          </w:p>
        </w:tc>
        <w:tc>
          <w:tcPr>
            <w:tcW w:w="145" w:type="dxa"/>
            <w:tcBorders/>
            <w:shd w:fill="auto" w:val="clear"/>
            <w:vAlign w:val="bottom"/>
          </w:tcPr>
          <w:p>
            <w:pPr>
              <w:pStyle w:val="TableContents"/>
              <w:spacing w:before="0" w:after="0"/>
              <w:ind w:left="0" w:right="0" w:hanging="0"/>
              <w:jc w:val="center"/>
              <w:rPr/>
            </w:pPr>
            <w:r>
              <w:rPr/>
              <w:t> </w:t>
            </w:r>
          </w:p>
        </w:tc>
      </w:tr>
      <w:tr>
        <w:trPr/>
        <w:tc>
          <w:tcPr>
            <w:tcW w:w="4892"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497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45" w:type="dxa"/>
            <w:tcBorders/>
            <w:shd w:fill="auto" w:val="clear"/>
            <w:vAlign w:val="bottom"/>
          </w:tcPr>
          <w:p>
            <w:pPr>
              <w:pStyle w:val="TableContents"/>
              <w:spacing w:before="0" w:after="0"/>
              <w:ind w:left="0" w:right="0" w:hanging="0"/>
              <w:jc w:val="center"/>
              <w:rPr/>
            </w:pPr>
            <w:r>
              <w:rPr/>
              <w:t> </w:t>
            </w:r>
          </w:p>
        </w:tc>
      </w:tr>
      <w:tr>
        <w:trPr/>
        <w:tc>
          <w:tcPr>
            <w:tcW w:w="48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194" w:type="dxa"/>
            <w:tcBorders/>
            <w:shd w:fill="CCEEFF" w:val="clear"/>
            <w:vAlign w:val="bottom"/>
          </w:tcPr>
          <w:p>
            <w:pPr>
              <w:pStyle w:val="TableContents"/>
              <w:spacing w:before="0" w:after="0"/>
              <w:ind w:left="0" w:right="0" w:hanging="0"/>
              <w:rPr/>
            </w:pPr>
            <w:r>
              <w:rPr/>
              <w:t> </w:t>
            </w:r>
          </w:p>
        </w:tc>
        <w:tc>
          <w:tcPr>
            <w:tcW w:w="4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2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6,968</w:t>
            </w:r>
          </w:p>
        </w:tc>
        <w:tc>
          <w:tcPr>
            <w:tcW w:w="211" w:type="dxa"/>
            <w:tcBorders/>
            <w:shd w:fill="CCEEFF" w:val="clear"/>
            <w:vAlign w:val="bottom"/>
          </w:tcPr>
          <w:p>
            <w:pPr>
              <w:pStyle w:val="TableContents"/>
              <w:spacing w:before="0" w:after="0"/>
              <w:ind w:left="0" w:right="0" w:hanging="0"/>
              <w:rPr/>
            </w:pPr>
            <w:r>
              <w:rPr/>
              <w:t> </w:t>
            </w:r>
          </w:p>
        </w:tc>
        <w:tc>
          <w:tcPr>
            <w:tcW w:w="16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6,968</w:t>
            </w:r>
          </w:p>
        </w:tc>
        <w:tc>
          <w:tcPr>
            <w:tcW w:w="145" w:type="dxa"/>
            <w:tcBorders/>
            <w:shd w:fill="CCEEFF" w:val="clear"/>
            <w:vAlign w:val="bottom"/>
          </w:tcPr>
          <w:p>
            <w:pPr>
              <w:pStyle w:val="TableContents"/>
              <w:spacing w:before="0" w:after="0"/>
              <w:ind w:left="0" w:right="0" w:hanging="0"/>
              <w:rPr/>
            </w:pPr>
            <w:r>
              <w:rPr/>
              <w:t> </w:t>
            </w:r>
          </w:p>
        </w:tc>
      </w:tr>
      <w:tr>
        <w:trPr/>
        <w:tc>
          <w:tcPr>
            <w:tcW w:w="48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94" w:type="dxa"/>
            <w:tcBorders/>
            <w:shd w:fill="auto" w:val="clear"/>
            <w:vAlign w:val="bottom"/>
          </w:tcPr>
          <w:p>
            <w:pPr>
              <w:pStyle w:val="TableContents"/>
              <w:spacing w:before="0" w:after="0"/>
              <w:ind w:left="0" w:right="0" w:hanging="0"/>
              <w:rPr/>
            </w:pPr>
            <w:r>
              <w:rPr/>
              <w:t> </w:t>
            </w:r>
          </w:p>
        </w:tc>
        <w:tc>
          <w:tcPr>
            <w:tcW w:w="17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auto" w:val="clear"/>
            <w:vAlign w:val="bottom"/>
          </w:tcPr>
          <w:p>
            <w:pPr>
              <w:pStyle w:val="TableContents"/>
              <w:spacing w:before="0" w:after="0"/>
              <w:ind w:left="0" w:right="0" w:hanging="0"/>
              <w:rPr/>
            </w:pPr>
            <w:r>
              <w:rPr/>
              <w:t> </w:t>
            </w:r>
          </w:p>
        </w:tc>
        <w:tc>
          <w:tcPr>
            <w:tcW w:w="15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w:t>
            </w:r>
          </w:p>
        </w:tc>
        <w:tc>
          <w:tcPr>
            <w:tcW w:w="211"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1,070</w:t>
            </w:r>
          </w:p>
        </w:tc>
        <w:tc>
          <w:tcPr>
            <w:tcW w:w="145" w:type="dxa"/>
            <w:tcBorders/>
            <w:shd w:fill="auto" w:val="clear"/>
            <w:vAlign w:val="bottom"/>
          </w:tcPr>
          <w:p>
            <w:pPr>
              <w:pStyle w:val="TableContents"/>
              <w:spacing w:before="0" w:after="0"/>
              <w:ind w:left="0" w:right="0" w:hanging="0"/>
              <w:rPr/>
            </w:pPr>
            <w:r>
              <w:rPr/>
              <w:t> </w:t>
            </w:r>
          </w:p>
        </w:tc>
      </w:tr>
      <w:tr>
        <w:trPr/>
        <w:tc>
          <w:tcPr>
            <w:tcW w:w="48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94" w:type="dxa"/>
            <w:tcBorders/>
            <w:shd w:fill="CCEEFF" w:val="clear"/>
            <w:vAlign w:val="bottom"/>
          </w:tcPr>
          <w:p>
            <w:pPr>
              <w:pStyle w:val="TableContents"/>
              <w:spacing w:before="0" w:after="0"/>
              <w:ind w:left="0" w:right="0" w:hanging="0"/>
              <w:rPr/>
            </w:pPr>
            <w:r>
              <w:rPr/>
              <w:t> </w:t>
            </w:r>
          </w:p>
        </w:tc>
        <w:tc>
          <w:tcPr>
            <w:tcW w:w="17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(1,182</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(1,188</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PAA common units</w:t>
            </w:r>
          </w:p>
        </w:tc>
        <w:tc>
          <w:tcPr>
            <w:tcW w:w="194" w:type="dxa"/>
            <w:tcBorders/>
            <w:shd w:fill="auto" w:val="clear"/>
            <w:vAlign w:val="bottom"/>
          </w:tcPr>
          <w:p>
            <w:pPr>
              <w:pStyle w:val="TableContents"/>
              <w:spacing w:before="0" w:after="0"/>
              <w:ind w:left="0" w:right="0" w:hanging="0"/>
              <w:rPr/>
            </w:pPr>
            <w:r>
              <w:rPr/>
              <w:t> </w:t>
            </w:r>
          </w:p>
        </w:tc>
        <w:tc>
          <w:tcPr>
            <w:tcW w:w="17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15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11" w:type="dxa"/>
            <w:tcBorders/>
            <w:shd w:fill="auto" w:val="clear"/>
            <w:vAlign w:val="bottom"/>
          </w:tcPr>
          <w:p>
            <w:pPr>
              <w:pStyle w:val="TableContents"/>
              <w:spacing w:before="0" w:after="0"/>
              <w:ind w:left="0" w:right="0" w:hanging="0"/>
              <w:rPr/>
            </w:pPr>
            <w:r>
              <w:rPr/>
              <w:t> </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45" w:type="dxa"/>
            <w:tcBorders/>
            <w:shd w:fill="auto" w:val="clear"/>
            <w:vAlign w:val="bottom"/>
          </w:tcPr>
          <w:p>
            <w:pPr>
              <w:pStyle w:val="TableContents"/>
              <w:spacing w:before="0" w:after="0"/>
              <w:ind w:left="0" w:right="0" w:hanging="0"/>
              <w:rPr/>
            </w:pPr>
            <w:r>
              <w:rPr/>
              <w:t> </w:t>
            </w:r>
          </w:p>
        </w:tc>
      </w:tr>
      <w:tr>
        <w:trPr/>
        <w:tc>
          <w:tcPr>
            <w:tcW w:w="48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PAA common units under LTIP</w:t>
            </w:r>
          </w:p>
        </w:tc>
        <w:tc>
          <w:tcPr>
            <w:tcW w:w="194" w:type="dxa"/>
            <w:tcBorders/>
            <w:shd w:fill="CCEEFF" w:val="clear"/>
            <w:vAlign w:val="bottom"/>
          </w:tcPr>
          <w:p>
            <w:pPr>
              <w:pStyle w:val="TableContents"/>
              <w:spacing w:before="0" w:after="0"/>
              <w:ind w:left="0" w:right="0" w:hanging="0"/>
              <w:rPr/>
            </w:pPr>
            <w:r>
              <w:rPr/>
              <w:t> </w:t>
            </w:r>
          </w:p>
        </w:tc>
        <w:tc>
          <w:tcPr>
            <w:tcW w:w="17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15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1"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45" w:type="dxa"/>
            <w:tcBorders/>
            <w:shd w:fill="CCEEFF" w:val="clear"/>
            <w:vAlign w:val="bottom"/>
          </w:tcPr>
          <w:p>
            <w:pPr>
              <w:pStyle w:val="TableContents"/>
              <w:spacing w:before="0" w:after="0"/>
              <w:ind w:left="0" w:right="0" w:hanging="0"/>
              <w:rPr/>
            </w:pPr>
            <w:r>
              <w:rPr/>
              <w:t> </w:t>
            </w:r>
          </w:p>
        </w:tc>
      </w:tr>
      <w:tr>
        <w:trPr/>
        <w:tc>
          <w:tcPr>
            <w:tcW w:w="48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Units tendered by employees to satisfy tax withholding obligations</w:t>
            </w:r>
          </w:p>
        </w:tc>
        <w:tc>
          <w:tcPr>
            <w:tcW w:w="194" w:type="dxa"/>
            <w:tcBorders/>
            <w:shd w:fill="auto" w:val="clear"/>
            <w:vAlign w:val="bottom"/>
          </w:tcPr>
          <w:p>
            <w:pPr>
              <w:pStyle w:val="TableContents"/>
              <w:spacing w:before="0" w:after="0"/>
              <w:ind w:left="0" w:right="0" w:hanging="0"/>
              <w:rPr/>
            </w:pPr>
            <w:r>
              <w:rPr/>
              <w:t> </w:t>
            </w:r>
          </w:p>
        </w:tc>
        <w:tc>
          <w:tcPr>
            <w:tcW w:w="17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15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194" w:type="dxa"/>
            <w:tcBorders/>
            <w:shd w:fill="CCEEFF" w:val="clear"/>
            <w:vAlign w:val="bottom"/>
          </w:tcPr>
          <w:p>
            <w:pPr>
              <w:pStyle w:val="TableContents"/>
              <w:spacing w:before="0" w:after="0"/>
              <w:ind w:left="0" w:right="0" w:hanging="0"/>
              <w:rPr/>
            </w:pPr>
            <w:r>
              <w:rPr/>
              <w:t> </w:t>
            </w:r>
          </w:p>
        </w:tc>
        <w:tc>
          <w:tcPr>
            <w:tcW w:w="17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15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1"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45" w:type="dxa"/>
            <w:tcBorders/>
            <w:shd w:fill="CCEEFF" w:val="clear"/>
            <w:vAlign w:val="bottom"/>
          </w:tcPr>
          <w:p>
            <w:pPr>
              <w:pStyle w:val="TableContents"/>
              <w:spacing w:before="0" w:after="0"/>
              <w:ind w:left="0" w:right="0" w:hanging="0"/>
              <w:rPr/>
            </w:pPr>
            <w:r>
              <w:rPr/>
              <w:t> </w:t>
            </w:r>
          </w:p>
        </w:tc>
      </w:tr>
      <w:tr>
        <w:trPr/>
        <w:tc>
          <w:tcPr>
            <w:tcW w:w="48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 payments</w:t>
            </w:r>
          </w:p>
        </w:tc>
        <w:tc>
          <w:tcPr>
            <w:tcW w:w="194" w:type="dxa"/>
            <w:tcBorders/>
            <w:shd w:fill="auto" w:val="clear"/>
            <w:vAlign w:val="bottom"/>
          </w:tcPr>
          <w:p>
            <w:pPr>
              <w:pStyle w:val="TableContents"/>
              <w:spacing w:before="0" w:after="0"/>
              <w:ind w:left="0" w:right="0" w:hanging="0"/>
              <w:rPr/>
            </w:pPr>
            <w:r>
              <w:rPr/>
              <w:t> </w:t>
            </w:r>
          </w:p>
        </w:tc>
        <w:tc>
          <w:tcPr>
            <w:tcW w:w="17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15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Issuance of PNG common units</w:t>
            </w:r>
          </w:p>
        </w:tc>
        <w:tc>
          <w:tcPr>
            <w:tcW w:w="194" w:type="dxa"/>
            <w:tcBorders/>
            <w:shd w:fill="CCEEFF" w:val="clear"/>
            <w:vAlign w:val="bottom"/>
          </w:tcPr>
          <w:p>
            <w:pPr>
              <w:pStyle w:val="TableContents"/>
              <w:spacing w:before="0" w:after="0"/>
              <w:ind w:left="0" w:right="0" w:hanging="0"/>
              <w:rPr/>
            </w:pPr>
            <w:r>
              <w:rPr/>
              <w:t> </w:t>
            </w:r>
          </w:p>
        </w:tc>
        <w:tc>
          <w:tcPr>
            <w:tcW w:w="17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15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1" w:type="dxa"/>
            <w:tcBorders/>
            <w:shd w:fill="CCEEFF" w:val="clear"/>
            <w:vAlign w:val="bottom"/>
          </w:tcPr>
          <w:p>
            <w:pPr>
              <w:pStyle w:val="TableContents"/>
              <w:spacing w:before="0" w:after="0"/>
              <w:ind w:left="0" w:right="0" w:hanging="0"/>
              <w:rPr/>
            </w:pPr>
            <w:r>
              <w:rPr/>
              <w:t> </w:t>
            </w:r>
          </w:p>
        </w:tc>
        <w:tc>
          <w:tcPr>
            <w:tcW w:w="12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45" w:type="dxa"/>
            <w:tcBorders/>
            <w:shd w:fill="CCEEFF" w:val="clear"/>
            <w:vAlign w:val="bottom"/>
          </w:tcPr>
          <w:p>
            <w:pPr>
              <w:pStyle w:val="TableContents"/>
              <w:spacing w:before="0" w:after="0"/>
              <w:ind w:left="0" w:right="0" w:hanging="0"/>
              <w:rPr/>
            </w:pPr>
            <w:r>
              <w:rPr/>
              <w:t> </w:t>
            </w:r>
          </w:p>
        </w:tc>
      </w:tr>
      <w:tr>
        <w:trPr/>
        <w:tc>
          <w:tcPr>
            <w:tcW w:w="48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94" w:type="dxa"/>
            <w:tcBorders/>
            <w:shd w:fill="auto" w:val="clear"/>
            <w:vAlign w:val="bottom"/>
          </w:tcPr>
          <w:p>
            <w:pPr>
              <w:pStyle w:val="TableContents"/>
              <w:spacing w:before="0" w:after="0"/>
              <w:ind w:left="0" w:right="0" w:hanging="0"/>
              <w:rPr/>
            </w:pPr>
            <w:r>
              <w:rPr/>
              <w:t> </w:t>
            </w:r>
          </w:p>
        </w:tc>
        <w:tc>
          <w:tcPr>
            <w:tcW w:w="17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15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9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comprehensive loss</w:t>
            </w:r>
          </w:p>
        </w:tc>
        <w:tc>
          <w:tcPr>
            <w:tcW w:w="194" w:type="dxa"/>
            <w:tcBorders/>
            <w:shd w:fill="CCEEFF" w:val="clear"/>
            <w:vAlign w:val="bottom"/>
          </w:tcPr>
          <w:p>
            <w:pPr>
              <w:pStyle w:val="TableContents"/>
              <w:spacing w:before="0" w:after="0"/>
              <w:ind w:left="0" w:right="0" w:hanging="0"/>
              <w:rPr/>
            </w:pPr>
            <w:r>
              <w:rPr/>
              <w:t> </w:t>
            </w:r>
          </w:p>
        </w:tc>
        <w:tc>
          <w:tcPr>
            <w:tcW w:w="17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15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9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Balance at September 30, 2013</w:t>
            </w:r>
          </w:p>
        </w:tc>
        <w:tc>
          <w:tcPr>
            <w:tcW w:w="194" w:type="dxa"/>
            <w:tcBorders/>
            <w:shd w:fill="auto" w:val="clear"/>
            <w:vAlign w:val="bottom"/>
          </w:tcPr>
          <w:p>
            <w:pPr>
              <w:pStyle w:val="TableContents"/>
              <w:spacing w:before="0" w:after="0"/>
              <w:ind w:left="0" w:right="0" w:hanging="0"/>
              <w:rPr/>
            </w:pPr>
            <w:r>
              <w:rPr/>
              <w:t> </w:t>
            </w:r>
          </w:p>
        </w:tc>
        <w:tc>
          <w:tcPr>
            <w:tcW w:w="4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7,209</w:t>
            </w:r>
          </w:p>
        </w:tc>
        <w:tc>
          <w:tcPr>
            <w:tcW w:w="211"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7,206</w:t>
            </w:r>
          </w:p>
        </w:tc>
        <w:tc>
          <w:tcPr>
            <w:tcW w:w="14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7" w:name="PB_8_151422_7748"/>
      <w:bookmarkEnd w:id="1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 AND SUBSIDIARIES (PREDECESSOR OF PLAINS GP HOLDINGS, L.P.)</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 STATEMENTS</w:t>
      </w:r>
      <w:bookmarkStart w:id="18" w:name="NotesToCondensedConsolidatedFinan_150910"/>
      <w:bookmarkEnd w:id="18"/>
    </w:p>
    <w:p>
      <w:pPr>
        <w:pStyle w:val="TextBody"/>
        <w:spacing w:before="0" w:after="0"/>
        <w:ind w:left="0" w:right="0" w:hanging="0"/>
        <w:jc w:val="center"/>
        <w:rPr>
          <w:rFonts w:ascii="Times New Roman" w:hAnsi="Times New Roman"/>
          <w:b/>
          <w:sz w:val="17"/>
        </w:rPr>
      </w:pPr>
      <w:r>
        <w:rPr>
          <w:rFonts w:ascii="Times New Roman" w:hAnsi="Times New Roman"/>
          <w:b/>
          <w:sz w:val="17"/>
        </w:rPr>
        <w:t>(unaudited)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1Organization and Basis of Presentation</w:t>
      </w:r>
      <w:bookmarkStart w:id="19" w:name="Note1organizationAndBasisOfPresen_152949"/>
      <w:bookmarkEnd w:id="19"/>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GP Holdings, L.P. (PAGP) is a Delaware limited partnership formed on July 17, 2013 to own interests in the general partner entities of Plains All American Pipeline, L.P (PAA), a publicly traded Delaware limited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October 21, 2013, PAGP completed its initial public offering (IPO). Immediately prior to the IPO, certain owners of Plains AAP, L.P. (AAP) sold a portion of their interests in AAP to PAGP, resulting in PAGPs ownership of an approximate 21.8% limited partnership interest in AAP. AAP is a Delaware limited partnership which directly owns all of PAAs incentive distribution rights and indirectly owns the 2% general partner interest in PAA. AAP is the sole member of PAA GP LLC (GP), a Delaware limited liability company, which directly holds the 2% general partner interest in PAA. Also, through a series of transactions with PAGPs general partner and certain owners of Plains All American GP LLC (GP LLC) prior to the IPO, PAGP became the owner of a 100% managing member interest in GP LLC, a Delaware limited liability company formed on May 2, 2001, and GP LLCs general partner interest in AAP became a non-economic interest. Prior to these transactions and as of September 30, 2013, GP LLC held a 1% general partner interest in AAP. See Note 15 for further discussion regarding the completion of PAGPs IPO and other related items.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GP LLC manages the business and affairs of PAA and AAP. Except for certain matters relating to PAA that require the approval of the limited partners of PAA, and certain matters relating to AAP that require the approval of the limited partners of AAP or of PAGP as the sole member of GP LLC, either pursuant to the governing documents of PAA, AAP or GP LLC, or as may be required by non-waivable provisions of applicable law, GP LLC has full and complete authority, power and discretion to manage and control the business, affairs and property of PAA and AAP, to make all decisions regarding those matters and to perform any and all other acts or activities customary or incident to the management of PAA and AAPs business, including the execution of contracts and management of litigation. GP LLC employs all domestic officers and personnel involved in the operation and management of PAA and AAP.  PAAs Canadian officers and personnel are employed by Plains Midstream Canada ULC.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engages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(LPG). When used in this document, NGL refers to all NGL products including LPG. Through PAAs general partner interest and majority equity ownership position in PAA Natural Gas Storage, L.P. (NYSE: PNG), it also owns and operates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Unless the context indicates otherwise, the terms Plains, we, us, our, ours and similar terms refer to PAGP, GP LLC, AAP, GP and PAA and its consolidated subsidiaries. Our business activities are conducted through three operating segments: (i) Transportation, (ii) Facilities and (iii) Supply and Logistics.  See Note 12 for further discussion of our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Basis of Consolidation and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unaudited condensed consolidated financial statements of GP LLC represent the predecessor financial statements of PAGP, which are based on the historical ownership percentages of GP LLC and AAP. Prior to the transactions immediately preceding the IPO, PAGP had no assets and PAGP had not conducted any activity through September 30, 2013 since its formation on July 17, 2013. These financial statements have been prepared from the separate financial records maintained by GP LLC and may not necessarily be indicative of the actual results of operations that might have occurred if PAGP had operated separately during those periods. In addition, the effects of the IPO and related equity transfers occurring in October 2013 are not reflected 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unaudited condensed consolidated financial statements include GP LLC, all of its wholly owned subsidiaries and those entities that it controls. Under generally accepted accounting principles in the United States (U.S. GAAP), GP LLC consolidates AAP and PAA and its subsidiaries.  Amounts associated with the limited partner units not owned by GP LLC are reflected in our results of operations as net income attributable to noncontrolling interests and in our balance sheet equity section as noncontrolling interests.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20" w:name="PB_9_145815_7056"/>
      <w:bookmarkEnd w:id="2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unaudited condensed consolidated interim financial statements should be read in conjunction with PAGPs final prospectus dated October 15, 2013 (the Final Prospectus) included in its Registration Statement on Form S-1, as amended (SEC File No. 333-190227). These financial statements have been prepared in accordance with the instructions for interim reporting as prescribed by the Securities and Exchange Commission (the SEC). All adjustments (consisting only of normal recurring adjustments) that in the opinion of management were necessary for a fair statement of the results for interim periods have been reflected. The condensed balance sheet data as of December 31, 2012 was derived from audited financial statements, but does not include all disclosures required by accounting principles generally accepted in the United States of America (U.S. GAAP). The results of operations for the three and nine months ended September 30, 2013 should not be taken as indicative results to be expected for the full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Subsequent events have been evaluated through the financial statements issuance date and have been included in the following footnotes where applicable.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Potential Acquisition of Publicly-held Common Units of PNG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October 22, 2013, PAA announced its entry into a definitive agreement and plan of merger (the Merger Agreement) with PNG that provides for a merger whereby PNG will become a wholly-owned subsidiary through a unit-for-unit exchange (the Merger). Under the terms of the Merger Agreement, PAA will issue 0.445 PAA common units for each outstanding PNG common unit held by unitholders other than PAA, plus cash in lieu of any fractional PAA common units otherwise issuable in the Merger. There are approximately 33.0 million PNG common units owned by unitholders other than PAA and consummation of the transaction is expected to result in the issuance of approximately 14.7 million PAA common units. Prior to PAGPs IPO, but subject to consummation of the Merger on terms generally consistent with PAAs then existing proposal, the owners of AAP agreed to reduce their incentive distribution rights under PAAs Partnership Agreement by $12 million in each of 2014 and 2015, $10 million in 2016 and $5 million per year thereafter.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closing of the Merger is subject to the satisfaction of certain conditions, including the approval of the Merger and the Merger Agreement at a special meeting of the unitholders of PNG by the affirmative vote of holders of a majority of the outstanding PNG common units (including PNG common units held by PAA) voting as a separate class and the affirmative vote of holders of a majority of PNGs outstanding subordinated units voting as a separate class. PAA owns 100% of the membership interests in the general partner of PNG, 100% of the outstanding subordinated units of PNG and approximately 46% of the 61.2 million outstanding common units of PNG. Pursuant to the Merger Agreement, PAA agreed to vote its common units and subordinated units in favor of the Merger. PAA anticipates that the Merger will close in the latter half of the fourth quarter of 2013 or the first quarter of 2014. The previously announced quarterly distribution of $0.3575 per PNG common unit payable to holders of record of such units on November 1, 2013 was paid on November 14, 2013 as scheduled.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Definitions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 defined terms are used in this Form 10-Q and shall have the meanings indicated below:</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248"/>
        <w:gridCol w:w="624"/>
        <w:gridCol w:w="8333"/>
      </w:tblGrid>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AOCI</w:t>
            </w:r>
          </w:p>
        </w:tc>
        <w:tc>
          <w:tcPr>
            <w:tcW w:w="6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Accumulated other comprehensive income</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6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Btu</w:t>
            </w:r>
          </w:p>
        </w:tc>
        <w:tc>
          <w:tcPr>
            <w:tcW w:w="6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British thermal unit</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CAD</w:t>
            </w:r>
          </w:p>
        </w:tc>
        <w:tc>
          <w:tcPr>
            <w:tcW w:w="6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Canadian dollar</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CME</w:t>
            </w:r>
          </w:p>
        </w:tc>
        <w:tc>
          <w:tcPr>
            <w:tcW w:w="6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Chicago Mercantile Exchange</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DERs</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rights</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depreciation and amortization</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FERC</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Federal Energy Regulatory Commission</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ICE</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IntercontinentalExchange</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LIBOR</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London Interbank Offered Rate</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LLS</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Light Louisiana Sweet</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Thousand cubic feet</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MLP</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Master limited partnership</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liquids including ethane, natural gasoline products, propane and butane</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NPNS</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Normal purchases and normal sales</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NYMEX</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Mercantile Exchange</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NYSE</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Stock Exchange</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Pipeline loss allowance</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L.P.</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USD</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United States dollar</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WTI</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Intermediate</w:t>
            </w:r>
          </w:p>
        </w:tc>
      </w:tr>
      <w:tr>
        <w:trPr/>
        <w:tc>
          <w:tcPr>
            <w:tcW w:w="1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WTS</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 Sour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1" w:name="PB_10_150215_5335"/>
      <w:bookmarkEnd w:id="2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2Recent Accounting Pronouncements</w:t>
      </w:r>
      <w:bookmarkStart w:id="22" w:name="Note2recentAccountingPronouncemen_152954"/>
      <w:bookmarkEnd w:id="22"/>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Other than as discussed below and in our 2012 Consolidated Financial Statements included in the Final Prospectus, no new accounting pronouncements have become effective or have been issued during the nine months ended September 30, 2013</w:t>
      </w:r>
      <w:r>
        <w:rPr>
          <w:rFonts w:ascii="Times New Roman" w:hAnsi="Times New Roman"/>
        </w:rPr>
        <w:t xml:space="preserve"> </w:t>
      </w:r>
      <w:r>
        <w:rPr>
          <w:rFonts w:ascii="Times New Roman" w:hAnsi="Times New Roman"/>
          <w:sz w:val="17"/>
        </w:rPr>
        <w:t>that are of significance or potential significance to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becomes effective beginning after December 15, 2013. We will adopt this guidance on January 1, 2014. Our adoption is not expected to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2013, the FASB issued guidance requiring an entity to present either in a single note or parenthetically on the face of the financial statements (i) the amount of significant items reclassified from each component of AOCI and (ii) the income statement line items affected by the reclassification. This guidance became effective for interim and annual periods beginning after December 15, 2012. We adopted this guidance during the first quarter of 2013. During the nine months ended September 30, 2013 and 2012, all reclassifications out of AOCI were related to derivative instruments. Other than requiring additional disclosure, which is included in Note 10, our adoption did not have an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July 2012, the FASB issued guidance intended to simplify the impairment test for indefinite-lived intangible assets other than goodwill by giving entities the option to first assess qualitative factors to determine whether it is more likely than not that an indefinite-lived intangible asset is impaired. The results of the qualitative assessment would be used as a basis in determining whether it is necessary to perform the two-step quantitative impairment testing. An entity can choose to perform the qualitative assessment on none, some or all of its indefinite-lived intangible assets, or may bypass the qualitative assessment and proceed directly to the quantitative impairment test. This guidance is effective for annual and interim impairment tests performed for fiscal years beginning after September 15, 2012, with early adoption permitted in certain circumstances. We adopted this guidance on January 1, 2013. Our adoption did not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2011, the FASB issued guidance requiring disclosures of both gross and net information about recognized financial instruments and derivative instruments that are either (i) offset in accordance with the specified sections of GAAP or (ii) subject to an enforceable master netting arrangement or similar agreement. In January 2013, the FASB amended and clarified the scope of these disclosures to include only (i) derivative instruments, (ii) repurchase agreements and reverse repurchase agreements and (iii) securities lending transactions. This guidance is effective for annual reporting periods beginning on or after January 1, 2013, and interim periods within those annual periods. We adopted this guidance on January 1, 2013. Other than requiring additional disclosure, which is included in Note 10, our adoption did not have an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3Accounts Receivable</w:t>
      </w:r>
      <w:bookmarkStart w:id="23" w:name="Note3accountsReceivable_152958"/>
      <w:bookmarkEnd w:id="2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accounts receivable are primarily from purchasers and shippers of crude oil and, to a lesser extent, purchasers of crude oil, NGL, natural gas and refined products terminalling and storage services.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mitigate credit risk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September 30, 2013 and December 31, 2012, we had received approximately $122 million and $173 million, respectively, of advance cash payments from third parties to mitigate credit risk. Furthermore, at September 30, 2013 and December 31, 2012, we had received approximately $452 million and $343 million, respectively, of standby letters of credit to support obligations due from third parties, a portion of which applies to future business. In addition, in an effort to mitigate credit risk, a significant portion of our transactions with counterparties are settled on a net-cash basis.  Further, we enter into netting agreements (contractual agreements that allow us to offset receivables and payables with those counterparties against each other on our balance sheet) for a majority of such arrangements.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4" w:name="PB_11_150227_5796"/>
      <w:bookmarkEnd w:id="2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2013 and December 31, 2012, substantially all of our accounts receivable (net of allowance for doubtful accounts) were less than 30 days past their scheduled invoice date.  Our allowance for doubtful accounts receivable totaled approximately $4 million at both September 30, 2013 and December 31, 2012.  Although we consider our allowance for doubtful trade accounts receivable to be adequate, actual amounts could vary significantly from estimated amounts.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4Dispositions</w:t>
      </w:r>
      <w:bookmarkStart w:id="25" w:name="Note4dispositions_153002"/>
      <w:bookmarkEnd w:id="2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2013, PAA signed a definitive agreement to sell certain refined products pipeline systems and related assets included in our Transportation segment. At December 31, 2012, these assets were classified as held for sale on our condensed consolidated balance sheet (in Other current assets). On July 1, 2013, a portion of the transaction closed with the sale of certain of the refined products pipeline systems and related assets. The remaining assets were classified as held for sale on our condensed consolidated balance sheet as of September 30, 2013. PAA closed the balance of the transaction during November 2013.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5Inventory, Linefill and Base Gas and Long-term Inventory</w:t>
      </w:r>
      <w:bookmarkStart w:id="26" w:name="Note5inventoryLinefillAndBaseGasA_153004"/>
      <w:bookmarkEnd w:id="2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Inventory, linefill and base gas and long-term inventory consisted of the following as of the dates indicated (barrels and natural gas volumes in thousands and carrying value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954"/>
        <w:gridCol w:w="200"/>
        <w:gridCol w:w="861"/>
        <w:gridCol w:w="200"/>
        <w:gridCol w:w="861"/>
        <w:gridCol w:w="200"/>
        <w:gridCol w:w="118"/>
        <w:gridCol w:w="658"/>
        <w:gridCol w:w="200"/>
        <w:gridCol w:w="116"/>
        <w:gridCol w:w="652"/>
        <w:gridCol w:w="200"/>
        <w:gridCol w:w="861"/>
        <w:gridCol w:w="200"/>
        <w:gridCol w:w="861"/>
        <w:gridCol w:w="199"/>
        <w:gridCol w:w="118"/>
        <w:gridCol w:w="658"/>
        <w:gridCol w:w="200"/>
        <w:gridCol w:w="116"/>
        <w:gridCol w:w="652"/>
        <w:gridCol w:w="120"/>
      </w:tblGrid>
      <w:tr>
        <w:trPr/>
        <w:tc>
          <w:tcPr>
            <w:tcW w:w="195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3866"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2013</w:t>
            </w:r>
          </w:p>
        </w:tc>
        <w:tc>
          <w:tcPr>
            <w:tcW w:w="200" w:type="dxa"/>
            <w:tcBorders/>
            <w:shd w:fill="auto" w:val="clear"/>
            <w:vAlign w:val="bottom"/>
          </w:tcPr>
          <w:p>
            <w:pPr>
              <w:pStyle w:val="TableContents"/>
              <w:spacing w:before="0" w:after="0"/>
              <w:ind w:left="0" w:right="0" w:hanging="0"/>
              <w:jc w:val="center"/>
              <w:rPr/>
            </w:pPr>
            <w:r>
              <w:rPr/>
              <w:t> </w:t>
            </w:r>
          </w:p>
        </w:tc>
        <w:tc>
          <w:tcPr>
            <w:tcW w:w="3865"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20" w:type="dxa"/>
            <w:tcBorders/>
            <w:shd w:fill="auto" w:val="clear"/>
            <w:vAlign w:val="bottom"/>
          </w:tcPr>
          <w:p>
            <w:pPr>
              <w:pStyle w:val="TableContents"/>
              <w:spacing w:before="0" w:after="0"/>
              <w:ind w:left="0" w:right="0" w:hanging="0"/>
              <w:jc w:val="center"/>
              <w:rPr/>
            </w:pPr>
            <w:r>
              <w:rPr/>
              <w:t> </w:t>
            </w:r>
          </w:p>
        </w:tc>
      </w:tr>
      <w:tr>
        <w:trPr/>
        <w:tc>
          <w:tcPr>
            <w:tcW w:w="195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861" w:type="dxa"/>
            <w:tcBorders/>
            <w:shd w:fill="auto" w:val="clear"/>
            <w:vAlign w:val="bottom"/>
          </w:tcPr>
          <w:p>
            <w:pPr>
              <w:pStyle w:val="TableContents"/>
              <w:spacing w:before="0" w:after="0"/>
              <w:ind w:left="0" w:right="0" w:hanging="0"/>
              <w:jc w:val="center"/>
              <w:rPr/>
            </w:pPr>
            <w:r>
              <w:rPr/>
              <w:t> </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1"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7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Carrying</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200" w:type="dxa"/>
            <w:tcBorders/>
            <w:shd w:fill="auto" w:val="clear"/>
            <w:vAlign w:val="bottom"/>
          </w:tcPr>
          <w:p>
            <w:pPr>
              <w:pStyle w:val="TableContents"/>
              <w:spacing w:before="0" w:after="0"/>
              <w:ind w:left="0" w:right="0" w:hanging="0"/>
              <w:jc w:val="center"/>
              <w:rPr/>
            </w:pPr>
            <w:r>
              <w:rPr/>
              <w:t> </w:t>
            </w:r>
          </w:p>
        </w:tc>
        <w:tc>
          <w:tcPr>
            <w:tcW w:w="861" w:type="dxa"/>
            <w:tcBorders/>
            <w:shd w:fill="auto" w:val="clear"/>
            <w:vAlign w:val="bottom"/>
          </w:tcPr>
          <w:p>
            <w:pPr>
              <w:pStyle w:val="TableContents"/>
              <w:spacing w:before="0" w:after="0"/>
              <w:ind w:left="0" w:right="0" w:hanging="0"/>
              <w:jc w:val="center"/>
              <w:rPr/>
            </w:pPr>
            <w:r>
              <w:rPr/>
              <w:t> </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1"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19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7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Carrying</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120" w:type="dxa"/>
            <w:tcBorders/>
            <w:shd w:fill="auto" w:val="clear"/>
            <w:vAlign w:val="bottom"/>
          </w:tcPr>
          <w:p>
            <w:pPr>
              <w:pStyle w:val="TableContents"/>
              <w:spacing w:before="0" w:after="0"/>
              <w:ind w:left="0" w:right="0" w:hanging="0"/>
              <w:jc w:val="center"/>
              <w:rPr/>
            </w:pPr>
            <w:r>
              <w:rPr/>
              <w:t> </w:t>
            </w:r>
          </w:p>
        </w:tc>
      </w:tr>
      <w:tr>
        <w:trPr/>
        <w:tc>
          <w:tcPr>
            <w:tcW w:w="195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86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0" w:type="dxa"/>
            <w:tcBorders/>
            <w:shd w:fill="auto" w:val="clear"/>
            <w:vAlign w:val="bottom"/>
          </w:tcPr>
          <w:p>
            <w:pPr>
              <w:pStyle w:val="TableContents"/>
              <w:spacing w:before="0" w:after="0"/>
              <w:ind w:left="0" w:right="0" w:hanging="0"/>
              <w:jc w:val="center"/>
              <w:rPr/>
            </w:pPr>
            <w:r>
              <w:rPr/>
              <w:t> </w:t>
            </w:r>
          </w:p>
        </w:tc>
        <w:tc>
          <w:tcPr>
            <w:tcW w:w="86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00" w:type="dxa"/>
            <w:tcBorders/>
            <w:shd w:fill="auto" w:val="clear"/>
            <w:vAlign w:val="bottom"/>
          </w:tcPr>
          <w:p>
            <w:pPr>
              <w:pStyle w:val="TableContents"/>
              <w:spacing w:before="0" w:after="0"/>
              <w:ind w:left="0" w:right="0" w:hanging="0"/>
              <w:jc w:val="center"/>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0" w:type="dxa"/>
            <w:tcBorders/>
            <w:shd w:fill="auto" w:val="clear"/>
            <w:vAlign w:val="bottom"/>
          </w:tcPr>
          <w:p>
            <w:pPr>
              <w:pStyle w:val="TableContents"/>
              <w:spacing w:before="0" w:after="0"/>
              <w:ind w:left="0" w:right="0" w:hanging="0"/>
              <w:jc w:val="center"/>
              <w:rPr/>
            </w:pPr>
            <w:r>
              <w:rPr/>
              <w:t> </w:t>
            </w:r>
          </w:p>
        </w:tc>
        <w:tc>
          <w:tcPr>
            <w:tcW w:w="7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200" w:type="dxa"/>
            <w:tcBorders/>
            <w:shd w:fill="auto" w:val="clear"/>
            <w:vAlign w:val="bottom"/>
          </w:tcPr>
          <w:p>
            <w:pPr>
              <w:pStyle w:val="TableContents"/>
              <w:spacing w:before="0" w:after="0"/>
              <w:ind w:left="0" w:right="0" w:hanging="0"/>
              <w:jc w:val="center"/>
              <w:rPr/>
            </w:pPr>
            <w:r>
              <w:rPr/>
              <w:t> </w:t>
            </w:r>
          </w:p>
        </w:tc>
        <w:tc>
          <w:tcPr>
            <w:tcW w:w="86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0" w:type="dxa"/>
            <w:tcBorders/>
            <w:shd w:fill="auto" w:val="clear"/>
            <w:vAlign w:val="bottom"/>
          </w:tcPr>
          <w:p>
            <w:pPr>
              <w:pStyle w:val="TableContents"/>
              <w:spacing w:before="0" w:after="0"/>
              <w:ind w:left="0" w:right="0" w:hanging="0"/>
              <w:jc w:val="center"/>
              <w:rPr/>
            </w:pPr>
            <w:r>
              <w:rPr/>
              <w:t> </w:t>
            </w:r>
          </w:p>
        </w:tc>
        <w:tc>
          <w:tcPr>
            <w:tcW w:w="86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199" w:type="dxa"/>
            <w:tcBorders/>
            <w:shd w:fill="auto" w:val="clear"/>
            <w:vAlign w:val="bottom"/>
          </w:tcPr>
          <w:p>
            <w:pPr>
              <w:pStyle w:val="TableContents"/>
              <w:spacing w:before="0" w:after="0"/>
              <w:ind w:left="0" w:right="0" w:hanging="0"/>
              <w:jc w:val="center"/>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0" w:type="dxa"/>
            <w:tcBorders/>
            <w:shd w:fill="auto" w:val="clear"/>
            <w:vAlign w:val="bottom"/>
          </w:tcPr>
          <w:p>
            <w:pPr>
              <w:pStyle w:val="TableContents"/>
              <w:spacing w:before="0" w:after="0"/>
              <w:ind w:left="0" w:right="0" w:hanging="0"/>
              <w:jc w:val="center"/>
              <w:rPr/>
            </w:pPr>
            <w:r>
              <w:rPr/>
              <w:t> </w:t>
            </w:r>
          </w:p>
        </w:tc>
        <w:tc>
          <w:tcPr>
            <w:tcW w:w="7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120" w:type="dxa"/>
            <w:tcBorders/>
            <w:shd w:fill="auto" w:val="clear"/>
            <w:vAlign w:val="bottom"/>
          </w:tcPr>
          <w:p>
            <w:pPr>
              <w:pStyle w:val="TableContents"/>
              <w:spacing w:before="0" w:after="0"/>
              <w:ind w:left="0" w:right="0" w:hanging="0"/>
              <w:jc w:val="center"/>
              <w:rPr/>
            </w:pPr>
            <w:r>
              <w:rPr/>
              <w:t> </w:t>
            </w:r>
          </w:p>
        </w:tc>
      </w:tr>
      <w:tr>
        <w:trPr/>
        <w:tc>
          <w:tcPr>
            <w:tcW w:w="1954" w:type="dxa"/>
            <w:tcBorders/>
            <w:shd w:fill="CCEEFF" w:val="clear"/>
            <w:vAlign w:val="bottom"/>
          </w:tcPr>
          <w:p>
            <w:pPr>
              <w:pStyle w:val="TableContents"/>
              <w:spacing w:before="0" w:after="0"/>
              <w:ind w:left="0" w:right="0" w:hanging="0"/>
              <w:rPr/>
            </w:pPr>
            <w:r>
              <w:rPr>
                <w:rFonts w:ascii="Times New Roman" w:hAnsi="Times New Roman"/>
                <w:b/>
                <w:sz w:val="17"/>
              </w:rPr>
              <w:t>Inventory</w:t>
            </w:r>
            <w:r>
              <w:rPr/>
              <w:t xml:space="preserve">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5,624</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535</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95.13</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9,492</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99"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737</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77.64</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13,767</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539</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39.15</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9,472</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Natural gas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29,443</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20,374</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Inventory subtotal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1,198</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1,209</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pPr>
            <w:r>
              <w:rPr>
                <w:rFonts w:ascii="Times New Roman" w:hAnsi="Times New Roman"/>
                <w:b/>
                <w:sz w:val="17"/>
              </w:rPr>
              <w:t>Linefill and base gas</w:t>
            </w:r>
            <w:r>
              <w:rPr/>
              <w:t xml:space="preserve">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10,520</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645</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61.31</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9,919</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583</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58.78</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1,345</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47.58</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1,400</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50.00</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Natural gas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17,615</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15,755</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Linefill and base gas subtotal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770</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pPr>
            <w:r>
              <w:rPr>
                <w:rFonts w:ascii="Times New Roman" w:hAnsi="Times New Roman"/>
                <w:b/>
                <w:sz w:val="17"/>
              </w:rPr>
              <w:t>Long-term inventory</w:t>
            </w:r>
            <w:r>
              <w:rPr/>
              <w:t xml:space="preserve">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2,134</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78.26</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1,962</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75.94</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1,161</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43.93</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3,238</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38.60</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Long-term inventory subtotal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199" w:type="dxa"/>
            <w:tcBorders/>
            <w:shd w:fill="CCEEFF" w:val="clear"/>
            <w:vAlign w:val="bottom"/>
          </w:tcPr>
          <w:p>
            <w:pPr>
              <w:pStyle w:val="TableContents"/>
              <w:spacing w:before="0" w:after="0"/>
              <w:ind w:left="0" w:right="0" w:hanging="0"/>
              <w:rPr/>
            </w:pPr>
            <w:r>
              <w:rPr/>
              <w:t> </w:t>
            </w:r>
          </w:p>
        </w:tc>
        <w:tc>
          <w:tcPr>
            <w:tcW w:w="7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1954"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861"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rPr/>
            </w:pPr>
            <w:r>
              <w:rPr/>
              <w:t> </w:t>
            </w:r>
          </w:p>
        </w:tc>
        <w:tc>
          <w:tcPr>
            <w:tcW w:w="776"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8"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1954" w:type="dxa"/>
            <w:tcBorders/>
            <w:shd w:fill="CCEEFF" w:val="clear"/>
            <w:vAlign w:val="bottom"/>
          </w:tcPr>
          <w:p>
            <w:pPr>
              <w:pStyle w:val="TableContents"/>
              <w:spacing w:before="0" w:after="0"/>
              <w:ind w:left="0" w:right="0" w:hanging="0"/>
              <w:rPr/>
            </w:pPr>
            <w:r>
              <w:rPr>
                <w:rFonts w:ascii="Times New Roman" w:hAnsi="Times New Roman"/>
                <w:b/>
                <w:sz w:val="17"/>
              </w:rPr>
              <w:t>Total</w:t>
            </w:r>
            <w:r>
              <w:rPr/>
              <w:t xml:space="preserve">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2,186</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861" w:type="dxa"/>
            <w:tcBorders/>
            <w:shd w:fill="CCEEFF" w:val="clear"/>
            <w:vAlign w:val="bottom"/>
          </w:tcPr>
          <w:p>
            <w:pPr>
              <w:pStyle w:val="TableContents"/>
              <w:spacing w:before="0" w:after="0"/>
              <w:ind w:left="0" w:right="0" w:hanging="0"/>
              <w:rPr/>
            </w:pPr>
            <w:r>
              <w:rPr/>
              <w:t> </w:t>
            </w:r>
          </w:p>
        </w:tc>
        <w:tc>
          <w:tcPr>
            <w:tcW w:w="199"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2,190</w:t>
            </w:r>
          </w:p>
        </w:tc>
        <w:tc>
          <w:tcPr>
            <w:tcW w:w="200" w:type="dxa"/>
            <w:tcBorders/>
            <w:shd w:fill="CCEEFF" w:val="clear"/>
            <w:vAlign w:val="bottom"/>
          </w:tcPr>
          <w:p>
            <w:pPr>
              <w:pStyle w:val="TableContents"/>
              <w:spacing w:before="0" w:after="0"/>
              <w:ind w:left="0" w:right="0" w:hanging="0"/>
              <w:rPr/>
            </w:pPr>
            <w:r>
              <w:rPr/>
              <w:t> </w:t>
            </w:r>
          </w:p>
        </w:tc>
        <w:tc>
          <w:tcPr>
            <w:tcW w:w="768"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b/>
          <w:sz w:val="11"/>
        </w:rPr>
        <w:t>(1)</w:t>
      </w:r>
      <w:r>
        <w:rPr>
          <w:rFonts w:ascii="Times New Roman" w:hAnsi="Times New Roman"/>
        </w:rPr>
        <w:t xml:space="preserve">                       </w:t>
      </w:r>
      <w:r>
        <w:rPr>
          <w:rFonts w:ascii="Times New Roman" w:hAnsi="Times New Roman"/>
          <w:sz w:val="17"/>
        </w:rPr>
        <w:t>Price per unit of measure represents a weighted average associated with various grades, qualities and locations.  Accordingly, these prices may not coincide with any published benchmarks for such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the end of each reporting period we assess the carrying value of our inventory and make any adjustments necessary to reduce the carrying value to the applicable net realizable value. We recorded a non-cash charge of approximately $7 million during the three and nine months ended September 30, 2013, primarily related to the writedown of our crude oil inventory due to declines in prices during the period. During the three and nine months ended September 30, 2012, we recorded non-cash charges of approximately $7 million and $128 million, respectively, related to the writedown of our crude oil and NGL inventory due to declines in prices during the period. The recognition of these adjustments in 2013 and 2012, which are a component of Purchases and related costs in our accompanying condensed consolidated statements of operations, was substantially offset by the recognition of gains on derivative instruments being utilized to hedge the future sales of our crude oil and NGL inventory. Substantially all of such gains were recorded to Supply and Logistics segment revenues on our condensed consolidated statements of operations.  See Note 10 for discussion of our derivative and risk management activities.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27" w:name="PB_12_150453_2897"/>
      <w:bookmarkEnd w:id="2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6  Goodwill</w:t>
      </w:r>
      <w:bookmarkStart w:id="28" w:name="Note6Goodwill_153006"/>
      <w:bookmarkEnd w:id="2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reflects our goodwill by segment and changes during the period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602"/>
        <w:gridCol w:w="180"/>
        <w:gridCol w:w="279"/>
        <w:gridCol w:w="1222"/>
        <w:gridCol w:w="197"/>
        <w:gridCol w:w="162"/>
        <w:gridCol w:w="900"/>
        <w:gridCol w:w="197"/>
        <w:gridCol w:w="354"/>
        <w:gridCol w:w="1747"/>
        <w:gridCol w:w="197"/>
        <w:gridCol w:w="155"/>
        <w:gridCol w:w="873"/>
        <w:gridCol w:w="140"/>
      </w:tblGrid>
      <w:tr>
        <w:trPr/>
        <w:tc>
          <w:tcPr>
            <w:tcW w:w="3602"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5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97" w:type="dxa"/>
            <w:tcBorders/>
            <w:shd w:fill="auto" w:val="clear"/>
            <w:vAlign w:val="bottom"/>
          </w:tcPr>
          <w:p>
            <w:pPr>
              <w:pStyle w:val="TableContents"/>
              <w:spacing w:before="0" w:after="0"/>
              <w:ind w:left="0" w:right="0" w:hanging="0"/>
              <w:jc w:val="center"/>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97" w:type="dxa"/>
            <w:tcBorders/>
            <w:shd w:fill="auto" w:val="clear"/>
            <w:vAlign w:val="bottom"/>
          </w:tcPr>
          <w:p>
            <w:pPr>
              <w:pStyle w:val="TableContents"/>
              <w:spacing w:before="0" w:after="0"/>
              <w:ind w:left="0" w:right="0" w:hanging="0"/>
              <w:jc w:val="center"/>
              <w:rPr/>
            </w:pPr>
            <w:r>
              <w:rPr/>
              <w:t> </w:t>
            </w:r>
          </w:p>
        </w:tc>
        <w:tc>
          <w:tcPr>
            <w:tcW w:w="21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 Logistics</w:t>
            </w:r>
          </w:p>
        </w:tc>
        <w:tc>
          <w:tcPr>
            <w:tcW w:w="197" w:type="dxa"/>
            <w:tcBorders/>
            <w:shd w:fill="auto" w:val="clear"/>
            <w:vAlign w:val="bottom"/>
          </w:tcPr>
          <w:p>
            <w:pPr>
              <w:pStyle w:val="TableContents"/>
              <w:spacing w:before="0" w:after="0"/>
              <w:ind w:left="0" w:right="0" w:hanging="0"/>
              <w:jc w:val="center"/>
              <w:rPr/>
            </w:pPr>
            <w:r>
              <w:rPr/>
              <w:t> </w:t>
            </w:r>
          </w:p>
        </w:tc>
        <w:tc>
          <w:tcPr>
            <w:tcW w:w="10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40" w:type="dxa"/>
            <w:tcBorders/>
            <w:shd w:fill="auto" w:val="clear"/>
            <w:vAlign w:val="bottom"/>
          </w:tcPr>
          <w:p>
            <w:pPr>
              <w:pStyle w:val="TableContents"/>
              <w:spacing w:before="0" w:after="0"/>
              <w:ind w:left="0" w:right="0" w:hanging="0"/>
              <w:jc w:val="center"/>
              <w:rPr/>
            </w:pPr>
            <w:r>
              <w:rPr/>
              <w:t> </w:t>
            </w:r>
          </w:p>
        </w:tc>
      </w:tr>
      <w:tr>
        <w:trPr/>
        <w:tc>
          <w:tcPr>
            <w:tcW w:w="36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Balance at December 31, 2012 </w:t>
            </w:r>
          </w:p>
        </w:tc>
        <w:tc>
          <w:tcPr>
            <w:tcW w:w="180" w:type="dxa"/>
            <w:tcBorders/>
            <w:shd w:fill="CCEEFF" w:val="clear"/>
            <w:vAlign w:val="bottom"/>
          </w:tcPr>
          <w:p>
            <w:pPr>
              <w:pStyle w:val="TableContents"/>
              <w:spacing w:before="0" w:after="0"/>
              <w:ind w:left="0" w:right="0" w:hanging="0"/>
              <w:rPr/>
            </w:pPr>
            <w:r>
              <w:rPr/>
              <w:t> </w:t>
            </w:r>
          </w:p>
        </w:tc>
        <w:tc>
          <w:tcPr>
            <w:tcW w:w="2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897</w:t>
            </w:r>
          </w:p>
        </w:tc>
        <w:tc>
          <w:tcPr>
            <w:tcW w:w="197" w:type="dxa"/>
            <w:tcBorders/>
            <w:shd w:fill="CCEEFF" w:val="clear"/>
            <w:vAlign w:val="bottom"/>
          </w:tcPr>
          <w:p>
            <w:pPr>
              <w:pStyle w:val="TableContents"/>
              <w:spacing w:before="0" w:after="0"/>
              <w:ind w:left="0" w:right="0" w:hanging="0"/>
              <w:rPr/>
            </w:pPr>
            <w:r>
              <w:rPr/>
              <w:t> </w:t>
            </w:r>
          </w:p>
        </w:tc>
        <w:tc>
          <w:tcPr>
            <w:tcW w:w="1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1,171</w:t>
            </w:r>
          </w:p>
        </w:tc>
        <w:tc>
          <w:tcPr>
            <w:tcW w:w="197" w:type="dxa"/>
            <w:tcBorders/>
            <w:shd w:fill="CCEEFF" w:val="clear"/>
            <w:vAlign w:val="bottom"/>
          </w:tcPr>
          <w:p>
            <w:pPr>
              <w:pStyle w:val="TableContents"/>
              <w:spacing w:before="0" w:after="0"/>
              <w:ind w:left="0" w:right="0" w:hanging="0"/>
              <w:rPr/>
            </w:pPr>
            <w:r>
              <w:rPr/>
              <w:t> </w:t>
            </w:r>
          </w:p>
        </w:tc>
        <w:tc>
          <w:tcPr>
            <w:tcW w:w="3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4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w:t>
            </w:r>
          </w:p>
        </w:tc>
        <w:tc>
          <w:tcPr>
            <w:tcW w:w="197"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140" w:type="dxa"/>
            <w:tcBorders/>
            <w:shd w:fill="CCEEFF" w:val="clear"/>
            <w:vAlign w:val="bottom"/>
          </w:tcPr>
          <w:p>
            <w:pPr>
              <w:pStyle w:val="TableContents"/>
              <w:spacing w:before="0" w:after="0"/>
              <w:ind w:left="0" w:right="0" w:hanging="0"/>
              <w:rPr/>
            </w:pPr>
            <w:r>
              <w:rPr/>
              <w:t> </w:t>
            </w:r>
          </w:p>
        </w:tc>
      </w:tr>
      <w:tr>
        <w:trPr/>
        <w:tc>
          <w:tcPr>
            <w:tcW w:w="36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 Goodwill Related Activity:</w:t>
            </w:r>
          </w:p>
        </w:tc>
        <w:tc>
          <w:tcPr>
            <w:tcW w:w="180" w:type="dxa"/>
            <w:tcBorders/>
            <w:shd w:fill="auto" w:val="clear"/>
            <w:vAlign w:val="bottom"/>
          </w:tcPr>
          <w:p>
            <w:pPr>
              <w:pStyle w:val="TableContents"/>
              <w:spacing w:before="0" w:after="0"/>
              <w:ind w:left="0" w:right="0" w:hanging="0"/>
              <w:rPr/>
            </w:pPr>
            <w:r>
              <w:rPr/>
              <w:t> </w:t>
            </w:r>
          </w:p>
        </w:tc>
        <w:tc>
          <w:tcPr>
            <w:tcW w:w="1501"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06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2101"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028" w:type="dxa"/>
            <w:gridSpan w:val="2"/>
            <w:tcBorders/>
            <w:shd w:fill="auto" w:val="clear"/>
            <w:vAlign w:val="bottom"/>
          </w:tcPr>
          <w:p>
            <w:pPr>
              <w:pStyle w:val="TableContents"/>
              <w:spacing w:before="0" w:after="0"/>
              <w:ind w:left="0" w:right="0" w:hanging="0"/>
              <w:jc w:val="right"/>
              <w:rPr/>
            </w:pPr>
            <w:r>
              <w:rPr/>
              <w:t> </w:t>
            </w:r>
          </w:p>
        </w:tc>
        <w:tc>
          <w:tcPr>
            <w:tcW w:w="140" w:type="dxa"/>
            <w:tcBorders/>
            <w:shd w:fill="auto" w:val="clear"/>
            <w:vAlign w:val="bottom"/>
          </w:tcPr>
          <w:p>
            <w:pPr>
              <w:pStyle w:val="TableContents"/>
              <w:spacing w:before="0" w:after="0"/>
              <w:ind w:left="0" w:right="0" w:hanging="0"/>
              <w:rPr/>
            </w:pPr>
            <w:r>
              <w:rPr/>
              <w:t> </w:t>
            </w:r>
          </w:p>
        </w:tc>
      </w:tr>
      <w:tr>
        <w:trPr/>
        <w:tc>
          <w:tcPr>
            <w:tcW w:w="36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Acquisitions </w:t>
            </w:r>
          </w:p>
        </w:tc>
        <w:tc>
          <w:tcPr>
            <w:tcW w:w="180" w:type="dxa"/>
            <w:tcBorders/>
            <w:shd w:fill="CCEEFF" w:val="clear"/>
            <w:vAlign w:val="bottom"/>
          </w:tcPr>
          <w:p>
            <w:pPr>
              <w:pStyle w:val="TableContents"/>
              <w:spacing w:before="0" w:after="0"/>
              <w:ind w:left="0" w:right="0" w:hanging="0"/>
              <w:rPr/>
            </w:pPr>
            <w:r>
              <w:rPr/>
              <w:t> </w:t>
            </w:r>
          </w:p>
        </w:tc>
        <w:tc>
          <w:tcPr>
            <w:tcW w:w="15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7" w:type="dxa"/>
            <w:tcBorders/>
            <w:shd w:fill="CCEEFF" w:val="clear"/>
            <w:vAlign w:val="bottom"/>
          </w:tcPr>
          <w:p>
            <w:pPr>
              <w:pStyle w:val="TableContents"/>
              <w:spacing w:before="0" w:after="0"/>
              <w:ind w:left="0" w:right="0" w:hanging="0"/>
              <w:rPr/>
            </w:pPr>
            <w:r>
              <w:rPr/>
              <w:t> </w:t>
            </w:r>
          </w:p>
        </w:tc>
        <w:tc>
          <w:tcPr>
            <w:tcW w:w="10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CCEEFF" w:val="clear"/>
            <w:vAlign w:val="bottom"/>
          </w:tcPr>
          <w:p>
            <w:pPr>
              <w:pStyle w:val="TableContents"/>
              <w:spacing w:before="0" w:after="0"/>
              <w:ind w:left="0" w:right="0" w:hanging="0"/>
              <w:rPr/>
            </w:pPr>
            <w:r>
              <w:rPr/>
              <w:t> </w:t>
            </w:r>
          </w:p>
        </w:tc>
        <w:tc>
          <w:tcPr>
            <w:tcW w:w="21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CCEEFF" w:val="clear"/>
            <w:vAlign w:val="bottom"/>
          </w:tcPr>
          <w:p>
            <w:pPr>
              <w:pStyle w:val="TableContents"/>
              <w:spacing w:before="0" w:after="0"/>
              <w:ind w:left="0" w:right="0" w:hanging="0"/>
              <w:rPr/>
            </w:pPr>
            <w:r>
              <w:rPr/>
              <w:t> </w:t>
            </w:r>
          </w:p>
        </w:tc>
        <w:tc>
          <w:tcPr>
            <w:tcW w:w="10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40" w:type="dxa"/>
            <w:tcBorders/>
            <w:shd w:fill="CCEEFF" w:val="clear"/>
            <w:vAlign w:val="bottom"/>
          </w:tcPr>
          <w:p>
            <w:pPr>
              <w:pStyle w:val="TableContents"/>
              <w:spacing w:before="0" w:after="0"/>
              <w:ind w:left="0" w:right="0" w:hanging="0"/>
              <w:rPr/>
            </w:pPr>
            <w:r>
              <w:rPr/>
              <w:t> </w:t>
            </w:r>
          </w:p>
        </w:tc>
      </w:tr>
      <w:tr>
        <w:trPr/>
        <w:tc>
          <w:tcPr>
            <w:tcW w:w="36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Foreign currency translation adjustments </w:t>
            </w:r>
          </w:p>
        </w:tc>
        <w:tc>
          <w:tcPr>
            <w:tcW w:w="180" w:type="dxa"/>
            <w:tcBorders/>
            <w:shd w:fill="auto" w:val="clear"/>
            <w:vAlign w:val="bottom"/>
          </w:tcPr>
          <w:p>
            <w:pPr>
              <w:pStyle w:val="TableContents"/>
              <w:spacing w:before="0" w:after="0"/>
              <w:ind w:left="0" w:right="0" w:hanging="0"/>
              <w:rPr/>
            </w:pPr>
            <w:r>
              <w:rPr/>
              <w:t> </w:t>
            </w:r>
          </w:p>
        </w:tc>
        <w:tc>
          <w:tcPr>
            <w:tcW w:w="15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02" w:type="dxa"/>
            <w:tcBorders/>
            <w:shd w:fill="CCEEFF" w:val="clear"/>
            <w:vAlign w:val="bottom"/>
          </w:tcPr>
          <w:p>
            <w:pPr>
              <w:pStyle w:val="TableContents"/>
              <w:spacing w:before="0" w:after="0"/>
              <w:ind w:left="0" w:right="0" w:hanging="0"/>
              <w:rPr/>
            </w:pPr>
            <w:r>
              <w:rPr>
                <w:rFonts w:ascii="Times New Roman" w:hAnsi="Times New Roman"/>
                <w:sz w:val="17"/>
              </w:rPr>
              <w:t xml:space="preserve">Purchase price accounting adjustments and other </w:t>
            </w:r>
            <w:r>
              <w:rPr>
                <w:b/>
                <w:sz w:val="11"/>
              </w:rPr>
              <w:t>(1)</w:t>
            </w:r>
            <w:r>
              <w:rPr/>
              <w:t> </w:t>
            </w:r>
          </w:p>
        </w:tc>
        <w:tc>
          <w:tcPr>
            <w:tcW w:w="180" w:type="dxa"/>
            <w:tcBorders/>
            <w:shd w:fill="CCEEFF" w:val="clear"/>
            <w:vAlign w:val="bottom"/>
          </w:tcPr>
          <w:p>
            <w:pPr>
              <w:pStyle w:val="TableContents"/>
              <w:spacing w:before="0" w:after="0"/>
              <w:ind w:left="0" w:right="0" w:hanging="0"/>
              <w:rPr/>
            </w:pPr>
            <w:r>
              <w:rPr/>
              <w:t> </w:t>
            </w:r>
          </w:p>
        </w:tc>
        <w:tc>
          <w:tcPr>
            <w:tcW w:w="15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CCEEFF" w:val="clear"/>
            <w:vAlign w:val="bottom"/>
          </w:tcPr>
          <w:p>
            <w:pPr>
              <w:pStyle w:val="TableContents"/>
              <w:spacing w:before="0" w:after="0"/>
              <w:ind w:left="0" w:right="0" w:hanging="0"/>
              <w:rPr/>
            </w:pPr>
            <w:r>
              <w:rPr/>
              <w:t> </w:t>
            </w:r>
          </w:p>
        </w:tc>
        <w:tc>
          <w:tcPr>
            <w:tcW w:w="21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CCEEFF" w:val="clear"/>
            <w:vAlign w:val="bottom"/>
          </w:tcPr>
          <w:p>
            <w:pPr>
              <w:pStyle w:val="TableContents"/>
              <w:spacing w:before="0" w:after="0"/>
              <w:ind w:left="0" w:right="0" w:hanging="0"/>
              <w:rPr/>
            </w:pPr>
            <w:r>
              <w:rPr/>
              <w:t> </w:t>
            </w:r>
          </w:p>
        </w:tc>
        <w:tc>
          <w:tcPr>
            <w:tcW w:w="10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Balance at September 30, 2013 </w:t>
            </w:r>
          </w:p>
        </w:tc>
        <w:tc>
          <w:tcPr>
            <w:tcW w:w="180" w:type="dxa"/>
            <w:tcBorders/>
            <w:shd w:fill="auto" w:val="clear"/>
            <w:vAlign w:val="bottom"/>
          </w:tcPr>
          <w:p>
            <w:pPr>
              <w:pStyle w:val="TableContents"/>
              <w:spacing w:before="0" w:after="0"/>
              <w:ind w:left="0" w:right="0" w:hanging="0"/>
              <w:rPr/>
            </w:pPr>
            <w:r>
              <w:rPr/>
              <w:t> </w:t>
            </w:r>
          </w:p>
        </w:tc>
        <w:tc>
          <w:tcPr>
            <w:tcW w:w="2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888</w:t>
            </w:r>
          </w:p>
        </w:tc>
        <w:tc>
          <w:tcPr>
            <w:tcW w:w="197" w:type="dxa"/>
            <w:tcBorders/>
            <w:shd w:fill="auto" w:val="clear"/>
            <w:vAlign w:val="bottom"/>
          </w:tcPr>
          <w:p>
            <w:pPr>
              <w:pStyle w:val="TableContents"/>
              <w:spacing w:before="0" w:after="0"/>
              <w:ind w:left="0" w:right="0" w:hanging="0"/>
              <w:rPr/>
            </w:pPr>
            <w:r>
              <w:rPr/>
              <w:t> </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1,166</w:t>
            </w:r>
          </w:p>
        </w:tc>
        <w:tc>
          <w:tcPr>
            <w:tcW w:w="197" w:type="dxa"/>
            <w:tcBorders/>
            <w:shd w:fill="auto" w:val="clear"/>
            <w:vAlign w:val="bottom"/>
          </w:tcPr>
          <w:p>
            <w:pPr>
              <w:pStyle w:val="TableContents"/>
              <w:spacing w:before="0" w:after="0"/>
              <w:ind w:left="0" w:right="0" w:hanging="0"/>
              <w:rPr/>
            </w:pPr>
            <w:r>
              <w:rPr/>
              <w:t> </w:t>
            </w:r>
          </w:p>
        </w:tc>
        <w:tc>
          <w:tcPr>
            <w:tcW w:w="3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197" w:type="dxa"/>
            <w:tcBorders/>
            <w:shd w:fill="auto" w:val="clear"/>
            <w:vAlign w:val="bottom"/>
          </w:tcPr>
          <w:p>
            <w:pPr>
              <w:pStyle w:val="TableContents"/>
              <w:spacing w:before="0" w:after="0"/>
              <w:ind w:left="0" w:right="0" w:hanging="0"/>
              <w:rPr/>
            </w:pPr>
            <w:r>
              <w:rPr/>
              <w:t> </w:t>
            </w:r>
          </w:p>
        </w:tc>
        <w:tc>
          <w:tcPr>
            <w:tcW w:w="15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2,519</w:t>
            </w:r>
          </w:p>
        </w:tc>
        <w:tc>
          <w:tcPr>
            <w:tcW w:w="14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b/>
          <w:sz w:val="11"/>
        </w:rPr>
        <w:t>(1)</w:t>
      </w:r>
      <w:r>
        <w:rPr>
          <w:rFonts w:ascii="Times New Roman" w:hAnsi="Times New Roman"/>
        </w:rPr>
        <w:t xml:space="preserve">                       </w:t>
      </w:r>
      <w:r>
        <w:rPr>
          <w:rFonts w:ascii="Times New Roman" w:hAnsi="Times New Roman"/>
          <w:sz w:val="17"/>
        </w:rPr>
        <w:t>Goodwill is recorded at the acquisition date based on a preliminary fair value determination.  This preliminary goodwill balance may be adjusted when the fair value determination is finalized.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completed our annual goodwill impairment test as of June 30 and determined that there was no impairment of goodwill.</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7Debt</w:t>
      </w:r>
      <w:bookmarkStart w:id="29" w:name="Note7debt_153009"/>
      <w:bookmarkEnd w:id="2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Debt consisted of the following as of the dates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41"/>
        <w:gridCol w:w="209"/>
        <w:gridCol w:w="167"/>
        <w:gridCol w:w="1206"/>
        <w:gridCol w:w="209"/>
        <w:gridCol w:w="162"/>
        <w:gridCol w:w="1189"/>
        <w:gridCol w:w="122"/>
      </w:tblGrid>
      <w:tr>
        <w:trPr/>
        <w:tc>
          <w:tcPr>
            <w:tcW w:w="694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37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9" w:type="dxa"/>
            <w:tcBorders/>
            <w:shd w:fill="auto" w:val="clear"/>
            <w:vAlign w:val="bottom"/>
          </w:tcPr>
          <w:p>
            <w:pPr>
              <w:pStyle w:val="TableContents"/>
              <w:spacing w:before="0" w:after="0"/>
              <w:ind w:left="0" w:right="0" w:hanging="0"/>
              <w:jc w:val="center"/>
              <w:rPr/>
            </w:pPr>
            <w:r>
              <w:rPr/>
              <w:t> </w:t>
            </w:r>
          </w:p>
        </w:tc>
        <w:tc>
          <w:tcPr>
            <w:tcW w:w="135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2" w:type="dxa"/>
            <w:tcBorders/>
            <w:shd w:fill="auto" w:val="clear"/>
            <w:vAlign w:val="bottom"/>
          </w:tcPr>
          <w:p>
            <w:pPr>
              <w:pStyle w:val="TableContents"/>
              <w:spacing w:before="0" w:after="0"/>
              <w:ind w:left="0" w:right="0" w:hanging="0"/>
              <w:jc w:val="center"/>
              <w:rPr/>
            </w:pPr>
            <w:r>
              <w:rPr/>
              <w:t> </w:t>
            </w:r>
          </w:p>
        </w:tc>
      </w:tr>
      <w:tr>
        <w:trPr/>
        <w:tc>
          <w:tcPr>
            <w:tcW w:w="694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9" w:type="dxa"/>
            <w:tcBorders/>
            <w:shd w:fill="auto" w:val="clear"/>
            <w:vAlign w:val="bottom"/>
          </w:tcPr>
          <w:p>
            <w:pPr>
              <w:pStyle w:val="TableContents"/>
              <w:spacing w:before="0" w:after="0"/>
              <w:ind w:left="0" w:right="0" w:hanging="0"/>
              <w:jc w:val="center"/>
              <w:rPr/>
            </w:pPr>
            <w:r>
              <w:rPr/>
              <w:t> </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2" w:type="dxa"/>
            <w:tcBorders/>
            <w:shd w:fill="auto" w:val="clear"/>
            <w:vAlign w:val="bottom"/>
          </w:tcPr>
          <w:p>
            <w:pPr>
              <w:pStyle w:val="TableContents"/>
              <w:spacing w:before="0" w:after="0"/>
              <w:ind w:left="0" w:right="0" w:hanging="0"/>
              <w:jc w:val="center"/>
              <w:rPr/>
            </w:pPr>
            <w:r>
              <w:rPr/>
              <w:t> </w:t>
            </w:r>
          </w:p>
        </w:tc>
      </w:tr>
      <w:tr>
        <w:trPr/>
        <w:tc>
          <w:tcPr>
            <w:tcW w:w="6941"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SHORT-TERM DEBT</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vAlign w:val="center"/>
          </w:tcPr>
          <w:p>
            <w:pPr>
              <w:pStyle w:val="TableContents"/>
              <w:spacing w:before="0" w:after="0"/>
              <w:ind w:left="0" w:right="0" w:hanging="0"/>
              <w:rPr/>
            </w:pPr>
            <w:r>
              <w:rPr>
                <w:rFonts w:ascii="Times New Roman" w:hAnsi="Times New Roman"/>
                <w:sz w:val="17"/>
              </w:rPr>
              <w:t xml:space="preserve">Credit Facilities </w:t>
            </w:r>
            <w:r>
              <w:rPr>
                <w:sz w:val="11"/>
              </w:rPr>
              <w:t>(1)</w:t>
            </w:r>
            <w:r>
              <w:rPr>
                <w:sz w:val="17"/>
              </w:rPr>
              <w:t>:</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vAlign w:val="center"/>
          </w:tcPr>
          <w:p>
            <w:pPr>
              <w:pStyle w:val="TableContents"/>
              <w:spacing w:before="0" w:after="0"/>
              <w:ind w:left="0" w:right="0" w:hanging="0"/>
              <w:rPr/>
            </w:pPr>
            <w:r>
              <w:rPr>
                <w:rFonts w:ascii="Times New Roman" w:hAnsi="Times New Roman"/>
                <w:sz w:val="17"/>
              </w:rPr>
              <w:t xml:space="preserve">PAA senior secured hedged inventory facility, bearing a weighted-average interest rate of 1.6% at December 31, 2012 </w:t>
            </w:r>
            <w:r>
              <w:rPr>
                <w:sz w:val="11"/>
              </w:rPr>
              <w:t>(2)</w:t>
            </w:r>
          </w:p>
        </w:tc>
        <w:tc>
          <w:tcPr>
            <w:tcW w:w="209"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665</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vAlign w:val="center"/>
          </w:tcPr>
          <w:p>
            <w:pPr>
              <w:pStyle w:val="TableContents"/>
              <w:spacing w:before="0" w:after="0"/>
              <w:ind w:left="0" w:right="0" w:hanging="0"/>
              <w:rPr/>
            </w:pPr>
            <w:r>
              <w:rPr>
                <w:rFonts w:ascii="Times New Roman" w:hAnsi="Times New Roman"/>
                <w:sz w:val="17"/>
              </w:rPr>
              <w:t xml:space="preserve">PAA senior unsecured revolving credit facility, bearing a weighted-average interest rate of 2.4% at December 31, 2012 </w:t>
            </w:r>
            <w:r>
              <w:rPr>
                <w:sz w:val="11"/>
              </w:rPr>
              <w:t>(2)</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AAP senior secured revolving credit facility, bearing a weighted-average interest rate of 1.9% at September 30, 2013</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vAlign w:val="center"/>
          </w:tcPr>
          <w:p>
            <w:pPr>
              <w:pStyle w:val="TableContents"/>
              <w:spacing w:before="0" w:after="0"/>
              <w:ind w:left="0" w:right="0" w:hanging="0"/>
              <w:rPr/>
            </w:pPr>
            <w:r>
              <w:rPr>
                <w:rFonts w:ascii="Times New Roman" w:hAnsi="Times New Roman"/>
                <w:sz w:val="17"/>
              </w:rPr>
              <w:t>PNG senior unsecured revolving credit facility, bearing a weighted-average interest rate of 2.0% and 2.1% at September 30, 2013 and December 31, 2012, respectively</w:t>
            </w:r>
            <w:r>
              <w:rPr/>
              <w:t xml:space="preserve"> </w:t>
            </w:r>
            <w:r>
              <w:rPr>
                <w:sz w:val="11"/>
              </w:rPr>
              <w:t>(3)</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vAlign w:val="center"/>
          </w:tcPr>
          <w:p>
            <w:pPr>
              <w:pStyle w:val="TableContents"/>
              <w:spacing w:before="0" w:after="0"/>
              <w:ind w:left="0" w:right="0" w:hanging="0"/>
              <w:rPr/>
            </w:pPr>
            <w:r>
              <w:rPr>
                <w:rFonts w:ascii="Times New Roman" w:hAnsi="Times New Roman"/>
                <w:sz w:val="17"/>
              </w:rPr>
              <w:t xml:space="preserve">PAA commercial paper notes, bearing a weighted-average interest rate of 0.25% at September 30, 2013 </w:t>
            </w:r>
            <w:r>
              <w:rPr>
                <w:sz w:val="11"/>
              </w:rPr>
              <w:t>(2)</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vAlign w:val="center"/>
          </w:tcPr>
          <w:p>
            <w:pPr>
              <w:pStyle w:val="TableContents"/>
              <w:spacing w:before="0" w:after="0"/>
              <w:ind w:left="0" w:right="0" w:hanging="0"/>
              <w:rPr/>
            </w:pPr>
            <w:r>
              <w:rPr>
                <w:rFonts w:ascii="Times New Roman" w:hAnsi="Times New Roman"/>
                <w:sz w:val="17"/>
              </w:rPr>
              <w:t xml:space="preserve">PAA 5.63% senior notes due December 2013 </w:t>
            </w:r>
            <w:r>
              <w:rPr>
                <w:sz w:val="11"/>
              </w:rPr>
              <w:t>(4)</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short-term debt </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vAlign w:val="center"/>
          </w:tcPr>
          <w:p>
            <w:pPr>
              <w:pStyle w:val="TableContents"/>
              <w:spacing w:before="0" w:after="0"/>
              <w:ind w:left="0" w:right="0" w:hanging="0"/>
              <w:rPr/>
            </w:pPr>
            <w:r>
              <w:rPr/>
              <w:t> </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LONG-TERM DEBT</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vAlign w:val="bottom"/>
          </w:tcPr>
          <w:p>
            <w:pPr>
              <w:pStyle w:val="TableContents"/>
              <w:spacing w:before="0" w:after="0"/>
              <w:ind w:left="0" w:right="0" w:hanging="0"/>
              <w:rPr/>
            </w:pPr>
            <w:r>
              <w:rPr>
                <w:rFonts w:ascii="Times New Roman" w:hAnsi="Times New Roman"/>
                <w:sz w:val="17"/>
              </w:rPr>
              <w:t xml:space="preserve">PAA senior notes, net of unamortized discounts of $15 at both September 30, 2013 and December 31, 2012 </w:t>
            </w:r>
            <w:r>
              <w:rPr>
                <w:sz w:val="11"/>
              </w:rPr>
              <w:t>(5)</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6,710</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vAlign w:val="bottom"/>
          </w:tcPr>
          <w:p>
            <w:pPr>
              <w:pStyle w:val="TableContents"/>
              <w:spacing w:before="0" w:after="0"/>
              <w:ind w:left="0" w:right="0" w:hanging="0"/>
              <w:rPr/>
            </w:pPr>
            <w:r>
              <w:rPr>
                <w:rFonts w:ascii="Times New Roman" w:hAnsi="Times New Roman"/>
                <w:sz w:val="17"/>
              </w:rPr>
              <w:t xml:space="preserve">Credit Facilities and Other Long-Term Debt </w:t>
            </w:r>
            <w:r>
              <w:rPr>
                <w:sz w:val="11"/>
              </w:rPr>
              <w:t>(1)</w:t>
            </w:r>
            <w:r>
              <w:rPr>
                <w:sz w:val="17"/>
              </w:rPr>
              <w:t>:</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AAP term loan, bearing a weighted-average interest rate of 1.9% and 1.8% at September 30, 2013 and December 31, 2012, respectively </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vAlign w:val="center"/>
          </w:tcPr>
          <w:p>
            <w:pPr>
              <w:pStyle w:val="TableContents"/>
              <w:spacing w:before="0" w:after="0"/>
              <w:ind w:left="0" w:right="0" w:hanging="0"/>
              <w:rPr/>
            </w:pPr>
            <w:r>
              <w:rPr>
                <w:rFonts w:ascii="Times New Roman" w:hAnsi="Times New Roman"/>
                <w:sz w:val="17"/>
              </w:rPr>
              <w:t xml:space="preserve">PNG senior unsecured revolving credit facility, bearing a weighted-average interest rate of 2.0% and 2.1% at September 30, 2013 and December 31, 2012, respectively </w:t>
            </w:r>
            <w:r>
              <w:rPr>
                <w:sz w:val="11"/>
              </w:rPr>
              <w:t>(3)</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PNG GO Bond term loans, bearing a weighted-average interest rate of 1.5% at both September 30, 2013 and December 31, 2012</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long-term debt </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7,518</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6,520</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vAlign w:val="bottom"/>
          </w:tcPr>
          <w:p>
            <w:pPr>
              <w:pStyle w:val="TableContents"/>
              <w:spacing w:before="0" w:after="0"/>
              <w:ind w:left="0" w:right="0" w:hanging="0"/>
              <w:rPr/>
            </w:pPr>
            <w:r>
              <w:rPr>
                <w:rFonts w:ascii="Times New Roman" w:hAnsi="Times New Roman"/>
                <w:sz w:val="17"/>
              </w:rPr>
              <w:t xml:space="preserve">Total debt </w:t>
            </w:r>
            <w:r>
              <w:rPr>
                <w:sz w:val="11"/>
              </w:rPr>
              <w:t>(2) (3) (6)</w:t>
            </w:r>
          </w:p>
        </w:tc>
        <w:tc>
          <w:tcPr>
            <w:tcW w:w="209"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8,138</w:t>
            </w:r>
          </w:p>
        </w:tc>
        <w:tc>
          <w:tcPr>
            <w:tcW w:w="209" w:type="dxa"/>
            <w:tcBorders/>
            <w:shd w:fill="CCEEFF" w:val="clear"/>
            <w:vAlign w:val="bottom"/>
          </w:tcPr>
          <w:p>
            <w:pPr>
              <w:pStyle w:val="TableContents"/>
              <w:spacing w:before="0" w:after="0"/>
              <w:ind w:left="0" w:right="0" w:hanging="0"/>
              <w:rPr/>
            </w:pPr>
            <w:r>
              <w:rPr/>
              <w:t> </w:t>
            </w:r>
          </w:p>
        </w:tc>
        <w:tc>
          <w:tcPr>
            <w:tcW w:w="1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7,606</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30" w:name="PB_13_150704_3020"/>
      <w:bookmarkEnd w:id="3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b/>
          <w:sz w:val="11"/>
        </w:rPr>
        <w:t>(1)</w:t>
      </w:r>
      <w:r>
        <w:rPr>
          <w:rFonts w:ascii="Times New Roman" w:hAnsi="Times New Roman"/>
        </w:rPr>
        <w:t xml:space="preserve">                       </w:t>
      </w:r>
      <w:r>
        <w:rPr>
          <w:rFonts w:ascii="Times New Roman" w:hAnsi="Times New Roman"/>
          <w:sz w:val="17"/>
        </w:rPr>
        <w:t>In 2013, we renewed and extended our principal bank credit facilities. See Credit Facilities below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1"/>
        </w:rPr>
        <w:t>(2)</w:t>
      </w:r>
      <w:r>
        <w:rPr>
          <w:rFonts w:ascii="Times New Roman" w:hAnsi="Times New Roman"/>
        </w:rPr>
        <w:t xml:space="preserve">                       </w:t>
      </w:r>
      <w:r>
        <w:rPr>
          <w:rFonts w:ascii="Times New Roman" w:hAnsi="Times New Roman"/>
          <w:sz w:val="17"/>
        </w:rPr>
        <w:t>We classify as short-term certain borrowings under the PAA commercial paper program, PAA senior unsecured revolving credit facility and PAA senior secured hedged inventory facility. These borrowings are primarily designated as working capital borrowings, must be repaid within one year and are primarily for hedged NGL and crude oil inventory and NYMEX and ICE margin deposits.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1"/>
        </w:rPr>
        <w:t>(3)</w:t>
      </w:r>
      <w:r>
        <w:rPr>
          <w:rFonts w:ascii="Times New Roman" w:hAnsi="Times New Roman"/>
        </w:rPr>
        <w:t xml:space="preserve">                      </w:t>
      </w:r>
      <w:r>
        <w:rPr>
          <w:rFonts w:ascii="Times New Roman" w:hAnsi="Times New Roman"/>
          <w:sz w:val="17"/>
        </w:rPr>
        <w:t>We classify as short-term debt any borrowings under the PNG senior unsecured revolving credit facility that have been designated as working capital borrowings and must be repaid within one year.  Such borrowings are primarily related to a portion of PNGs hedged natural gas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1"/>
        </w:rPr>
        <w:t>(4)</w:t>
      </w:r>
      <w:r>
        <w:rPr>
          <w:rFonts w:ascii="Times New Roman" w:hAnsi="Times New Roman"/>
        </w:rPr>
        <w:t xml:space="preserve">                       </w:t>
      </w:r>
      <w:r>
        <w:rPr>
          <w:rFonts w:ascii="Times New Roman" w:hAnsi="Times New Roman"/>
          <w:sz w:val="17"/>
        </w:rPr>
        <w:t>PAAs $250 million 5.63% senior notes will mature in December 2013 and are thus classified as short-term at September 30, 2013 and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1"/>
        </w:rPr>
        <w:t>(5)</w:t>
      </w:r>
      <w:r>
        <w:rPr>
          <w:rFonts w:ascii="Times New Roman" w:hAnsi="Times New Roman"/>
        </w:rPr>
        <w:t xml:space="preserve">                       </w:t>
      </w:r>
      <w:r>
        <w:rPr>
          <w:rFonts w:ascii="Times New Roman" w:hAnsi="Times New Roman"/>
          <w:sz w:val="17"/>
        </w:rPr>
        <w:t>In August 2013, PAA completed the issuance of $700 million, 3.85% senior notes due 2023 at a public offering price of 99.792%. Interest payments are due on April 15 and October 15 of each year, commencing on April 15, 2014.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1"/>
        </w:rPr>
        <w:t>(6)</w:t>
      </w:r>
      <w:r>
        <w:rPr>
          <w:rFonts w:ascii="Times New Roman" w:hAnsi="Times New Roman"/>
        </w:rPr>
        <w:t xml:space="preserve">                       </w:t>
      </w:r>
      <w:r>
        <w:rPr>
          <w:rFonts w:ascii="Times New Roman" w:hAnsi="Times New Roman"/>
          <w:sz w:val="17"/>
        </w:rPr>
        <w:t>PAAs fixed-rate senior notes (including current maturities) had a face value of approximately $7.0 billion and $6.3 billion at September 30, 2013 and December 31, 2012, respectively.  We estimated the aggregate fair value of these notes as of September 30, 2013 and December 31, 2012 to be approximately $7.5 billion and $7.3 billion, respectively.  PAAs fixed-rate senior notes are traded among institutions, and these trades are routinely published by a reporting service.  Our determination of fair value is based on reported trading activity near quarter end.  We estimate that the carrying value of outstanding borrowings under our credit agreements and commercial paper program approximates fair value as interest rates reflect current market rates.  The fair value estimates for our senior notes and borrowings under our credit agreements and commercial paper program are based upon observable market data and are classified within level 2 of the 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Commercial Paper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2013, PAA established a commercial paper program under which it may issue, from time to time, privately placed, unsecured commercial paper notes for up to a maximum aggregate amount outstanding at any time of $1.5 billion. Such notes are backstopped by the PAA senior unsecured revolving credit facility and the PAA senior secured hedged inventory facility; as such, any borrowings under the commercial paper program reduce the available capacity under these facilities.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2013, the PAA senior secured hedged inventory facility and PAA senior unsecured revolving credit facility agreements were amended to, among other things, extend the maturity dates of the facilities by two years. The facilities now mature in August 2016 and August 2018, respectively. Also in August 2013, the maturity dates of the PNG senior unsecured revolving credit facility and GO Bond term loans were extended by one year to August 2017.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September 2013, the AAP credit agreement was amended to increase the term loan facility from $200 million to $500 million, increase the aggregate commitments under the revolving credit facility from $25 million to $75 million and extend the maturity date by one year to September 2018.</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Borrowings and Repayments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Total borrowings under our credit agreements and commercial paper program for the nine months ended September 30, 2013 and 2012 were approximately $13.2 billion and $8.5 billion, respectively. Total repayments under our credit agreements and commercial paper program were approximately $13.4 billion and $7.8 billion for the nine months ended September 30, 2013 and 2012, respectively. The variance in total gross borrowings and repayments is impacted by various business and financial factors including, but not limited to, the timing, average term and method of general partnership borrowing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Letters of Credit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our supply and logistics activities and natural gas storage and commercial marketing activities, we provide certain suppliers with irrevocable standby letters of credit to secure our obligation for the purchase of crude oil, NGL and natural gas.  Additionally, we issue letters of credit to support insurance programs and construction activities.  At September 30, 2013 and December 31, 2012, we had outstanding letters of credit of approximately $42 million and $24 million, respectively.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31" w:name="PB_14_150827_7748"/>
      <w:bookmarkEnd w:id="3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8Members Equity</w:t>
      </w:r>
      <w:bookmarkStart w:id="32" w:name="Note8membersEquity_171119"/>
      <w:bookmarkEnd w:id="32"/>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Distributions to Members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distribute all of the cash received from AAP distributions on a quarterly basis, less reserves established by management for future requirements. Generally, distributions are paid to our Members in proportion to their percentage interest in us. During the nine months ended September 30, 2013 and 2012, we distributed approximately $6 million and $2 million, respectively, to our Members. Of the amount distributed during the nine months ended September 30, 2013, approximately $3 million relates to distributions received from AAP for our proportionate share of the net proceeds from the increase in AAPs term loan. See Note 7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Noncontrolling Interests in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2013, noncontrolling interests in subsidiaries consisted of (i) a 98% limited partner interest in PAA, (ii) a 99% limited partner interest in AAP that consists of Class A and Class B units of AAP (a profits interest), (iii) an approximate 37% limited partner interest in PNG and (iv) a 25% interest in SLC Pipeline LLC.</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PAA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May 2013, PAA entered into an additional equity distribution agreement with several financial institutions pursuant to which it may offer and sell, through its sales agents, common units representing limited partner interests having an aggregate offering price of up to $750 million. During the nine months ended September 30, 2013, PAA issued an aggregate of approximately 7.2 million common units under its continuous offering program, generating net proceeds of approximately $400 million, including the proportionate capital contribution from our Members and the noncontrolling interests in AAP, net of approximately $4 million of commissions to our sales agents.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LTIP Vesting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settlement of vested LTIP awards (both liability-classified and equity-classified), PAA issued approximately 0.5 million common units during the first nine months of 2013, net of units tendered by employees for tax withholding obligations.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PNG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March 18, 2013, PNG entered into an equity distribution agreement with a financial institution pursuant to which PNG may offer and sell, through its sales agent, common units representing limited partner interests having an aggregate offering price of up to $75 million. During the first nine months of 2013, PNG issued an aggregate of approximately 1.9 million common units under this agreement, generating net proceeds of approximately $40 million.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33" w:name="PB_15_151356_5335"/>
      <w:bookmarkEnd w:id="3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Noncontrolling Interests Rollforward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reflects the changes in the noncontrolling interests in members equity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651"/>
        <w:gridCol w:w="206"/>
        <w:gridCol w:w="195"/>
        <w:gridCol w:w="1285"/>
        <w:gridCol w:w="251"/>
        <w:gridCol w:w="195"/>
        <w:gridCol w:w="1285"/>
        <w:gridCol w:w="137"/>
      </w:tblGrid>
      <w:tr>
        <w:trPr/>
        <w:tc>
          <w:tcPr>
            <w:tcW w:w="6651"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321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w:t>
            </w:r>
          </w:p>
        </w:tc>
        <w:tc>
          <w:tcPr>
            <w:tcW w:w="137" w:type="dxa"/>
            <w:tcBorders/>
            <w:shd w:fill="auto" w:val="clear"/>
            <w:vAlign w:val="bottom"/>
          </w:tcPr>
          <w:p>
            <w:pPr>
              <w:pStyle w:val="TableContents"/>
              <w:spacing w:before="0" w:after="0"/>
              <w:ind w:left="0" w:right="0" w:hanging="0"/>
              <w:jc w:val="center"/>
              <w:rPr/>
            </w:pPr>
            <w:r>
              <w:rPr/>
              <w:t> </w:t>
            </w:r>
          </w:p>
        </w:tc>
      </w:tr>
      <w:tr>
        <w:trPr/>
        <w:tc>
          <w:tcPr>
            <w:tcW w:w="6651"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51" w:type="dxa"/>
            <w:tcBorders/>
            <w:shd w:fill="auto" w:val="clear"/>
            <w:vAlign w:val="bottom"/>
          </w:tcPr>
          <w:p>
            <w:pPr>
              <w:pStyle w:val="TableContents"/>
              <w:spacing w:before="0" w:after="0"/>
              <w:ind w:left="0" w:right="0" w:hanging="0"/>
              <w:jc w:val="center"/>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7" w:type="dxa"/>
            <w:tcBorders/>
            <w:shd w:fill="auto" w:val="clear"/>
            <w:vAlign w:val="bottom"/>
          </w:tcPr>
          <w:p>
            <w:pPr>
              <w:pStyle w:val="TableContents"/>
              <w:spacing w:before="0" w:after="0"/>
              <w:ind w:left="0" w:right="0" w:hanging="0"/>
              <w:jc w:val="center"/>
              <w:rPr/>
            </w:pPr>
            <w:r>
              <w:rPr/>
              <w:t> </w:t>
            </w:r>
          </w:p>
        </w:tc>
      </w:tr>
      <w:tr>
        <w:trPr/>
        <w:tc>
          <w:tcPr>
            <w:tcW w:w="66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0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6,968</w:t>
            </w:r>
          </w:p>
        </w:tc>
        <w:tc>
          <w:tcPr>
            <w:tcW w:w="251"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5,794</w:t>
            </w:r>
          </w:p>
        </w:tc>
        <w:tc>
          <w:tcPr>
            <w:tcW w:w="137" w:type="dxa"/>
            <w:tcBorders/>
            <w:shd w:fill="CCEEFF" w:val="clear"/>
            <w:vAlign w:val="bottom"/>
          </w:tcPr>
          <w:p>
            <w:pPr>
              <w:pStyle w:val="TableContents"/>
              <w:spacing w:before="0" w:after="0"/>
              <w:ind w:left="0" w:right="0" w:hanging="0"/>
              <w:rPr/>
            </w:pPr>
            <w:r>
              <w:rPr/>
              <w:t> </w:t>
            </w:r>
          </w:p>
        </w:tc>
      </w:tr>
      <w:tr>
        <w:trPr/>
        <w:tc>
          <w:tcPr>
            <w:tcW w:w="66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06" w:type="dxa"/>
            <w:tcBorders/>
            <w:shd w:fill="auto" w:val="clear"/>
            <w:vAlign w:val="bottom"/>
          </w:tcPr>
          <w:p>
            <w:pPr>
              <w:pStyle w:val="TableContents"/>
              <w:spacing w:before="0" w:after="0"/>
              <w:ind w:left="0" w:right="0" w:hanging="0"/>
              <w:rPr/>
            </w:pPr>
            <w:r>
              <w:rPr/>
              <w:t> </w:t>
            </w:r>
          </w:p>
        </w:tc>
        <w:tc>
          <w:tcPr>
            <w:tcW w:w="14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w:t>
            </w:r>
          </w:p>
        </w:tc>
        <w:tc>
          <w:tcPr>
            <w:tcW w:w="251" w:type="dxa"/>
            <w:tcBorders/>
            <w:shd w:fill="auto" w:val="clear"/>
            <w:vAlign w:val="bottom"/>
          </w:tcPr>
          <w:p>
            <w:pPr>
              <w:pStyle w:val="TableContents"/>
              <w:spacing w:before="0" w:after="0"/>
              <w:ind w:left="0" w:right="0" w:hanging="0"/>
              <w:rPr/>
            </w:pPr>
            <w:r>
              <w:rPr/>
              <w:t> </w:t>
            </w:r>
          </w:p>
        </w:tc>
        <w:tc>
          <w:tcPr>
            <w:tcW w:w="14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788</w:t>
            </w:r>
          </w:p>
        </w:tc>
        <w:tc>
          <w:tcPr>
            <w:tcW w:w="137" w:type="dxa"/>
            <w:tcBorders/>
            <w:shd w:fill="auto" w:val="clear"/>
            <w:vAlign w:val="bottom"/>
          </w:tcPr>
          <w:p>
            <w:pPr>
              <w:pStyle w:val="TableContents"/>
              <w:spacing w:before="0" w:after="0"/>
              <w:ind w:left="0" w:right="0" w:hanging="0"/>
              <w:rPr/>
            </w:pPr>
            <w:r>
              <w:rPr/>
              <w:t> </w:t>
            </w:r>
          </w:p>
        </w:tc>
      </w:tr>
      <w:tr>
        <w:trPr/>
        <w:tc>
          <w:tcPr>
            <w:tcW w:w="66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w:t>
            </w:r>
          </w:p>
        </w:tc>
        <w:tc>
          <w:tcPr>
            <w:tcW w:w="206" w:type="dxa"/>
            <w:tcBorders/>
            <w:shd w:fill="CCEEFF" w:val="clear"/>
            <w:vAlign w:val="bottom"/>
          </w:tcPr>
          <w:p>
            <w:pPr>
              <w:pStyle w:val="TableContents"/>
              <w:spacing w:before="0" w:after="0"/>
              <w:ind w:left="0" w:right="0" w:hanging="0"/>
              <w:rPr/>
            </w:pPr>
            <w:r>
              <w:rPr/>
              <w:t> </w:t>
            </w:r>
          </w:p>
        </w:tc>
        <w:tc>
          <w:tcPr>
            <w:tcW w:w="14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(1,182</w:t>
            </w:r>
          </w:p>
        </w:tc>
        <w:tc>
          <w:tcPr>
            <w:tcW w:w="2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(737</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51" w:type="dxa"/>
            <w:tcBorders/>
            <w:shd w:fill="auto" w:val="clear"/>
            <w:vAlign w:val="bottom"/>
          </w:tcPr>
          <w:p>
            <w:pPr>
              <w:pStyle w:val="TableContents"/>
              <w:spacing w:before="0" w:after="0"/>
              <w:ind w:left="0" w:right="0" w:hanging="0"/>
              <w:rPr/>
            </w:pPr>
            <w:r>
              <w:rPr>
                <w:rFonts w:ascii="Times New Roman" w:hAnsi="Times New Roman"/>
                <w:sz w:val="17"/>
              </w:rPr>
              <w:t>Issuance of PAA common units</w:t>
            </w:r>
            <w:r>
              <w:rPr/>
              <w:t xml:space="preserve"> </w:t>
            </w:r>
            <w:r>
              <w:rPr>
                <w:sz w:val="11"/>
              </w:rPr>
              <w:t>(1)</w:t>
            </w:r>
          </w:p>
        </w:tc>
        <w:tc>
          <w:tcPr>
            <w:tcW w:w="206" w:type="dxa"/>
            <w:tcBorders/>
            <w:shd w:fill="auto" w:val="clear"/>
            <w:vAlign w:val="bottom"/>
          </w:tcPr>
          <w:p>
            <w:pPr>
              <w:pStyle w:val="TableContents"/>
              <w:spacing w:before="0" w:after="0"/>
              <w:ind w:left="0" w:right="0" w:hanging="0"/>
              <w:rPr/>
            </w:pPr>
            <w:r>
              <w:rPr/>
              <w:t> </w:t>
            </w:r>
          </w:p>
        </w:tc>
        <w:tc>
          <w:tcPr>
            <w:tcW w:w="14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51" w:type="dxa"/>
            <w:tcBorders/>
            <w:shd w:fill="auto" w:val="clear"/>
            <w:vAlign w:val="bottom"/>
          </w:tcPr>
          <w:p>
            <w:pPr>
              <w:pStyle w:val="TableContents"/>
              <w:spacing w:before="0" w:after="0"/>
              <w:ind w:left="0" w:right="0" w:hanging="0"/>
              <w:rPr/>
            </w:pPr>
            <w:r>
              <w:rPr/>
              <w:t> </w:t>
            </w:r>
          </w:p>
        </w:tc>
        <w:tc>
          <w:tcPr>
            <w:tcW w:w="14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812</w:t>
            </w:r>
          </w:p>
        </w:tc>
        <w:tc>
          <w:tcPr>
            <w:tcW w:w="137" w:type="dxa"/>
            <w:tcBorders/>
            <w:shd w:fill="auto" w:val="clear"/>
            <w:vAlign w:val="bottom"/>
          </w:tcPr>
          <w:p>
            <w:pPr>
              <w:pStyle w:val="TableContents"/>
              <w:spacing w:before="0" w:after="0"/>
              <w:ind w:left="0" w:right="0" w:hanging="0"/>
              <w:rPr/>
            </w:pPr>
            <w:r>
              <w:rPr/>
              <w:t> </w:t>
            </w:r>
          </w:p>
        </w:tc>
      </w:tr>
      <w:tr>
        <w:trPr/>
        <w:tc>
          <w:tcPr>
            <w:tcW w:w="6651" w:type="dxa"/>
            <w:tcBorders/>
            <w:shd w:fill="CCEEFF" w:val="clear"/>
            <w:vAlign w:val="bottom"/>
          </w:tcPr>
          <w:p>
            <w:pPr>
              <w:pStyle w:val="TableContents"/>
              <w:spacing w:before="0" w:after="0"/>
              <w:ind w:left="0" w:right="0" w:hanging="0"/>
              <w:rPr/>
            </w:pPr>
            <w:r>
              <w:rPr>
                <w:rFonts w:ascii="Times New Roman" w:hAnsi="Times New Roman"/>
                <w:sz w:val="17"/>
              </w:rPr>
              <w:t>Issuance of PAA common units under LTIP</w:t>
            </w:r>
            <w:r>
              <w:rPr/>
              <w:t xml:space="preserve"> </w:t>
            </w:r>
            <w:r>
              <w:rPr>
                <w:sz w:val="11"/>
              </w:rPr>
              <w:t>(1)</w:t>
            </w:r>
          </w:p>
        </w:tc>
        <w:tc>
          <w:tcPr>
            <w:tcW w:w="206" w:type="dxa"/>
            <w:tcBorders/>
            <w:shd w:fill="CCEEFF" w:val="clear"/>
            <w:vAlign w:val="bottom"/>
          </w:tcPr>
          <w:p>
            <w:pPr>
              <w:pStyle w:val="TableContents"/>
              <w:spacing w:before="0" w:after="0"/>
              <w:ind w:left="0" w:right="0" w:hanging="0"/>
              <w:rPr/>
            </w:pPr>
            <w:r>
              <w:rPr/>
              <w:t> </w:t>
            </w:r>
          </w:p>
        </w:tc>
        <w:tc>
          <w:tcPr>
            <w:tcW w:w="14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1" w:type="dxa"/>
            <w:tcBorders/>
            <w:shd w:fill="CCEEFF" w:val="clear"/>
            <w:vAlign w:val="bottom"/>
          </w:tcPr>
          <w:p>
            <w:pPr>
              <w:pStyle w:val="TableContents"/>
              <w:spacing w:before="0" w:after="0"/>
              <w:ind w:left="0" w:right="0" w:hanging="0"/>
              <w:rPr/>
            </w:pPr>
            <w:r>
              <w:rPr/>
              <w:t> </w:t>
            </w:r>
          </w:p>
        </w:tc>
        <w:tc>
          <w:tcPr>
            <w:tcW w:w="14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37" w:type="dxa"/>
            <w:tcBorders/>
            <w:shd w:fill="CCEEFF" w:val="clear"/>
            <w:vAlign w:val="bottom"/>
          </w:tcPr>
          <w:p>
            <w:pPr>
              <w:pStyle w:val="TableContents"/>
              <w:spacing w:before="0" w:after="0"/>
              <w:ind w:left="0" w:right="0" w:hanging="0"/>
              <w:rPr/>
            </w:pPr>
            <w:r>
              <w:rPr/>
              <w:t> </w:t>
            </w:r>
          </w:p>
        </w:tc>
      </w:tr>
      <w:tr>
        <w:trPr/>
        <w:tc>
          <w:tcPr>
            <w:tcW w:w="66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Units tendered by employees to satisfy tax withholding obligations</w:t>
            </w:r>
          </w:p>
        </w:tc>
        <w:tc>
          <w:tcPr>
            <w:tcW w:w="206" w:type="dxa"/>
            <w:tcBorders/>
            <w:shd w:fill="auto" w:val="clear"/>
            <w:vAlign w:val="bottom"/>
          </w:tcPr>
          <w:p>
            <w:pPr>
              <w:pStyle w:val="TableContents"/>
              <w:spacing w:before="0" w:after="0"/>
              <w:ind w:left="0" w:right="0" w:hanging="0"/>
              <w:rPr/>
            </w:pPr>
            <w:r>
              <w:rPr/>
              <w:t> </w:t>
            </w:r>
          </w:p>
        </w:tc>
        <w:tc>
          <w:tcPr>
            <w:tcW w:w="14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7" w:type="dxa"/>
            <w:tcBorders/>
            <w:shd w:fill="auto" w:val="clear"/>
            <w:vAlign w:val="bottom"/>
          </w:tcPr>
          <w:p>
            <w:pPr>
              <w:pStyle w:val="TableContents"/>
              <w:spacing w:before="0" w:after="0"/>
              <w:ind w:left="0" w:right="0" w:hanging="0"/>
              <w:rPr/>
            </w:pPr>
            <w:r>
              <w:rPr/>
              <w:t> </w:t>
            </w:r>
          </w:p>
        </w:tc>
      </w:tr>
      <w:tr>
        <w:trPr/>
        <w:tc>
          <w:tcPr>
            <w:tcW w:w="66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206" w:type="dxa"/>
            <w:tcBorders/>
            <w:shd w:fill="CCEEFF" w:val="clear"/>
            <w:vAlign w:val="bottom"/>
          </w:tcPr>
          <w:p>
            <w:pPr>
              <w:pStyle w:val="TableContents"/>
              <w:spacing w:before="0" w:after="0"/>
              <w:ind w:left="0" w:right="0" w:hanging="0"/>
              <w:rPr/>
            </w:pPr>
            <w:r>
              <w:rPr/>
              <w:t> </w:t>
            </w:r>
          </w:p>
        </w:tc>
        <w:tc>
          <w:tcPr>
            <w:tcW w:w="14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51" w:type="dxa"/>
            <w:tcBorders/>
            <w:shd w:fill="CCEEFF" w:val="clear"/>
            <w:vAlign w:val="bottom"/>
          </w:tcPr>
          <w:p>
            <w:pPr>
              <w:pStyle w:val="TableContents"/>
              <w:spacing w:before="0" w:after="0"/>
              <w:ind w:left="0" w:right="0" w:hanging="0"/>
              <w:rPr/>
            </w:pPr>
            <w:r>
              <w:rPr/>
              <w:t> </w:t>
            </w:r>
          </w:p>
        </w:tc>
        <w:tc>
          <w:tcPr>
            <w:tcW w:w="14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37" w:type="dxa"/>
            <w:tcBorders/>
            <w:shd w:fill="CCEEFF" w:val="clear"/>
            <w:vAlign w:val="bottom"/>
          </w:tcPr>
          <w:p>
            <w:pPr>
              <w:pStyle w:val="TableContents"/>
              <w:spacing w:before="0" w:after="0"/>
              <w:ind w:left="0" w:right="0" w:hanging="0"/>
              <w:rPr/>
            </w:pPr>
            <w:r>
              <w:rPr/>
              <w:t> </w:t>
            </w:r>
          </w:p>
        </w:tc>
      </w:tr>
      <w:tr>
        <w:trPr/>
        <w:tc>
          <w:tcPr>
            <w:tcW w:w="66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 payments</w:t>
            </w:r>
          </w:p>
        </w:tc>
        <w:tc>
          <w:tcPr>
            <w:tcW w:w="206" w:type="dxa"/>
            <w:tcBorders/>
            <w:shd w:fill="auto" w:val="clear"/>
            <w:vAlign w:val="bottom"/>
          </w:tcPr>
          <w:p>
            <w:pPr>
              <w:pStyle w:val="TableContents"/>
              <w:spacing w:before="0" w:after="0"/>
              <w:ind w:left="0" w:right="0" w:hanging="0"/>
              <w:rPr/>
            </w:pPr>
            <w:r>
              <w:rPr/>
              <w:t> </w:t>
            </w:r>
          </w:p>
        </w:tc>
        <w:tc>
          <w:tcPr>
            <w:tcW w:w="14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PNG common units</w:t>
            </w:r>
          </w:p>
        </w:tc>
        <w:tc>
          <w:tcPr>
            <w:tcW w:w="206" w:type="dxa"/>
            <w:tcBorders/>
            <w:shd w:fill="CCEEFF" w:val="clear"/>
            <w:vAlign w:val="bottom"/>
          </w:tcPr>
          <w:p>
            <w:pPr>
              <w:pStyle w:val="TableContents"/>
              <w:spacing w:before="0" w:after="0"/>
              <w:ind w:left="0" w:right="0" w:hanging="0"/>
              <w:rPr/>
            </w:pPr>
            <w:r>
              <w:rPr/>
              <w:t> </w:t>
            </w:r>
          </w:p>
        </w:tc>
        <w:tc>
          <w:tcPr>
            <w:tcW w:w="14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51" w:type="dxa"/>
            <w:tcBorders/>
            <w:shd w:fill="CCEEFF" w:val="clear"/>
            <w:vAlign w:val="bottom"/>
          </w:tcPr>
          <w:p>
            <w:pPr>
              <w:pStyle w:val="TableContents"/>
              <w:spacing w:before="0" w:after="0"/>
              <w:ind w:left="0" w:right="0" w:hanging="0"/>
              <w:rPr/>
            </w:pPr>
            <w:r>
              <w:rPr/>
              <w:t> </w:t>
            </w:r>
          </w:p>
        </w:tc>
        <w:tc>
          <w:tcPr>
            <w:tcW w:w="14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7" w:type="dxa"/>
            <w:tcBorders/>
            <w:shd w:fill="CCEEFF" w:val="clear"/>
            <w:vAlign w:val="bottom"/>
          </w:tcPr>
          <w:p>
            <w:pPr>
              <w:pStyle w:val="TableContents"/>
              <w:spacing w:before="0" w:after="0"/>
              <w:ind w:left="0" w:right="0" w:hanging="0"/>
              <w:rPr/>
            </w:pPr>
            <w:r>
              <w:rPr/>
              <w:t> </w:t>
            </w:r>
          </w:p>
        </w:tc>
      </w:tr>
      <w:tr>
        <w:trPr/>
        <w:tc>
          <w:tcPr>
            <w:tcW w:w="66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6" w:type="dxa"/>
            <w:tcBorders/>
            <w:shd w:fill="auto" w:val="clear"/>
            <w:vAlign w:val="bottom"/>
          </w:tcPr>
          <w:p>
            <w:pPr>
              <w:pStyle w:val="TableContents"/>
              <w:spacing w:before="0" w:after="0"/>
              <w:ind w:left="0" w:right="0" w:hanging="0"/>
              <w:rPr/>
            </w:pPr>
            <w:r>
              <w:rPr/>
              <w:t> </w:t>
            </w:r>
          </w:p>
        </w:tc>
        <w:tc>
          <w:tcPr>
            <w:tcW w:w="14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7" w:type="dxa"/>
            <w:tcBorders/>
            <w:shd w:fill="auto" w:val="clear"/>
            <w:vAlign w:val="bottom"/>
          </w:tcPr>
          <w:p>
            <w:pPr>
              <w:pStyle w:val="TableContents"/>
              <w:spacing w:before="0" w:after="0"/>
              <w:ind w:left="0" w:right="0" w:hanging="0"/>
              <w:rPr/>
            </w:pPr>
            <w:r>
              <w:rPr/>
              <w:t> </w:t>
            </w:r>
          </w:p>
        </w:tc>
      </w:tr>
      <w:tr>
        <w:trPr/>
        <w:tc>
          <w:tcPr>
            <w:tcW w:w="66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06" w:type="dxa"/>
            <w:tcBorders/>
            <w:shd w:fill="CCEEFF" w:val="clear"/>
            <w:vAlign w:val="bottom"/>
          </w:tcPr>
          <w:p>
            <w:pPr>
              <w:pStyle w:val="TableContents"/>
              <w:spacing w:before="0" w:after="0"/>
              <w:ind w:left="0" w:right="0" w:hanging="0"/>
              <w:rPr/>
            </w:pPr>
            <w:r>
              <w:rPr/>
              <w:t> </w:t>
            </w:r>
          </w:p>
        </w:tc>
        <w:tc>
          <w:tcPr>
            <w:tcW w:w="1480" w:type="dxa"/>
            <w:gridSpan w:val="2"/>
            <w:tcBorders/>
            <w:shd w:fill="CCEEFF" w:val="clear"/>
            <w:vAlign w:val="bottom"/>
          </w:tcPr>
          <w:p>
            <w:pPr>
              <w:pStyle w:val="TableContents"/>
              <w:spacing w:before="0" w:after="0"/>
              <w:ind w:left="0" w:right="0" w:hanging="0"/>
              <w:jc w:val="right"/>
              <w:rPr/>
            </w:pPr>
            <w:r>
              <w:rPr/>
              <w:t> </w:t>
            </w:r>
          </w:p>
        </w:tc>
        <w:tc>
          <w:tcPr>
            <w:tcW w:w="251" w:type="dxa"/>
            <w:tcBorders/>
            <w:shd w:fill="CCEEFF" w:val="clear"/>
            <w:vAlign w:val="bottom"/>
          </w:tcPr>
          <w:p>
            <w:pPr>
              <w:pStyle w:val="TableContents"/>
              <w:spacing w:before="0" w:after="0"/>
              <w:ind w:left="0" w:right="0" w:hanging="0"/>
              <w:rPr/>
            </w:pPr>
            <w:r>
              <w:rPr/>
              <w:t> </w:t>
            </w:r>
          </w:p>
        </w:tc>
        <w:tc>
          <w:tcPr>
            <w:tcW w:w="1480"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66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06" w:type="dxa"/>
            <w:tcBorders/>
            <w:shd w:fill="auto" w:val="clear"/>
            <w:vAlign w:val="bottom"/>
          </w:tcPr>
          <w:p>
            <w:pPr>
              <w:pStyle w:val="TableContents"/>
              <w:spacing w:before="0" w:after="0"/>
              <w:ind w:left="0" w:right="0" w:hanging="0"/>
              <w:rPr/>
            </w:pPr>
            <w:r>
              <w:rPr/>
              <w:t> </w:t>
            </w:r>
          </w:p>
        </w:tc>
        <w:tc>
          <w:tcPr>
            <w:tcW w:w="14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deferred gain on cash flow hedges</w:t>
            </w:r>
          </w:p>
        </w:tc>
        <w:tc>
          <w:tcPr>
            <w:tcW w:w="206" w:type="dxa"/>
            <w:tcBorders/>
            <w:shd w:fill="CCEEFF" w:val="clear"/>
            <w:vAlign w:val="bottom"/>
          </w:tcPr>
          <w:p>
            <w:pPr>
              <w:pStyle w:val="TableContents"/>
              <w:spacing w:before="0" w:after="0"/>
              <w:ind w:left="0" w:right="0" w:hanging="0"/>
              <w:rPr/>
            </w:pPr>
            <w:r>
              <w:rPr/>
              <w:t> </w:t>
            </w:r>
          </w:p>
        </w:tc>
        <w:tc>
          <w:tcPr>
            <w:tcW w:w="14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51" w:type="dxa"/>
            <w:tcBorders/>
            <w:shd w:fill="CCEEFF" w:val="clear"/>
            <w:vAlign w:val="bottom"/>
          </w:tcPr>
          <w:p>
            <w:pPr>
              <w:pStyle w:val="TableContents"/>
              <w:spacing w:before="0" w:after="0"/>
              <w:ind w:left="0" w:right="0" w:hanging="0"/>
              <w:rPr/>
            </w:pPr>
            <w:r>
              <w:rPr/>
              <w:t> </w:t>
            </w:r>
          </w:p>
        </w:tc>
        <w:tc>
          <w:tcPr>
            <w:tcW w:w="14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37" w:type="dxa"/>
            <w:tcBorders/>
            <w:shd w:fill="CCEEFF" w:val="clear"/>
            <w:vAlign w:val="bottom"/>
          </w:tcPr>
          <w:p>
            <w:pPr>
              <w:pStyle w:val="TableContents"/>
              <w:spacing w:before="0" w:after="0"/>
              <w:ind w:left="0" w:right="0" w:hanging="0"/>
              <w:rPr/>
            </w:pPr>
            <w:r>
              <w:rPr/>
              <w:t> </w:t>
            </w:r>
          </w:p>
        </w:tc>
      </w:tr>
      <w:tr>
        <w:trPr/>
        <w:tc>
          <w:tcPr>
            <w:tcW w:w="66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adjustments</w:t>
            </w:r>
          </w:p>
        </w:tc>
        <w:tc>
          <w:tcPr>
            <w:tcW w:w="206" w:type="dxa"/>
            <w:tcBorders/>
            <w:shd w:fill="auto" w:val="clear"/>
            <w:vAlign w:val="bottom"/>
          </w:tcPr>
          <w:p>
            <w:pPr>
              <w:pStyle w:val="TableContents"/>
              <w:spacing w:before="0" w:after="0"/>
              <w:ind w:left="0" w:right="0" w:hanging="0"/>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37" w:type="dxa"/>
            <w:tcBorders/>
            <w:shd w:fill="auto" w:val="clear"/>
            <w:vAlign w:val="bottom"/>
          </w:tcPr>
          <w:p>
            <w:pPr>
              <w:pStyle w:val="TableContents"/>
              <w:spacing w:before="0" w:after="0"/>
              <w:ind w:left="0" w:right="0" w:hanging="0"/>
              <w:rPr/>
            </w:pPr>
            <w:r>
              <w:rPr/>
              <w:t> </w:t>
            </w:r>
          </w:p>
        </w:tc>
      </w:tr>
      <w:tr>
        <w:trPr/>
        <w:tc>
          <w:tcPr>
            <w:tcW w:w="66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Ending balance</w:t>
            </w:r>
          </w:p>
        </w:tc>
        <w:tc>
          <w:tcPr>
            <w:tcW w:w="206"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7,209</w:t>
            </w:r>
          </w:p>
        </w:tc>
        <w:tc>
          <w:tcPr>
            <w:tcW w:w="251"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6,747</w:t>
            </w:r>
          </w:p>
        </w:tc>
        <w:tc>
          <w:tcPr>
            <w:tcW w:w="13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contributions received or to be received from noncontrolling interests of AAP of approximately $9 million and $17 million for the nine months ended September 30, 2013 and 2012, respectively. This amount reflects reimbursement to AAP for capital contributions paid to PAA to maintain AAPs indirect 2% general partner interest in PAA.</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9Equity-Indexed Compensation Plans</w:t>
      </w:r>
      <w:bookmarkStart w:id="34" w:name="Note9equityindexedCompensationPla_171127"/>
      <w:bookmarkEnd w:id="3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refer to the PAA and PNG LTIP Plans, Special PAA Awards and Class B Units of AAP collectively as the Equity-indexed compensation plans. For additional discussion of equity-indexed compensation plans and awards, please read Note 14 to our 2012 Consolidated Financial Statements included in the Final Prospectus. In connection with PAGPs IPO, its general partner adopted the Plains GP Holdings, L.P. Long Term Incentive Plan. See Note 15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Class B Units of AAP.</w:t>
      </w:r>
      <w:r>
        <w:rPr>
          <w:rFonts w:ascii="Times New Roman" w:hAnsi="Times New Roman"/>
        </w:rPr>
        <w:t xml:space="preserve"> </w:t>
      </w:r>
      <w:r>
        <w:rPr>
          <w:rFonts w:ascii="Times New Roman" w:hAnsi="Times New Roman"/>
          <w:sz w:val="17"/>
        </w:rPr>
        <w:t>The following table contains a summary of Class B Units of AAP:</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15"/>
        <w:gridCol w:w="149"/>
        <w:gridCol w:w="1802"/>
        <w:gridCol w:w="168"/>
        <w:gridCol w:w="1371"/>
        <w:gridCol w:w="149"/>
        <w:gridCol w:w="1638"/>
        <w:gridCol w:w="102"/>
        <w:gridCol w:w="102"/>
        <w:gridCol w:w="559"/>
        <w:gridCol w:w="1742"/>
        <w:gridCol w:w="108"/>
      </w:tblGrid>
      <w:tr>
        <w:trPr/>
        <w:tc>
          <w:tcPr>
            <w:tcW w:w="2315"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1802" w:type="dxa"/>
            <w:tcBorders/>
            <w:shd w:fill="auto" w:val="clear"/>
            <w:vAlign w:val="bottom"/>
          </w:tcPr>
          <w:p>
            <w:pPr>
              <w:pStyle w:val="TableContents"/>
              <w:spacing w:before="0" w:after="0"/>
              <w:ind w:left="0" w:right="0" w:hanging="0"/>
              <w:jc w:val="center"/>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371" w:type="dxa"/>
            <w:tcBorders/>
            <w:shd w:fill="auto" w:val="clear"/>
            <w:vAlign w:val="bottom"/>
          </w:tcPr>
          <w:p>
            <w:pPr>
              <w:pStyle w:val="TableContents"/>
              <w:spacing w:before="0" w:after="0"/>
              <w:ind w:left="0" w:right="0" w:hanging="0"/>
              <w:jc w:val="center"/>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1638"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23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Grant Date</w:t>
            </w:r>
          </w:p>
        </w:tc>
        <w:tc>
          <w:tcPr>
            <w:tcW w:w="108" w:type="dxa"/>
            <w:tcBorders/>
            <w:shd w:fill="auto" w:val="clear"/>
            <w:vAlign w:val="bottom"/>
          </w:tcPr>
          <w:p>
            <w:pPr>
              <w:pStyle w:val="TableContents"/>
              <w:spacing w:before="0" w:after="0"/>
              <w:ind w:left="0" w:right="0" w:hanging="0"/>
              <w:jc w:val="center"/>
              <w:rPr/>
            </w:pPr>
            <w:r>
              <w:rPr/>
              <w:t> </w:t>
            </w:r>
          </w:p>
        </w:tc>
      </w:tr>
      <w:tr>
        <w:trPr/>
        <w:tc>
          <w:tcPr>
            <w:tcW w:w="2315"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1802" w:type="dxa"/>
            <w:tcBorders/>
            <w:shd w:fill="auto" w:val="clear"/>
            <w:vAlign w:val="bottom"/>
          </w:tcPr>
          <w:p>
            <w:pPr>
              <w:pStyle w:val="TableContents"/>
              <w:spacing w:before="0" w:after="0"/>
              <w:ind w:left="0" w:right="0" w:hanging="0"/>
              <w:jc w:val="center"/>
              <w:rPr/>
            </w:pPr>
            <w:r>
              <w:rPr/>
              <w:t> </w:t>
            </w:r>
          </w:p>
        </w:tc>
        <w:tc>
          <w:tcPr>
            <w:tcW w:w="168" w:type="dxa"/>
            <w:tcBorders/>
            <w:shd w:fill="auto" w:val="clear"/>
            <w:vAlign w:val="bottom"/>
          </w:tcPr>
          <w:p>
            <w:pPr>
              <w:pStyle w:val="TableContents"/>
              <w:spacing w:before="0" w:after="0"/>
              <w:ind w:left="0" w:right="0" w:hanging="0"/>
              <w:jc w:val="center"/>
              <w:rPr/>
            </w:pPr>
            <w:r>
              <w:rPr/>
              <w:t> </w:t>
            </w:r>
          </w:p>
        </w:tc>
        <w:tc>
          <w:tcPr>
            <w:tcW w:w="1371" w:type="dxa"/>
            <w:tcBorders/>
            <w:shd w:fill="auto" w:val="clear"/>
            <w:vAlign w:val="bottom"/>
          </w:tcPr>
          <w:p>
            <w:pPr>
              <w:pStyle w:val="TableContents"/>
              <w:spacing w:before="0" w:after="0"/>
              <w:ind w:left="0" w:right="0" w:hanging="0"/>
              <w:jc w:val="center"/>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1638"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23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of Outstanding</w:t>
            </w:r>
          </w:p>
        </w:tc>
        <w:tc>
          <w:tcPr>
            <w:tcW w:w="108" w:type="dxa"/>
            <w:tcBorders/>
            <w:shd w:fill="auto" w:val="clear"/>
            <w:vAlign w:val="bottom"/>
          </w:tcPr>
          <w:p>
            <w:pPr>
              <w:pStyle w:val="TableContents"/>
              <w:spacing w:before="0" w:after="0"/>
              <w:ind w:left="0" w:right="0" w:hanging="0"/>
              <w:jc w:val="center"/>
              <w:rPr/>
            </w:pPr>
            <w:r>
              <w:rPr/>
              <w:t> </w:t>
            </w:r>
          </w:p>
        </w:tc>
      </w:tr>
      <w:tr>
        <w:trPr/>
        <w:tc>
          <w:tcPr>
            <w:tcW w:w="2315"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1802"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Reserved for Future</w:t>
            </w:r>
          </w:p>
        </w:tc>
        <w:tc>
          <w:tcPr>
            <w:tcW w:w="168" w:type="dxa"/>
            <w:tcBorders/>
            <w:shd w:fill="auto" w:val="clear"/>
            <w:vAlign w:val="bottom"/>
          </w:tcPr>
          <w:p>
            <w:pPr>
              <w:pStyle w:val="TableContents"/>
              <w:spacing w:before="0" w:after="0"/>
              <w:ind w:left="0" w:right="0" w:hanging="0"/>
              <w:jc w:val="center"/>
              <w:rPr/>
            </w:pPr>
            <w:r>
              <w:rPr/>
              <w:t> </w:t>
            </w:r>
          </w:p>
        </w:tc>
        <w:tc>
          <w:tcPr>
            <w:tcW w:w="1371" w:type="dxa"/>
            <w:tcBorders/>
            <w:shd w:fill="auto" w:val="clear"/>
            <w:vAlign w:val="bottom"/>
          </w:tcPr>
          <w:p>
            <w:pPr>
              <w:pStyle w:val="TableContents"/>
              <w:spacing w:before="0" w:after="0"/>
              <w:ind w:left="0" w:right="0" w:hanging="0"/>
              <w:jc w:val="center"/>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1638"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 Units</w:t>
            </w:r>
          </w:p>
        </w:tc>
        <w:tc>
          <w:tcPr>
            <w:tcW w:w="102"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2301" w:type="dxa"/>
            <w:gridSpan w:val="2"/>
            <w:tcBorders/>
            <w:shd w:fill="auto" w:val="clear"/>
            <w:vAlign w:val="bottom"/>
          </w:tcPr>
          <w:p>
            <w:pPr>
              <w:pStyle w:val="TableContents"/>
              <w:spacing w:before="0" w:after="0"/>
              <w:ind w:left="0" w:right="0" w:hanging="0"/>
              <w:jc w:val="center"/>
              <w:rPr/>
            </w:pPr>
            <w:r>
              <w:rPr>
                <w:rFonts w:ascii="Times New Roman" w:hAnsi="Times New Roman"/>
                <w:b/>
                <w:sz w:val="13"/>
              </w:rPr>
              <w:t>Class B Units </w:t>
            </w:r>
            <w:r>
              <w:rPr>
                <w:b/>
                <w:sz w:val="8"/>
              </w:rPr>
              <w:t>(2)</w:t>
            </w:r>
          </w:p>
        </w:tc>
        <w:tc>
          <w:tcPr>
            <w:tcW w:w="108" w:type="dxa"/>
            <w:tcBorders/>
            <w:shd w:fill="auto" w:val="clear"/>
            <w:vAlign w:val="bottom"/>
          </w:tcPr>
          <w:p>
            <w:pPr>
              <w:pStyle w:val="TableContents"/>
              <w:spacing w:before="0" w:after="0"/>
              <w:ind w:left="0" w:right="0" w:hanging="0"/>
              <w:jc w:val="center"/>
              <w:rPr/>
            </w:pPr>
            <w:r>
              <w:rPr/>
              <w:t> </w:t>
            </w:r>
          </w:p>
        </w:tc>
      </w:tr>
      <w:tr>
        <w:trPr/>
        <w:tc>
          <w:tcPr>
            <w:tcW w:w="2315" w:type="dxa"/>
            <w:tcBorders/>
            <w:shd w:fill="auto" w:val="clear"/>
            <w:vAlign w:val="bottom"/>
          </w:tcPr>
          <w:p>
            <w:pPr>
              <w:pStyle w:val="TableContents"/>
              <w:spacing w:before="0" w:after="0"/>
              <w:ind w:left="0" w:right="0" w:hanging="0"/>
              <w:rPr/>
            </w:pPr>
            <w:r>
              <w:rPr/>
              <w:t> </w:t>
            </w:r>
          </w:p>
        </w:tc>
        <w:tc>
          <w:tcPr>
            <w:tcW w:w="149" w:type="dxa"/>
            <w:tcBorders/>
            <w:shd w:fill="auto" w:val="clear"/>
            <w:vAlign w:val="bottom"/>
          </w:tcPr>
          <w:p>
            <w:pPr>
              <w:pStyle w:val="TableContents"/>
              <w:spacing w:before="0" w:after="0"/>
              <w:ind w:left="0" w:right="0" w:hanging="0"/>
              <w:jc w:val="center"/>
              <w:rPr/>
            </w:pPr>
            <w:r>
              <w:rPr/>
              <w:t> </w:t>
            </w:r>
          </w:p>
        </w:tc>
        <w:tc>
          <w:tcPr>
            <w:tcW w:w="1802"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Grants </w:t>
            </w:r>
            <w:r>
              <w:rPr>
                <w:b/>
                <w:sz w:val="8"/>
              </w:rPr>
              <w:t>(1)</w:t>
            </w:r>
          </w:p>
        </w:tc>
        <w:tc>
          <w:tcPr>
            <w:tcW w:w="168" w:type="dxa"/>
            <w:tcBorders/>
            <w:shd w:fill="auto" w:val="clear"/>
            <w:vAlign w:val="bottom"/>
          </w:tcPr>
          <w:p>
            <w:pPr>
              <w:pStyle w:val="TableContents"/>
              <w:spacing w:before="0" w:after="0"/>
              <w:ind w:left="0" w:right="0" w:hanging="0"/>
              <w:jc w:val="center"/>
              <w:rPr/>
            </w:pPr>
            <w:r>
              <w:rPr/>
              <w:t> </w:t>
            </w:r>
          </w:p>
        </w:tc>
        <w:tc>
          <w:tcPr>
            <w:tcW w:w="1371"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Outstanding </w:t>
            </w:r>
            <w:r>
              <w:rPr>
                <w:b/>
                <w:sz w:val="8"/>
              </w:rPr>
              <w:t>(1)</w:t>
            </w:r>
          </w:p>
        </w:tc>
        <w:tc>
          <w:tcPr>
            <w:tcW w:w="149" w:type="dxa"/>
            <w:tcBorders/>
            <w:shd w:fill="auto" w:val="clear"/>
            <w:vAlign w:val="bottom"/>
          </w:tcPr>
          <w:p>
            <w:pPr>
              <w:pStyle w:val="TableContents"/>
              <w:spacing w:before="0" w:after="0"/>
              <w:ind w:left="0" w:right="0" w:hanging="0"/>
              <w:jc w:val="center"/>
              <w:rPr/>
            </w:pPr>
            <w:r>
              <w:rPr/>
              <w:t> </w:t>
            </w:r>
          </w:p>
        </w:tc>
        <w:tc>
          <w:tcPr>
            <w:tcW w:w="1638"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Earned </w:t>
            </w:r>
            <w:r>
              <w:rPr>
                <w:b/>
                <w:sz w:val="8"/>
              </w:rPr>
              <w:t>(1)</w:t>
            </w:r>
          </w:p>
        </w:tc>
        <w:tc>
          <w:tcPr>
            <w:tcW w:w="102" w:type="dxa"/>
            <w:tcBorders/>
            <w:shd w:fill="auto" w:val="clear"/>
            <w:vAlign w:val="bottom"/>
          </w:tcPr>
          <w:p>
            <w:pPr>
              <w:pStyle w:val="TableContents"/>
              <w:spacing w:before="0" w:after="0"/>
              <w:ind w:left="0" w:right="0" w:hanging="0"/>
              <w:jc w:val="center"/>
              <w:rPr/>
            </w:pPr>
            <w:r>
              <w:rPr/>
              <w:t> </w:t>
            </w:r>
          </w:p>
        </w:tc>
        <w:tc>
          <w:tcPr>
            <w:tcW w:w="102" w:type="dxa"/>
            <w:tcBorders/>
            <w:shd w:fill="auto" w:val="clear"/>
            <w:vAlign w:val="bottom"/>
          </w:tcPr>
          <w:p>
            <w:pPr>
              <w:pStyle w:val="TableContents"/>
              <w:spacing w:before="0" w:after="0"/>
              <w:ind w:left="0" w:right="0" w:hanging="0"/>
              <w:jc w:val="center"/>
              <w:rPr/>
            </w:pPr>
            <w:r>
              <w:rPr/>
              <w:t> </w:t>
            </w:r>
          </w:p>
        </w:tc>
        <w:tc>
          <w:tcPr>
            <w:tcW w:w="2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08" w:type="dxa"/>
            <w:tcBorders/>
            <w:shd w:fill="auto" w:val="clear"/>
            <w:vAlign w:val="bottom"/>
          </w:tcPr>
          <w:p>
            <w:pPr>
              <w:pStyle w:val="TableContents"/>
              <w:spacing w:before="0" w:after="0"/>
              <w:ind w:left="0" w:right="0" w:hanging="0"/>
              <w:jc w:val="center"/>
              <w:rPr/>
            </w:pPr>
            <w:r>
              <w:rPr/>
              <w:t> </w:t>
            </w:r>
          </w:p>
        </w:tc>
      </w:tr>
      <w:tr>
        <w:trPr/>
        <w:tc>
          <w:tcPr>
            <w:tcW w:w="2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Balance at December 31, 2012 </w:t>
            </w:r>
          </w:p>
        </w:tc>
        <w:tc>
          <w:tcPr>
            <w:tcW w:w="149" w:type="dxa"/>
            <w:tcBorders/>
            <w:shd w:fill="CCEEFF" w:val="clear"/>
            <w:vAlign w:val="bottom"/>
          </w:tcPr>
          <w:p>
            <w:pPr>
              <w:pStyle w:val="TableContents"/>
              <w:spacing w:before="0" w:after="0"/>
              <w:ind w:left="0" w:right="0" w:hanging="0"/>
              <w:rPr/>
            </w:pPr>
            <w:r>
              <w:rPr/>
              <w:t> </w:t>
            </w:r>
          </w:p>
        </w:tc>
        <w:tc>
          <w:tcPr>
            <w:tcW w:w="180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17,875</w:t>
            </w:r>
          </w:p>
        </w:tc>
        <w:tc>
          <w:tcPr>
            <w:tcW w:w="168" w:type="dxa"/>
            <w:tcBorders/>
            <w:shd w:fill="CCEEFF" w:val="clear"/>
            <w:vAlign w:val="bottom"/>
          </w:tcPr>
          <w:p>
            <w:pPr>
              <w:pStyle w:val="TableContents"/>
              <w:spacing w:before="0" w:after="0"/>
              <w:ind w:left="0" w:right="0" w:hanging="0"/>
              <w:rPr/>
            </w:pPr>
            <w:r>
              <w:rPr/>
              <w:t> </w:t>
            </w:r>
          </w:p>
        </w:tc>
        <w:tc>
          <w:tcPr>
            <w:tcW w:w="13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182,125</w:t>
            </w:r>
          </w:p>
        </w:tc>
        <w:tc>
          <w:tcPr>
            <w:tcW w:w="149" w:type="dxa"/>
            <w:tcBorders/>
            <w:shd w:fill="CCEEFF" w:val="clear"/>
            <w:vAlign w:val="bottom"/>
          </w:tcPr>
          <w:p>
            <w:pPr>
              <w:pStyle w:val="TableContents"/>
              <w:spacing w:before="0" w:after="0"/>
              <w:ind w:left="0" w:right="0" w:hanging="0"/>
              <w:rPr/>
            </w:pPr>
            <w:r>
              <w:rPr/>
              <w:t> </w:t>
            </w:r>
          </w:p>
        </w:tc>
        <w:tc>
          <w:tcPr>
            <w:tcW w:w="16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130,250</w:t>
            </w:r>
          </w:p>
        </w:tc>
        <w:tc>
          <w:tcPr>
            <w:tcW w:w="10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55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4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08" w:type="dxa"/>
            <w:tcBorders/>
            <w:shd w:fill="CCEEFF" w:val="clear"/>
            <w:vAlign w:val="bottom"/>
          </w:tcPr>
          <w:p>
            <w:pPr>
              <w:pStyle w:val="TableContents"/>
              <w:spacing w:before="0" w:after="0"/>
              <w:ind w:left="0" w:right="0" w:hanging="0"/>
              <w:rPr/>
            </w:pPr>
            <w:r>
              <w:rPr/>
              <w:t> </w:t>
            </w:r>
          </w:p>
        </w:tc>
      </w:tr>
      <w:tr>
        <w:trPr/>
        <w:tc>
          <w:tcPr>
            <w:tcW w:w="2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Granted </w:t>
            </w:r>
          </w:p>
        </w:tc>
        <w:tc>
          <w:tcPr>
            <w:tcW w:w="149" w:type="dxa"/>
            <w:tcBorders/>
            <w:shd w:fill="auto" w:val="clear"/>
            <w:vAlign w:val="bottom"/>
          </w:tcPr>
          <w:p>
            <w:pPr>
              <w:pStyle w:val="TableContents"/>
              <w:spacing w:before="0" w:after="0"/>
              <w:ind w:left="0" w:right="0" w:hanging="0"/>
              <w:rPr/>
            </w:pPr>
            <w:r>
              <w:rPr/>
              <w:t> </w:t>
            </w:r>
          </w:p>
        </w:tc>
        <w:tc>
          <w:tcPr>
            <w:tcW w:w="18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w:t>
            </w:r>
          </w:p>
        </w:tc>
        <w:tc>
          <w:tcPr>
            <w:tcW w:w="149" w:type="dxa"/>
            <w:tcBorders/>
            <w:shd w:fill="auto" w:val="clear"/>
            <w:vAlign w:val="bottom"/>
          </w:tcPr>
          <w:p>
            <w:pPr>
              <w:pStyle w:val="TableContents"/>
              <w:spacing w:before="0" w:after="0"/>
              <w:ind w:left="0" w:right="0" w:hanging="0"/>
              <w:rPr/>
            </w:pPr>
            <w:r>
              <w:rPr/>
              <w:t> </w:t>
            </w:r>
          </w:p>
        </w:tc>
        <w:tc>
          <w:tcPr>
            <w:tcW w:w="16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2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08" w:type="dxa"/>
            <w:tcBorders/>
            <w:shd w:fill="auto" w:val="clear"/>
            <w:vAlign w:val="bottom"/>
          </w:tcPr>
          <w:p>
            <w:pPr>
              <w:pStyle w:val="TableContents"/>
              <w:spacing w:before="0" w:after="0"/>
              <w:ind w:left="0" w:right="0" w:hanging="0"/>
              <w:rPr/>
            </w:pPr>
            <w:r>
              <w:rPr/>
              <w:t> </w:t>
            </w:r>
          </w:p>
        </w:tc>
      </w:tr>
      <w:tr>
        <w:trPr/>
        <w:tc>
          <w:tcPr>
            <w:tcW w:w="23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Earned </w:t>
            </w:r>
          </w:p>
        </w:tc>
        <w:tc>
          <w:tcPr>
            <w:tcW w:w="149" w:type="dxa"/>
            <w:tcBorders/>
            <w:shd w:fill="CCEEFF" w:val="clear"/>
            <w:vAlign w:val="bottom"/>
          </w:tcPr>
          <w:p>
            <w:pPr>
              <w:pStyle w:val="TableContents"/>
              <w:spacing w:before="0" w:after="0"/>
              <w:ind w:left="0" w:right="0" w:hanging="0"/>
              <w:rPr/>
            </w:pPr>
            <w:r>
              <w:rPr/>
              <w:t> </w:t>
            </w:r>
          </w:p>
        </w:tc>
        <w:tc>
          <w:tcPr>
            <w:tcW w:w="180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68" w:type="dxa"/>
            <w:tcBorders/>
            <w:shd w:fill="CCEEFF" w:val="clear"/>
            <w:vAlign w:val="bottom"/>
          </w:tcPr>
          <w:p>
            <w:pPr>
              <w:pStyle w:val="TableContents"/>
              <w:spacing w:before="0" w:after="0"/>
              <w:ind w:left="0" w:right="0" w:hanging="0"/>
              <w:rPr/>
            </w:pPr>
            <w:r>
              <w:rPr/>
              <w:t> </w:t>
            </w:r>
          </w:p>
        </w:tc>
        <w:tc>
          <w:tcPr>
            <w:tcW w:w="137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49" w:type="dxa"/>
            <w:tcBorders/>
            <w:shd w:fill="CCEEFF" w:val="clear"/>
            <w:vAlign w:val="bottom"/>
          </w:tcPr>
          <w:p>
            <w:pPr>
              <w:pStyle w:val="TableContents"/>
              <w:spacing w:before="0" w:after="0"/>
              <w:ind w:left="0" w:right="0" w:hanging="0"/>
              <w:rPr/>
            </w:pPr>
            <w:r>
              <w:rPr/>
              <w:t> </w:t>
            </w:r>
          </w:p>
        </w:tc>
        <w:tc>
          <w:tcPr>
            <w:tcW w:w="163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50,125</w:t>
            </w:r>
          </w:p>
        </w:tc>
        <w:tc>
          <w:tcPr>
            <w:tcW w:w="10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pPr>
            <w:r>
              <w:rPr/>
              <w:t> </w:t>
            </w:r>
          </w:p>
        </w:tc>
        <w:tc>
          <w:tcPr>
            <w:tcW w:w="23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08" w:type="dxa"/>
            <w:tcBorders/>
            <w:shd w:fill="CCEEFF" w:val="clear"/>
            <w:vAlign w:val="bottom"/>
          </w:tcPr>
          <w:p>
            <w:pPr>
              <w:pStyle w:val="TableContents"/>
              <w:spacing w:before="0" w:after="0"/>
              <w:ind w:left="0" w:right="0" w:hanging="0"/>
              <w:rPr/>
            </w:pPr>
            <w:r>
              <w:rPr/>
              <w:t> </w:t>
            </w:r>
          </w:p>
        </w:tc>
      </w:tr>
      <w:tr>
        <w:trPr/>
        <w:tc>
          <w:tcPr>
            <w:tcW w:w="23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Balance at September 30, 2013 </w:t>
            </w:r>
          </w:p>
        </w:tc>
        <w:tc>
          <w:tcPr>
            <w:tcW w:w="149" w:type="dxa"/>
            <w:tcBorders/>
            <w:shd w:fill="auto" w:val="clear"/>
            <w:vAlign w:val="bottom"/>
          </w:tcPr>
          <w:p>
            <w:pPr>
              <w:pStyle w:val="TableContents"/>
              <w:spacing w:before="0" w:after="0"/>
              <w:ind w:left="0" w:right="0" w:hanging="0"/>
              <w:rPr/>
            </w:pPr>
            <w:r>
              <w:rPr/>
              <w:t> </w:t>
            </w:r>
          </w:p>
        </w:tc>
        <w:tc>
          <w:tcPr>
            <w:tcW w:w="180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13,375</w:t>
            </w:r>
          </w:p>
        </w:tc>
        <w:tc>
          <w:tcPr>
            <w:tcW w:w="168" w:type="dxa"/>
            <w:tcBorders/>
            <w:shd w:fill="auto" w:val="clear"/>
            <w:vAlign w:val="bottom"/>
          </w:tcPr>
          <w:p>
            <w:pPr>
              <w:pStyle w:val="TableContents"/>
              <w:spacing w:before="0" w:after="0"/>
              <w:ind w:left="0" w:right="0" w:hanging="0"/>
              <w:rPr/>
            </w:pPr>
            <w:r>
              <w:rPr/>
              <w:t> </w:t>
            </w:r>
          </w:p>
        </w:tc>
        <w:tc>
          <w:tcPr>
            <w:tcW w:w="13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186,625</w:t>
            </w:r>
          </w:p>
        </w:tc>
        <w:tc>
          <w:tcPr>
            <w:tcW w:w="149" w:type="dxa"/>
            <w:tcBorders/>
            <w:shd w:fill="auto" w:val="clear"/>
            <w:vAlign w:val="bottom"/>
          </w:tcPr>
          <w:p>
            <w:pPr>
              <w:pStyle w:val="TableContents"/>
              <w:spacing w:before="0" w:after="0"/>
              <w:ind w:left="0" w:right="0" w:hanging="0"/>
              <w:rPr/>
            </w:pPr>
            <w:r>
              <w:rPr/>
              <w:t> </w:t>
            </w:r>
          </w:p>
        </w:tc>
        <w:tc>
          <w:tcPr>
            <w:tcW w:w="16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180,375</w:t>
            </w:r>
          </w:p>
        </w:tc>
        <w:tc>
          <w:tcPr>
            <w:tcW w:w="10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0"/>
              <w:ind w:left="0" w:right="0" w:hanging="0"/>
              <w:rPr/>
            </w:pPr>
            <w:r>
              <w:rPr/>
              <w:t> </w:t>
            </w:r>
          </w:p>
        </w:tc>
        <w:tc>
          <w:tcPr>
            <w:tcW w:w="55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4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0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 connection with PAGPs IPO and the recapitalization of AAP on October 21, 2013, the number of Class B Units of AAP was adjusted; as such, as of such date, the number of Class B Units of AAP reserved for future grants, outstanding and earned following this adjustment was 3,483,102 units, 48,642,833 units and 47,013,803 units, respectively. See Note 15 for further discussion of PAGPs IPO.</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Of the grant date fair value, approximately $4 million was recognized as expense during the nine months ended September 30,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Special PAA Awards.</w:t>
      </w:r>
      <w:r>
        <w:rPr>
          <w:rFonts w:ascii="Times New Roman" w:hAnsi="Times New Roman"/>
        </w:rPr>
        <w:t xml:space="preserve"> </w:t>
      </w:r>
      <w:r>
        <w:rPr>
          <w:rFonts w:ascii="Times New Roman" w:hAnsi="Times New Roman"/>
          <w:sz w:val="17"/>
        </w:rPr>
        <w:t>In February 2013, 143,000 Special PAA Awards were granted to certain members of PNGs management.  These awards are denominated in PAA common units and will vest 50% on PAAs August 2018 distribution date and 50% on PAAs August 2019 distribution date provided that PNGs annualized distribution averages at least $1.48 and $1.43 per unit, respectively, for the twelve months prior to each vesting date. DERs associated with these awards vested in November 2013. Any unvested Special PAA Awards that remain outstanding on December 31, 2020 will be forfeited.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35" w:name="PB_16_151730_5796"/>
      <w:bookmarkEnd w:id="3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PAA and PNG LTIP Awards.</w:t>
      </w:r>
      <w:r>
        <w:rPr>
          <w:rFonts w:ascii="Times New Roman" w:hAnsi="Times New Roman"/>
        </w:rPr>
        <w:t xml:space="preserve"> </w:t>
      </w:r>
      <w:r>
        <w:rPr>
          <w:rFonts w:ascii="Times New Roman" w:hAnsi="Times New Roman"/>
          <w:sz w:val="17"/>
        </w:rPr>
        <w:t>Equity compensation activity for LTIP awards denominated in PAA and PNG units is summarized in the following table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78"/>
        <w:gridCol w:w="176"/>
        <w:gridCol w:w="1066"/>
        <w:gridCol w:w="198"/>
        <w:gridCol w:w="309"/>
        <w:gridCol w:w="1981"/>
        <w:gridCol w:w="176"/>
        <w:gridCol w:w="1037"/>
        <w:gridCol w:w="176"/>
        <w:gridCol w:w="310"/>
        <w:gridCol w:w="1980"/>
        <w:gridCol w:w="118"/>
      </w:tblGrid>
      <w:tr>
        <w:trPr/>
        <w:tc>
          <w:tcPr>
            <w:tcW w:w="2678"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355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PAA Units </w:t>
            </w:r>
            <w:r>
              <w:rPr>
                <w:b/>
                <w:sz w:val="8"/>
              </w:rPr>
              <w:t>(1)</w:t>
            </w:r>
            <w:r>
              <w:rPr/>
              <w:t> </w:t>
            </w:r>
            <w:r>
              <w:rPr>
                <w:b/>
                <w:sz w:val="8"/>
              </w:rPr>
              <w:t>(2)</w:t>
            </w:r>
            <w:r>
              <w:rPr/>
              <w:t> </w:t>
            </w:r>
            <w:r>
              <w:rPr>
                <w:b/>
                <w:sz w:val="8"/>
              </w:rPr>
              <w:t>(3)</w:t>
            </w:r>
          </w:p>
        </w:tc>
        <w:tc>
          <w:tcPr>
            <w:tcW w:w="176" w:type="dxa"/>
            <w:tcBorders/>
            <w:shd w:fill="auto" w:val="clear"/>
            <w:vAlign w:val="bottom"/>
          </w:tcPr>
          <w:p>
            <w:pPr>
              <w:pStyle w:val="TableContents"/>
              <w:spacing w:before="0" w:after="0"/>
              <w:ind w:left="0" w:right="0" w:hanging="0"/>
              <w:jc w:val="center"/>
              <w:rPr/>
            </w:pPr>
            <w:r>
              <w:rPr/>
              <w:t> </w:t>
            </w:r>
          </w:p>
        </w:tc>
        <w:tc>
          <w:tcPr>
            <w:tcW w:w="350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PNG Units </w:t>
            </w:r>
            <w:r>
              <w:rPr>
                <w:b/>
                <w:sz w:val="8"/>
              </w:rPr>
              <w:t>(4)</w:t>
            </w:r>
          </w:p>
        </w:tc>
        <w:tc>
          <w:tcPr>
            <w:tcW w:w="118" w:type="dxa"/>
            <w:tcBorders/>
            <w:shd w:fill="auto" w:val="clear"/>
            <w:vAlign w:val="bottom"/>
          </w:tcPr>
          <w:p>
            <w:pPr>
              <w:pStyle w:val="TableContents"/>
              <w:spacing w:before="0" w:after="0"/>
              <w:ind w:left="0" w:right="0" w:hanging="0"/>
              <w:jc w:val="center"/>
              <w:rPr/>
            </w:pPr>
            <w:r>
              <w:rPr/>
              <w:t> </w:t>
            </w:r>
          </w:p>
        </w:tc>
      </w:tr>
      <w:tr>
        <w:trPr/>
        <w:tc>
          <w:tcPr>
            <w:tcW w:w="2678"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06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98" w:type="dxa"/>
            <w:tcBorders/>
            <w:shd w:fill="auto" w:val="clear"/>
            <w:vAlign w:val="bottom"/>
          </w:tcPr>
          <w:p>
            <w:pPr>
              <w:pStyle w:val="TableContents"/>
              <w:spacing w:before="0" w:after="0"/>
              <w:ind w:left="0" w:right="0" w:hanging="0"/>
              <w:jc w:val="center"/>
              <w:rPr/>
            </w:pPr>
            <w:r>
              <w:rPr/>
              <w:t> </w:t>
            </w:r>
          </w:p>
        </w:tc>
        <w:tc>
          <w:tcPr>
            <w:tcW w:w="229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176" w:type="dxa"/>
            <w:tcBorders/>
            <w:shd w:fill="auto" w:val="clear"/>
            <w:vAlign w:val="bottom"/>
          </w:tcPr>
          <w:p>
            <w:pPr>
              <w:pStyle w:val="TableContents"/>
              <w:spacing w:before="0" w:after="0"/>
              <w:ind w:left="0" w:right="0" w:hanging="0"/>
              <w:jc w:val="center"/>
              <w:rPr/>
            </w:pPr>
            <w:r>
              <w:rPr/>
              <w:t> </w:t>
            </w:r>
          </w:p>
        </w:tc>
        <w:tc>
          <w:tcPr>
            <w:tcW w:w="10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29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118" w:type="dxa"/>
            <w:tcBorders/>
            <w:shd w:fill="auto" w:val="clear"/>
            <w:vAlign w:val="bottom"/>
          </w:tcPr>
          <w:p>
            <w:pPr>
              <w:pStyle w:val="TableContents"/>
              <w:spacing w:before="0" w:after="0"/>
              <w:ind w:left="0" w:right="0" w:hanging="0"/>
              <w:jc w:val="center"/>
              <w:rPr/>
            </w:pPr>
            <w:r>
              <w:rPr/>
              <w:t> </w:t>
            </w:r>
          </w:p>
        </w:tc>
      </w:tr>
      <w:tr>
        <w:trPr/>
        <w:tc>
          <w:tcPr>
            <w:tcW w:w="26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Outstanding at December 31, 2012 </w:t>
            </w:r>
          </w:p>
        </w:tc>
        <w:tc>
          <w:tcPr>
            <w:tcW w:w="176" w:type="dxa"/>
            <w:tcBorders/>
            <w:shd w:fill="CCEEFF" w:val="clear"/>
            <w:vAlign w:val="bottom"/>
          </w:tcPr>
          <w:p>
            <w:pPr>
              <w:pStyle w:val="TableContents"/>
              <w:spacing w:before="0" w:after="0"/>
              <w:ind w:left="0" w:right="0" w:hanging="0"/>
              <w:rPr/>
            </w:pPr>
            <w:r>
              <w:rPr/>
              <w:t> </w:t>
            </w:r>
          </w:p>
        </w:tc>
        <w:tc>
          <w:tcPr>
            <w:tcW w:w="10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98"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25.55</w:t>
            </w:r>
          </w:p>
        </w:tc>
        <w:tc>
          <w:tcPr>
            <w:tcW w:w="176" w:type="dxa"/>
            <w:tcBorders/>
            <w:shd w:fill="CCEEFF" w:val="clear"/>
            <w:vAlign w:val="bottom"/>
          </w:tcPr>
          <w:p>
            <w:pPr>
              <w:pStyle w:val="TableContents"/>
              <w:spacing w:before="0" w:after="0"/>
              <w:ind w:left="0" w:right="0" w:hanging="0"/>
              <w:rPr/>
            </w:pPr>
            <w:r>
              <w:rPr/>
              <w:t> </w:t>
            </w:r>
          </w:p>
        </w:tc>
        <w:tc>
          <w:tcPr>
            <w:tcW w:w="10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w:t>
            </w:r>
          </w:p>
        </w:tc>
        <w:tc>
          <w:tcPr>
            <w:tcW w:w="176" w:type="dxa"/>
            <w:tcBorders/>
            <w:shd w:fill="CCEEFF" w:val="clear"/>
            <w:vAlign w:val="bottom"/>
          </w:tcPr>
          <w:p>
            <w:pPr>
              <w:pStyle w:val="TableContents"/>
              <w:spacing w:before="0" w:after="0"/>
              <w:ind w:left="0" w:right="0" w:hanging="0"/>
              <w:rPr/>
            </w:pPr>
            <w:r>
              <w:rPr/>
              <w:t> </w:t>
            </w:r>
          </w:p>
        </w:tc>
        <w:tc>
          <w:tcPr>
            <w:tcW w:w="3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17.49</w:t>
            </w:r>
          </w:p>
        </w:tc>
        <w:tc>
          <w:tcPr>
            <w:tcW w:w="118" w:type="dxa"/>
            <w:tcBorders/>
            <w:shd w:fill="CCEEFF" w:val="clear"/>
            <w:vAlign w:val="bottom"/>
          </w:tcPr>
          <w:p>
            <w:pPr>
              <w:pStyle w:val="TableContents"/>
              <w:spacing w:before="0" w:after="0"/>
              <w:ind w:left="0" w:right="0" w:hanging="0"/>
              <w:rPr/>
            </w:pPr>
            <w:r>
              <w:rPr/>
              <w:t> </w:t>
            </w:r>
          </w:p>
        </w:tc>
      </w:tr>
      <w:tr>
        <w:trPr/>
        <w:tc>
          <w:tcPr>
            <w:tcW w:w="26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Granted </w:t>
            </w:r>
          </w:p>
        </w:tc>
        <w:tc>
          <w:tcPr>
            <w:tcW w:w="176" w:type="dxa"/>
            <w:tcBorders/>
            <w:shd w:fill="auto" w:val="clear"/>
            <w:vAlign w:val="bottom"/>
          </w:tcPr>
          <w:p>
            <w:pPr>
              <w:pStyle w:val="TableContents"/>
              <w:spacing w:before="0" w:after="0"/>
              <w:ind w:left="0" w:right="0" w:hanging="0"/>
              <w:rPr/>
            </w:pPr>
            <w:r>
              <w:rPr/>
              <w:t> </w:t>
            </w:r>
          </w:p>
        </w:tc>
        <w:tc>
          <w:tcPr>
            <w:tcW w:w="10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98" w:type="dxa"/>
            <w:tcBorders/>
            <w:shd w:fill="auto" w:val="clear"/>
            <w:vAlign w:val="bottom"/>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47.60</w:t>
            </w:r>
          </w:p>
        </w:tc>
        <w:tc>
          <w:tcPr>
            <w:tcW w:w="176" w:type="dxa"/>
            <w:tcBorders/>
            <w:shd w:fill="auto" w:val="clear"/>
            <w:vAlign w:val="bottom"/>
          </w:tcPr>
          <w:p>
            <w:pPr>
              <w:pStyle w:val="TableContents"/>
              <w:spacing w:before="0" w:after="0"/>
              <w:ind w:left="0" w:right="0" w:hanging="0"/>
              <w:rPr/>
            </w:pPr>
            <w:r>
              <w:rPr/>
              <w:t> </w:t>
            </w:r>
          </w:p>
        </w:tc>
        <w:tc>
          <w:tcPr>
            <w:tcW w:w="10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176" w:type="dxa"/>
            <w:tcBorders/>
            <w:shd w:fill="auto" w:val="clear"/>
            <w:vAlign w:val="bottom"/>
          </w:tcPr>
          <w:p>
            <w:pPr>
              <w:pStyle w:val="TableContents"/>
              <w:spacing w:before="0" w:after="0"/>
              <w:ind w:left="0" w:right="0" w:hanging="0"/>
              <w:rPr/>
            </w:pPr>
            <w:r>
              <w:rPr/>
              <w:t> </w:t>
            </w:r>
          </w:p>
        </w:tc>
        <w:tc>
          <w:tcPr>
            <w:tcW w:w="3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17.51</w:t>
            </w:r>
          </w:p>
        </w:tc>
        <w:tc>
          <w:tcPr>
            <w:tcW w:w="118" w:type="dxa"/>
            <w:tcBorders/>
            <w:shd w:fill="auto" w:val="clear"/>
            <w:vAlign w:val="bottom"/>
          </w:tcPr>
          <w:p>
            <w:pPr>
              <w:pStyle w:val="TableContents"/>
              <w:spacing w:before="0" w:after="0"/>
              <w:ind w:left="0" w:right="0" w:hanging="0"/>
              <w:rPr/>
            </w:pPr>
            <w:r>
              <w:rPr/>
              <w:t> </w:t>
            </w:r>
          </w:p>
        </w:tc>
      </w:tr>
      <w:tr>
        <w:trPr/>
        <w:tc>
          <w:tcPr>
            <w:tcW w:w="26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Vested </w:t>
            </w:r>
          </w:p>
        </w:tc>
        <w:tc>
          <w:tcPr>
            <w:tcW w:w="176" w:type="dxa"/>
            <w:tcBorders/>
            <w:shd w:fill="CCEEFF" w:val="clear"/>
            <w:vAlign w:val="bottom"/>
          </w:tcPr>
          <w:p>
            <w:pPr>
              <w:pStyle w:val="TableContents"/>
              <w:spacing w:before="0" w:after="0"/>
              <w:ind w:left="0" w:right="0" w:hanging="0"/>
              <w:rPr/>
            </w:pPr>
            <w:r>
              <w:rPr/>
              <w:t> </w:t>
            </w:r>
          </w:p>
        </w:tc>
        <w:tc>
          <w:tcPr>
            <w:tcW w:w="106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24.82</w:t>
            </w:r>
          </w:p>
        </w:tc>
        <w:tc>
          <w:tcPr>
            <w:tcW w:w="176" w:type="dxa"/>
            <w:tcBorders/>
            <w:shd w:fill="CCEEFF" w:val="clear"/>
            <w:vAlign w:val="bottom"/>
          </w:tcPr>
          <w:p>
            <w:pPr>
              <w:pStyle w:val="TableContents"/>
              <w:spacing w:before="0" w:after="0"/>
              <w:ind w:left="0" w:right="0" w:hanging="0"/>
              <w:rPr/>
            </w:pPr>
            <w:r>
              <w:rPr/>
              <w:t> </w:t>
            </w:r>
          </w:p>
        </w:tc>
        <w:tc>
          <w:tcPr>
            <w:tcW w:w="10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3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18.88</w:t>
            </w:r>
          </w:p>
        </w:tc>
        <w:tc>
          <w:tcPr>
            <w:tcW w:w="118" w:type="dxa"/>
            <w:tcBorders/>
            <w:shd w:fill="CCEEFF" w:val="clear"/>
            <w:vAlign w:val="bottom"/>
          </w:tcPr>
          <w:p>
            <w:pPr>
              <w:pStyle w:val="TableContents"/>
              <w:spacing w:before="0" w:after="0"/>
              <w:ind w:left="0" w:right="0" w:hanging="0"/>
              <w:rPr/>
            </w:pPr>
            <w:r>
              <w:rPr/>
              <w:t> </w:t>
            </w:r>
          </w:p>
        </w:tc>
      </w:tr>
      <w:tr>
        <w:trPr/>
        <w:tc>
          <w:tcPr>
            <w:tcW w:w="26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Cancelled or forfeited </w:t>
            </w:r>
          </w:p>
        </w:tc>
        <w:tc>
          <w:tcPr>
            <w:tcW w:w="176" w:type="dxa"/>
            <w:tcBorders/>
            <w:shd w:fill="auto" w:val="clear"/>
            <w:vAlign w:val="bottom"/>
          </w:tcPr>
          <w:p>
            <w:pPr>
              <w:pStyle w:val="TableContents"/>
              <w:spacing w:before="0" w:after="0"/>
              <w:ind w:left="0" w:right="0" w:hanging="0"/>
              <w:rPr/>
            </w:pPr>
            <w:r>
              <w:rPr/>
              <w:t> </w:t>
            </w:r>
          </w:p>
        </w:tc>
        <w:tc>
          <w:tcPr>
            <w:tcW w:w="106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36.32</w:t>
            </w:r>
          </w:p>
        </w:tc>
        <w:tc>
          <w:tcPr>
            <w:tcW w:w="176" w:type="dxa"/>
            <w:tcBorders/>
            <w:shd w:fill="auto" w:val="clear"/>
            <w:vAlign w:val="bottom"/>
          </w:tcPr>
          <w:p>
            <w:pPr>
              <w:pStyle w:val="TableContents"/>
              <w:spacing w:before="0" w:after="0"/>
              <w:ind w:left="0" w:right="0" w:hanging="0"/>
              <w:rPr/>
            </w:pPr>
            <w:r>
              <w:rPr/>
              <w:t> </w:t>
            </w:r>
          </w:p>
        </w:tc>
        <w:tc>
          <w:tcPr>
            <w:tcW w:w="10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auto" w:val="clear"/>
            <w:vAlign w:val="bottom"/>
          </w:tcPr>
          <w:p>
            <w:pPr>
              <w:pStyle w:val="TableContents"/>
              <w:spacing w:before="0" w:after="0"/>
              <w:ind w:left="0" w:right="0" w:hanging="0"/>
              <w:rPr/>
            </w:pPr>
            <w:r>
              <w:rPr/>
              <w:t> </w:t>
            </w:r>
          </w:p>
        </w:tc>
        <w:tc>
          <w:tcPr>
            <w:tcW w:w="3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13.33</w:t>
            </w:r>
          </w:p>
        </w:tc>
        <w:tc>
          <w:tcPr>
            <w:tcW w:w="118" w:type="dxa"/>
            <w:tcBorders/>
            <w:shd w:fill="auto" w:val="clear"/>
            <w:vAlign w:val="bottom"/>
          </w:tcPr>
          <w:p>
            <w:pPr>
              <w:pStyle w:val="TableContents"/>
              <w:spacing w:before="0" w:after="0"/>
              <w:ind w:left="0" w:right="0" w:hanging="0"/>
              <w:rPr/>
            </w:pPr>
            <w:r>
              <w:rPr/>
              <w:t> </w:t>
            </w:r>
          </w:p>
        </w:tc>
      </w:tr>
      <w:tr>
        <w:trPr/>
        <w:tc>
          <w:tcPr>
            <w:tcW w:w="26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Outstanding at September 30, 2013 </w:t>
            </w:r>
          </w:p>
        </w:tc>
        <w:tc>
          <w:tcPr>
            <w:tcW w:w="176" w:type="dxa"/>
            <w:tcBorders/>
            <w:shd w:fill="CCEEFF" w:val="clear"/>
            <w:vAlign w:val="bottom"/>
          </w:tcPr>
          <w:p>
            <w:pPr>
              <w:pStyle w:val="TableContents"/>
              <w:spacing w:before="0" w:after="0"/>
              <w:ind w:left="0" w:right="0" w:hanging="0"/>
              <w:rPr/>
            </w:pPr>
            <w:r>
              <w:rPr/>
              <w:t> </w:t>
            </w:r>
          </w:p>
        </w:tc>
        <w:tc>
          <w:tcPr>
            <w:tcW w:w="10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98"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36.74</w:t>
            </w:r>
          </w:p>
        </w:tc>
        <w:tc>
          <w:tcPr>
            <w:tcW w:w="176" w:type="dxa"/>
            <w:tcBorders/>
            <w:shd w:fill="CCEEFF" w:val="clear"/>
            <w:vAlign w:val="bottom"/>
          </w:tcPr>
          <w:p>
            <w:pPr>
              <w:pStyle w:val="TableContents"/>
              <w:spacing w:before="0" w:after="0"/>
              <w:ind w:left="0" w:right="0" w:hanging="0"/>
              <w:rPr/>
            </w:pPr>
            <w:r>
              <w:rPr/>
              <w:t> </w:t>
            </w:r>
          </w:p>
        </w:tc>
        <w:tc>
          <w:tcPr>
            <w:tcW w:w="10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76" w:type="dxa"/>
            <w:tcBorders/>
            <w:shd w:fill="CCEEFF" w:val="clear"/>
            <w:vAlign w:val="bottom"/>
          </w:tcPr>
          <w:p>
            <w:pPr>
              <w:pStyle w:val="TableContents"/>
              <w:spacing w:before="0" w:after="0"/>
              <w:ind w:left="0" w:right="0" w:hanging="0"/>
              <w:rPr/>
            </w:pPr>
            <w:r>
              <w:rPr/>
              <w:t> </w:t>
            </w:r>
          </w:p>
        </w:tc>
        <w:tc>
          <w:tcPr>
            <w:tcW w:w="3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17.55</w:t>
            </w:r>
          </w:p>
        </w:tc>
        <w:tc>
          <w:tcPr>
            <w:tcW w:w="11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do not include Class B Units of AAP.</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Amounts include Special PAA Awards.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Approximately 0.5 million PAA common units were issued, net of approximately 0.3 million units withheld for taxes, for PAA units that vested during the nine months ended September 30, 2013. The remaining 1.0 million PAA units that vested were settled in cash.</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Less than 0.1 million PNG units vested and less than 0.1 million units were forfeited during the nine months ended September 30,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2013, 2.4 million equity-classified phantom unit awards and 1.5 million liability-classified phantom unit awards were granted under the PAA LTIPs.  Substantially all of the equity-classified awards vest as follows: (i) one-third will vest upon the later of the August 2016 distribution date and the date PAA pays an annualized quarterly distribution of at least $2.35 per common unit, (ii) one-third will vest upon the later of the August 2017 distribution date and the date PAA pays an annualized quarterly distribution of at least $2.50 per common unit, and (iii) one-third will vest upon the later of the August 2018 distribution date and the date PAA pays an annualized quarterly distribution of at least $2.65 per unit.  Any of these equity-classified awards and associated DERs that have not vested as of the August 2019 distribution date will be forfeited.  Substantially all of the liability-classified awards are expected to vest on dates ranging from the August 2015 distribution date to the August 2018 distribution date and vest dependent on PAA paying annualized quarterly distributions ranging from $2.30 per common unit to $2.65 per common unit. Certain of these phantom unit awards include DERs that will vest in one-third increments upon achieving distributions of $2.35, $2.50 and $2.65 per common unit, without regard to the minimum service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November 2013, PAAs common unitholders approved the Plains All American 2013 Long Term Incentive Plan, which (i) consolidated PAAs three long-term incentive plans into a single plan through a consolidated amendment and restatement of the existing plans and (ii) authorized an incremental 7,000,000 PAA common units that may be issued under the long-term incentive plan.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Other Equity-Indexed Compensation Information.  </w:t>
      </w:r>
      <w:r>
        <w:rPr>
          <w:rFonts w:ascii="Times New Roman" w:hAnsi="Times New Roman"/>
          <w:sz w:val="17"/>
        </w:rPr>
        <w:t>The table below summarizes the expense recognized and the value of vesting (settled both in units and cash) related to equity-indexed compensation plans and includes both liability-classified and equity-classified awards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50"/>
        <w:gridCol w:w="205"/>
        <w:gridCol w:w="203"/>
        <w:gridCol w:w="1070"/>
        <w:gridCol w:w="235"/>
        <w:gridCol w:w="203"/>
        <w:gridCol w:w="1071"/>
        <w:gridCol w:w="205"/>
        <w:gridCol w:w="196"/>
        <w:gridCol w:w="1057"/>
        <w:gridCol w:w="231"/>
        <w:gridCol w:w="196"/>
        <w:gridCol w:w="1057"/>
        <w:gridCol w:w="126"/>
      </w:tblGrid>
      <w:tr>
        <w:trPr/>
        <w:tc>
          <w:tcPr>
            <w:tcW w:w="415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78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5" w:type="dxa"/>
            <w:tcBorders/>
            <w:shd w:fill="auto" w:val="clear"/>
            <w:vAlign w:val="bottom"/>
          </w:tcPr>
          <w:p>
            <w:pPr>
              <w:pStyle w:val="TableContents"/>
              <w:spacing w:before="0" w:after="0"/>
              <w:ind w:left="0" w:right="0" w:hanging="0"/>
              <w:jc w:val="center"/>
              <w:rPr/>
            </w:pPr>
            <w:r>
              <w:rPr/>
              <w:t> </w:t>
            </w:r>
          </w:p>
        </w:tc>
        <w:tc>
          <w:tcPr>
            <w:tcW w:w="273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6" w:type="dxa"/>
            <w:tcBorders/>
            <w:shd w:fill="auto" w:val="clear"/>
            <w:vAlign w:val="bottom"/>
          </w:tcPr>
          <w:p>
            <w:pPr>
              <w:pStyle w:val="TableContents"/>
              <w:spacing w:before="0" w:after="0"/>
              <w:ind w:left="0" w:right="0" w:hanging="0"/>
              <w:jc w:val="center"/>
              <w:rPr/>
            </w:pPr>
            <w:r>
              <w:rPr/>
              <w:t> </w:t>
            </w:r>
          </w:p>
        </w:tc>
      </w:tr>
      <w:tr>
        <w:trPr/>
        <w:tc>
          <w:tcPr>
            <w:tcW w:w="415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78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5" w:type="dxa"/>
            <w:tcBorders/>
            <w:shd w:fill="auto" w:val="clear"/>
            <w:vAlign w:val="bottom"/>
          </w:tcPr>
          <w:p>
            <w:pPr>
              <w:pStyle w:val="TableContents"/>
              <w:spacing w:before="0" w:after="0"/>
              <w:ind w:left="0" w:right="0" w:hanging="0"/>
              <w:jc w:val="center"/>
              <w:rPr/>
            </w:pPr>
            <w:r>
              <w:rPr/>
              <w:t> </w:t>
            </w:r>
          </w:p>
        </w:tc>
        <w:tc>
          <w:tcPr>
            <w:tcW w:w="273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6" w:type="dxa"/>
            <w:tcBorders/>
            <w:shd w:fill="auto" w:val="clear"/>
            <w:vAlign w:val="bottom"/>
          </w:tcPr>
          <w:p>
            <w:pPr>
              <w:pStyle w:val="TableContents"/>
              <w:spacing w:before="0" w:after="0"/>
              <w:ind w:left="0" w:right="0" w:hanging="0"/>
              <w:jc w:val="center"/>
              <w:rPr/>
            </w:pPr>
            <w:r>
              <w:rPr/>
              <w:t> </w:t>
            </w:r>
          </w:p>
        </w:tc>
      </w:tr>
      <w:tr>
        <w:trPr/>
        <w:tc>
          <w:tcPr>
            <w:tcW w:w="415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2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7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5" w:type="dxa"/>
            <w:tcBorders/>
            <w:shd w:fill="auto" w:val="clear"/>
            <w:vAlign w:val="bottom"/>
          </w:tcPr>
          <w:p>
            <w:pPr>
              <w:pStyle w:val="TableContents"/>
              <w:spacing w:before="0" w:after="0"/>
              <w:ind w:left="0" w:right="0" w:hanging="0"/>
              <w:jc w:val="center"/>
              <w:rPr/>
            </w:pPr>
            <w:r>
              <w:rPr/>
              <w:t> </w:t>
            </w:r>
          </w:p>
        </w:tc>
        <w:tc>
          <w:tcPr>
            <w:tcW w:w="12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6" w:type="dxa"/>
            <w:tcBorders/>
            <w:shd w:fill="auto" w:val="clear"/>
            <w:vAlign w:val="bottom"/>
          </w:tcPr>
          <w:p>
            <w:pPr>
              <w:pStyle w:val="TableContents"/>
              <w:spacing w:before="0" w:after="0"/>
              <w:ind w:left="0" w:right="0" w:hanging="0"/>
              <w:jc w:val="center"/>
              <w:rPr/>
            </w:pPr>
            <w:r>
              <w:rPr/>
              <w:t> </w:t>
            </w:r>
          </w:p>
        </w:tc>
      </w:tr>
      <w:tr>
        <w:trPr/>
        <w:tc>
          <w:tcPr>
            <w:tcW w:w="4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Equity-indexed compensation expense </w:t>
            </w:r>
          </w:p>
        </w:tc>
        <w:tc>
          <w:tcPr>
            <w:tcW w:w="205"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5"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5"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31"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26" w:type="dxa"/>
            <w:tcBorders/>
            <w:shd w:fill="CCEEFF" w:val="clear"/>
            <w:vAlign w:val="bottom"/>
          </w:tcPr>
          <w:p>
            <w:pPr>
              <w:pStyle w:val="TableContents"/>
              <w:spacing w:before="0" w:after="0"/>
              <w:ind w:left="0" w:right="0" w:hanging="0"/>
              <w:rPr/>
            </w:pPr>
            <w:r>
              <w:rPr/>
              <w:t> </w:t>
            </w:r>
          </w:p>
        </w:tc>
      </w:tr>
      <w:tr>
        <w:trPr/>
        <w:tc>
          <w:tcPr>
            <w:tcW w:w="4150" w:type="dxa"/>
            <w:tcBorders/>
            <w:shd w:fill="auto" w:val="clear"/>
            <w:vAlign w:val="bottom"/>
          </w:tcPr>
          <w:p>
            <w:pPr>
              <w:pStyle w:val="TableContents"/>
              <w:spacing w:before="0" w:after="0"/>
              <w:ind w:left="0" w:right="0" w:hanging="0"/>
              <w:rPr/>
            </w:pPr>
            <w:r>
              <w:rPr>
                <w:rFonts w:ascii="Times New Roman" w:hAnsi="Times New Roman"/>
                <w:sz w:val="17"/>
              </w:rPr>
              <w:t xml:space="preserve">LTIP unit-settled vestings </w:t>
            </w:r>
            <w:r>
              <w:rPr>
                <w:sz w:val="11"/>
              </w:rPr>
              <w:t xml:space="preserve">(1) </w:t>
            </w:r>
          </w:p>
        </w:tc>
        <w:tc>
          <w:tcPr>
            <w:tcW w:w="205"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5"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5"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31"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26" w:type="dxa"/>
            <w:tcBorders/>
            <w:shd w:fill="auto" w:val="clear"/>
            <w:vAlign w:val="bottom"/>
          </w:tcPr>
          <w:p>
            <w:pPr>
              <w:pStyle w:val="TableContents"/>
              <w:spacing w:before="0" w:after="0"/>
              <w:ind w:left="0" w:right="0" w:hanging="0"/>
              <w:rPr/>
            </w:pPr>
            <w:r>
              <w:rPr/>
              <w:t> </w:t>
            </w:r>
          </w:p>
        </w:tc>
      </w:tr>
      <w:tr>
        <w:trPr/>
        <w:tc>
          <w:tcPr>
            <w:tcW w:w="4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LTIP cash-settled vestings </w:t>
            </w:r>
          </w:p>
        </w:tc>
        <w:tc>
          <w:tcPr>
            <w:tcW w:w="205"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5"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5"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31"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26" w:type="dxa"/>
            <w:tcBorders/>
            <w:shd w:fill="CCEEFF" w:val="clear"/>
            <w:vAlign w:val="bottom"/>
          </w:tcPr>
          <w:p>
            <w:pPr>
              <w:pStyle w:val="TableContents"/>
              <w:spacing w:before="0" w:after="0"/>
              <w:ind w:left="0" w:right="0" w:hanging="0"/>
              <w:rPr/>
            </w:pPr>
            <w:r>
              <w:rPr/>
              <w:t> </w:t>
            </w:r>
          </w:p>
        </w:tc>
      </w:tr>
      <w:tr>
        <w:trPr/>
        <w:tc>
          <w:tcPr>
            <w:tcW w:w="4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DER cash payments </w:t>
            </w:r>
          </w:p>
        </w:tc>
        <w:tc>
          <w:tcPr>
            <w:tcW w:w="205"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5"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5"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1"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For the nine months ended September 30, 2012, less than $1 million relates to unit-settled vestings that were settled with PNG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10Derivatives and Risk Management Activities</w:t>
      </w:r>
      <w:bookmarkStart w:id="36" w:name="Note10derivativesAndRiskManagemen_171135"/>
      <w:bookmarkEnd w:id="3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37" w:name="PB_17_153121_3020"/>
      <w:bookmarkEnd w:id="3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core business activities contain certain commodity price-related risks that we manage in various ways, including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Commodity Purchases and Sales</w:t>
      </w:r>
      <w:r>
        <w:rPr>
          <w:rFonts w:ascii="Times New Roman" w:hAnsi="Times New Roman"/>
        </w:rPr>
        <w:t xml:space="preserve"> </w:t>
      </w:r>
      <w:r>
        <w:rPr>
          <w:rFonts w:ascii="Times New Roman" w:hAnsi="Times New Roman"/>
          <w:sz w:val="17"/>
        </w:rPr>
        <w:t> In the normal course of our operations, we purchase and sell commodities.  We use derivatives to manage the associated risks and to optimize profits.  As of September 30, 2013, net derivative positions related to these activities included: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 316,500 barrels per day net long position (total of 9.8 million barrels) associated with our crude oil purchases, which was unwound ratably during October 2013 to match monthly average pricing.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short spread position averaging approximately 32,800 barrels per day (total of 13.0 million barrels), which hedges a portion of our anticipated crude oil lease gathering purchases through December 2014.  These derivatives are time spreads consisting of offsetting purchases and sales between two different months.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 13,700 barrels per day (total of 1.7 million barrels) of crude oil grade spread positions through January 2014, which hedge anticipated purchases and sales of crude oil.  These derivatives are grade spreads between WTI and various other grades of crude oil including WTS, LLS and Brent.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 2,500 barrels per day (total of 1.4 million barrels) of butane/WTI spread positions, which hedge specific butane sales contracts that are priced as a percentage of WTI through March 2015.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long position of approximately 1.3 Bcf through April 2016 related to anticipated base gas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short position of approximately 29.4 Bcf through January 2014 related to anticipated sales of natural gas inventory.</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short position of approximately 10.7 million barrels through March 2015 related to the anticipated sales of our crude oil, NGL and refined products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Storage Capacity Utilization  </w:t>
      </w:r>
      <w:r>
        <w:rPr>
          <w:rFonts w:ascii="Times New Roman" w:hAnsi="Times New Roman"/>
          <w:sz w:val="17"/>
        </w:rPr>
        <w:t>We own a significant amount of crude oil, NGL and refined products storage capacity 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in a backwardated market structure. As of September 30, 2013, we used derivatives to manage the risk of not utilizing approximately 2.2 million barrels per month of storage capacity through December 2013. These positions involve no outright price exposure, but instead enable us to profitably use the capacity to store hedged crude oil.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Loss Allowance Oil</w:t>
      </w:r>
      <w:r>
        <w:rPr>
          <w:rFonts w:ascii="Times New Roman" w:hAnsi="Times New Roman"/>
        </w:rPr>
        <w:t xml:space="preserve"> </w:t>
      </w:r>
      <w:r>
        <w:rPr>
          <w:rFonts w:ascii="Times New Roman" w:hAnsi="Times New Roman"/>
          <w:sz w:val="17"/>
        </w:rPr>
        <w:t> As is common in the pipeline transportation industry, our tariffs incorporate a loss allowance factor that is intended to offset losses due to evaporation, measurement and other losses in transit.  We utilize derivative instruments to hedge a portion of the anticipated sales of the allowance oil that is to be collected under our tariffs.  As of September 30, 2013, our PLA hedges included a net short position for an average of approximately 1,700 barrels per day (total of 1.4 million barrels) through December 2015 and a long call option position of approximately 0.6 million barrels through December 2015.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Natural Gas Processing/NGL Fractionation</w:t>
      </w:r>
      <w:r>
        <w:rPr>
          <w:rFonts w:ascii="Times New Roman" w:hAnsi="Times New Roman"/>
        </w:rPr>
        <w:t xml:space="preserve"> </w:t>
      </w:r>
      <w:r>
        <w:rPr>
          <w:rFonts w:ascii="Times New Roman" w:hAnsi="Times New Roman"/>
          <w:sz w:val="17"/>
        </w:rPr>
        <w:t> As part of our supply and logistics activities, we purchase natural gas for processing and NGL mix for fractionation, and we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September 30, 2013, we had a long natural gas position of approximately 16.3 Bcf through March 2015, a short propane position of approximately 2.9 million barrels through March 2015, 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38" w:name="PB_18_153149_7748"/>
      <w:bookmarkEnd w:id="3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short butane position of approximately 0.9 million barrels through March 2015 and a short WTI position of approximately 0.3 million barrels through March 2015. In addition, we had a long power position of 0.5 million megawatt hours which hedges a portion of our power supply requirements at our natural gas processing and fractionation plants through December 2015.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of our commodity derivatives that qualify for hedge accounting are designated as cash flow hedges.  We have determined that substantially all of our physical purchase and sale agreements qualify for the NPNS exclusion.  Physical commodity contracts that meet the definition of a derivative but are ineligible, or not designated, for the NPNS scope exception are recorded on the balance sheet at fair value, with changes in fair value recognized in earnings.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interest rate derivatives to hedge interest rate risk associated with anticipated debt issuances and outstanding debt instruments.  The derivative instruments we use to manage this risk consist primarily of interest rate swaps and treasury locks.  As of September 30, 2013, AOCI includes deferred losses of approximately $76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entered into forward starting interest rate swaps to hedge the underlying benchmark interest rate related to forecasted debt issuances through 2015.  The following table summarizes the terms of these forward starting interest rate swaps as of September 30, 2013 (notional amounts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311"/>
        <w:gridCol w:w="176"/>
        <w:gridCol w:w="1931"/>
        <w:gridCol w:w="176"/>
        <w:gridCol w:w="149"/>
        <w:gridCol w:w="786"/>
        <w:gridCol w:w="176"/>
        <w:gridCol w:w="1573"/>
        <w:gridCol w:w="176"/>
        <w:gridCol w:w="1327"/>
        <w:gridCol w:w="225"/>
        <w:gridCol w:w="1087"/>
        <w:gridCol w:w="112"/>
      </w:tblGrid>
      <w:tr>
        <w:trPr/>
        <w:tc>
          <w:tcPr>
            <w:tcW w:w="2311"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Hedged Transaction</w:t>
            </w:r>
          </w:p>
        </w:tc>
        <w:tc>
          <w:tcPr>
            <w:tcW w:w="176" w:type="dxa"/>
            <w:tcBorders/>
            <w:shd w:fill="auto" w:val="clear"/>
            <w:tcMar>
              <w:bottom w:w="0" w:type="dxa"/>
            </w:tcMar>
            <w:vAlign w:val="bottom"/>
          </w:tcPr>
          <w:p>
            <w:pPr>
              <w:pStyle w:val="TableContents"/>
              <w:spacing w:before="0" w:after="0"/>
              <w:ind w:left="0" w:right="0" w:hanging="0"/>
              <w:jc w:val="center"/>
              <w:rPr/>
            </w:pPr>
            <w:r>
              <w:rPr/>
              <w:t> </w:t>
            </w:r>
          </w:p>
        </w:tc>
        <w:tc>
          <w:tcPr>
            <w:tcW w:w="193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and Types of</w:t>
              <w:br/>
              <w:t>Derivatives Employed</w:t>
            </w:r>
          </w:p>
        </w:tc>
        <w:tc>
          <w:tcPr>
            <w:tcW w:w="176" w:type="dxa"/>
            <w:tcBorders/>
            <w:shd w:fill="auto" w:val="clear"/>
            <w:tcMar>
              <w:bottom w:w="0" w:type="dxa"/>
            </w:tcMar>
            <w:vAlign w:val="bottom"/>
          </w:tcPr>
          <w:p>
            <w:pPr>
              <w:pStyle w:val="TableContents"/>
              <w:spacing w:before="0" w:after="0"/>
              <w:ind w:left="0" w:right="0" w:hanging="0"/>
              <w:jc w:val="center"/>
              <w:rPr/>
            </w:pPr>
            <w:r>
              <w:rPr/>
              <w:t> </w:t>
            </w:r>
          </w:p>
        </w:tc>
        <w:tc>
          <w:tcPr>
            <w:tcW w:w="935"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Notional</w:t>
              <w:br/>
              <w:t>Amount</w:t>
            </w:r>
          </w:p>
        </w:tc>
        <w:tc>
          <w:tcPr>
            <w:tcW w:w="176" w:type="dxa"/>
            <w:tcBorders/>
            <w:shd w:fill="auto" w:val="clear"/>
            <w:tcMar>
              <w:bottom w:w="0" w:type="dxa"/>
            </w:tcMar>
            <w:vAlign w:val="bottom"/>
          </w:tcPr>
          <w:p>
            <w:pPr>
              <w:pStyle w:val="TableContents"/>
              <w:spacing w:before="0" w:after="0"/>
              <w:ind w:left="0" w:right="0" w:hanging="0"/>
              <w:jc w:val="center"/>
              <w:rPr/>
            </w:pPr>
            <w:r>
              <w:rPr/>
              <w:t> </w:t>
            </w:r>
          </w:p>
        </w:tc>
        <w:tc>
          <w:tcPr>
            <w:tcW w:w="15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Expected</w:t>
              <w:br/>
              <w:t>Termination Date</w:t>
            </w:r>
          </w:p>
        </w:tc>
        <w:tc>
          <w:tcPr>
            <w:tcW w:w="176" w:type="dxa"/>
            <w:tcBorders/>
            <w:shd w:fill="auto" w:val="clear"/>
            <w:tcMar>
              <w:bottom w:w="0" w:type="dxa"/>
            </w:tcMar>
            <w:vAlign w:val="bottom"/>
          </w:tcPr>
          <w:p>
            <w:pPr>
              <w:pStyle w:val="TableContents"/>
              <w:spacing w:before="0" w:after="0"/>
              <w:ind w:left="0" w:right="0" w:hanging="0"/>
              <w:jc w:val="center"/>
              <w:rPr/>
            </w:pPr>
            <w:r>
              <w:rPr/>
              <w:t> </w:t>
            </w:r>
          </w:p>
        </w:tc>
        <w:tc>
          <w:tcPr>
            <w:tcW w:w="1327"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Fixed</w:t>
              <w:br/>
              <w:t>Rate</w:t>
            </w:r>
          </w:p>
        </w:tc>
        <w:tc>
          <w:tcPr>
            <w:tcW w:w="225" w:type="dxa"/>
            <w:tcBorders/>
            <w:shd w:fill="auto" w:val="clear"/>
            <w:tcMar>
              <w:bottom w:w="0" w:type="dxa"/>
            </w:tcMar>
            <w:vAlign w:val="bottom"/>
          </w:tcPr>
          <w:p>
            <w:pPr>
              <w:pStyle w:val="TableContents"/>
              <w:spacing w:before="0" w:after="0"/>
              <w:ind w:left="0" w:right="0" w:hanging="0"/>
              <w:jc w:val="center"/>
              <w:rPr/>
            </w:pPr>
            <w:r>
              <w:rPr/>
              <w:t> </w:t>
            </w:r>
          </w:p>
        </w:tc>
        <w:tc>
          <w:tcPr>
            <w:tcW w:w="1087"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Accounting</w:t>
              <w:br/>
              <w:t>Treatment</w:t>
            </w:r>
          </w:p>
        </w:tc>
        <w:tc>
          <w:tcPr>
            <w:tcW w:w="112" w:type="dxa"/>
            <w:tcBorders/>
            <w:shd w:fill="auto" w:val="clear"/>
            <w:tcMar>
              <w:bottom w:w="0" w:type="dxa"/>
            </w:tcMar>
            <w:vAlign w:val="bottom"/>
          </w:tcPr>
          <w:p>
            <w:pPr>
              <w:pStyle w:val="TableContents"/>
              <w:spacing w:before="0" w:after="0"/>
              <w:ind w:left="0" w:right="0" w:hanging="0"/>
              <w:jc w:val="center"/>
              <w:rPr/>
            </w:pPr>
            <w:r>
              <w:rPr/>
              <w:t> </w:t>
            </w:r>
          </w:p>
        </w:tc>
      </w:tr>
      <w:tr>
        <w:trPr/>
        <w:tc>
          <w:tcPr>
            <w:tcW w:w="231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Anticipated debt offering </w:t>
            </w:r>
          </w:p>
        </w:tc>
        <w:tc>
          <w:tcPr>
            <w:tcW w:w="176" w:type="dxa"/>
            <w:tcBorders/>
            <w:shd w:fill="CCEEFF" w:val="clear"/>
            <w:tcMar>
              <w:bottom w:w="0" w:type="dxa"/>
            </w:tcMar>
            <w:vAlign w:val="bottom"/>
          </w:tcPr>
          <w:p>
            <w:pPr>
              <w:pStyle w:val="TableContents"/>
              <w:spacing w:before="0" w:after="0"/>
              <w:ind w:left="0" w:right="0" w:hanging="0"/>
              <w:rPr/>
            </w:pPr>
            <w:r>
              <w:rPr/>
              <w:t> </w:t>
            </w:r>
          </w:p>
        </w:tc>
        <w:tc>
          <w:tcPr>
            <w:tcW w:w="1931"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 forward starting swaps (30-year)</w:t>
            </w:r>
          </w:p>
        </w:tc>
        <w:tc>
          <w:tcPr>
            <w:tcW w:w="176" w:type="dxa"/>
            <w:tcBorders/>
            <w:shd w:fill="CCEEFF" w:val="clear"/>
            <w:tcMar>
              <w:bottom w:w="0" w:type="dxa"/>
            </w:tcMar>
            <w:vAlign w:val="bottom"/>
          </w:tcPr>
          <w:p>
            <w:pPr>
              <w:pStyle w:val="TableContents"/>
              <w:spacing w:before="0" w:after="0"/>
              <w:ind w:left="0" w:right="0" w:hanging="0"/>
              <w:rPr/>
            </w:pPr>
            <w:r>
              <w:rPr/>
              <w:t> </w:t>
            </w:r>
          </w:p>
        </w:tc>
        <w:tc>
          <w:tcPr>
            <w:tcW w:w="1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tcBorders>
              <w:top w:val="single" w:sz="8" w:space="0" w:color="000000"/>
            </w:tcBorders>
            <w:shd w:fill="CCEEFF" w:val="clear"/>
            <w:tcMar>
              <w:top w:w="28" w:type="dxa"/>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76" w:type="dxa"/>
            <w:tcBorders/>
            <w:shd w:fill="CCEEFF" w:val="clear"/>
            <w:tcMar>
              <w:bottom w:w="0" w:type="dxa"/>
            </w:tcMar>
          </w:tcPr>
          <w:p>
            <w:pPr>
              <w:pStyle w:val="TableContents"/>
              <w:spacing w:before="0" w:after="0"/>
              <w:ind w:left="0" w:right="0" w:hanging="0"/>
              <w:rPr/>
            </w:pPr>
            <w:r>
              <w:rPr/>
              <w:t> </w:t>
            </w:r>
          </w:p>
        </w:tc>
        <w:tc>
          <w:tcPr>
            <w:tcW w:w="157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6/15/2015</w:t>
            </w:r>
          </w:p>
        </w:tc>
        <w:tc>
          <w:tcPr>
            <w:tcW w:w="176" w:type="dxa"/>
            <w:tcBorders/>
            <w:shd w:fill="CCEEFF" w:val="clear"/>
            <w:tcMar>
              <w:bottom w:w="0" w:type="dxa"/>
            </w:tcMar>
          </w:tcPr>
          <w:p>
            <w:pPr>
              <w:pStyle w:val="TableContents"/>
              <w:spacing w:before="0" w:after="0"/>
              <w:ind w:left="0" w:right="0" w:hanging="0"/>
              <w:rPr/>
            </w:pPr>
            <w:r>
              <w:rPr/>
              <w:t> </w:t>
            </w:r>
          </w:p>
        </w:tc>
        <w:tc>
          <w:tcPr>
            <w:tcW w:w="1327"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2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2311" w:type="dxa"/>
            <w:tcBorders/>
            <w:shd w:fill="auto" w:val="clear"/>
            <w:tcMar>
              <w:bottom w:w="0" w:type="dxa"/>
            </w:tcMar>
            <w:vAlign w:val="center"/>
          </w:tcPr>
          <w:p>
            <w:pPr>
              <w:pStyle w:val="TableContents"/>
              <w:spacing w:before="0" w:after="283"/>
              <w:rPr>
                <w:sz w:val="4"/>
                <w:szCs w:val="4"/>
              </w:rPr>
            </w:pPr>
            <w:r>
              <w:rPr>
                <w:sz w:val="4"/>
                <w:szCs w:val="4"/>
              </w:rPr>
            </w:r>
          </w:p>
        </w:tc>
        <w:tc>
          <w:tcPr>
            <w:tcW w:w="176" w:type="dxa"/>
            <w:tcBorders/>
            <w:shd w:fill="auto" w:val="clear"/>
            <w:tcMar>
              <w:bottom w:w="0" w:type="dxa"/>
            </w:tcMar>
            <w:vAlign w:val="center"/>
          </w:tcPr>
          <w:p>
            <w:pPr>
              <w:pStyle w:val="TableContents"/>
              <w:spacing w:before="0" w:after="283"/>
              <w:rPr>
                <w:sz w:val="4"/>
                <w:szCs w:val="4"/>
              </w:rPr>
            </w:pPr>
            <w:r>
              <w:rPr>
                <w:sz w:val="4"/>
                <w:szCs w:val="4"/>
              </w:rPr>
            </w:r>
          </w:p>
        </w:tc>
        <w:tc>
          <w:tcPr>
            <w:tcW w:w="1931" w:type="dxa"/>
            <w:tcBorders/>
            <w:shd w:fill="auto" w:val="clear"/>
            <w:tcMar>
              <w:bottom w:w="0" w:type="dxa"/>
            </w:tcMar>
            <w:vAlign w:val="center"/>
          </w:tcPr>
          <w:p>
            <w:pPr>
              <w:pStyle w:val="TableContents"/>
              <w:spacing w:before="0" w:after="283"/>
              <w:rPr>
                <w:sz w:val="4"/>
                <w:szCs w:val="4"/>
              </w:rPr>
            </w:pPr>
            <w:r>
              <w:rPr>
                <w:sz w:val="4"/>
                <w:szCs w:val="4"/>
              </w:rPr>
            </w:r>
          </w:p>
        </w:tc>
        <w:tc>
          <w:tcPr>
            <w:tcW w:w="176" w:type="dxa"/>
            <w:tcBorders/>
            <w:shd w:fill="auto" w:val="clear"/>
            <w:tcMar>
              <w:bottom w:w="0" w:type="dxa"/>
            </w:tcMar>
            <w:vAlign w:val="center"/>
          </w:tcPr>
          <w:p>
            <w:pPr>
              <w:pStyle w:val="TableContents"/>
              <w:spacing w:before="0" w:after="283"/>
              <w:rPr>
                <w:sz w:val="4"/>
                <w:szCs w:val="4"/>
              </w:rPr>
            </w:pPr>
            <w:r>
              <w:rPr>
                <w:sz w:val="4"/>
                <w:szCs w:val="4"/>
              </w:rPr>
            </w:r>
          </w:p>
        </w:tc>
        <w:tc>
          <w:tcPr>
            <w:tcW w:w="149" w:type="dxa"/>
            <w:tcBorders/>
            <w:shd w:fill="auto" w:val="clear"/>
            <w:tcMar>
              <w:bottom w:w="0" w:type="dxa"/>
            </w:tcMar>
            <w:vAlign w:val="center"/>
          </w:tcPr>
          <w:p>
            <w:pPr>
              <w:pStyle w:val="TableContents"/>
              <w:spacing w:before="0" w:after="283"/>
              <w:rPr>
                <w:sz w:val="4"/>
                <w:szCs w:val="4"/>
              </w:rPr>
            </w:pPr>
            <w:r>
              <w:rPr>
                <w:sz w:val="4"/>
                <w:szCs w:val="4"/>
              </w:rPr>
            </w:r>
          </w:p>
        </w:tc>
        <w:tc>
          <w:tcPr>
            <w:tcW w:w="786" w:type="dxa"/>
            <w:tcBorders/>
            <w:shd w:fill="auto" w:val="clear"/>
            <w:tcMar>
              <w:bottom w:w="0" w:type="dxa"/>
            </w:tcMar>
            <w:vAlign w:val="center"/>
          </w:tcPr>
          <w:p>
            <w:pPr>
              <w:pStyle w:val="TableContents"/>
              <w:spacing w:before="0" w:after="283"/>
              <w:rPr>
                <w:sz w:val="4"/>
                <w:szCs w:val="4"/>
              </w:rPr>
            </w:pPr>
            <w:r>
              <w:rPr>
                <w:sz w:val="4"/>
                <w:szCs w:val="4"/>
              </w:rPr>
            </w:r>
          </w:p>
        </w:tc>
        <w:tc>
          <w:tcPr>
            <w:tcW w:w="176" w:type="dxa"/>
            <w:tcBorders/>
            <w:shd w:fill="auto" w:val="clear"/>
            <w:tcMar>
              <w:bottom w:w="0" w:type="dxa"/>
            </w:tcMar>
            <w:vAlign w:val="center"/>
          </w:tcPr>
          <w:p>
            <w:pPr>
              <w:pStyle w:val="TableContents"/>
              <w:spacing w:before="0" w:after="283"/>
              <w:rPr>
                <w:sz w:val="4"/>
                <w:szCs w:val="4"/>
              </w:rPr>
            </w:pPr>
            <w:r>
              <w:rPr>
                <w:sz w:val="4"/>
                <w:szCs w:val="4"/>
              </w:rPr>
            </w:r>
          </w:p>
        </w:tc>
        <w:tc>
          <w:tcPr>
            <w:tcW w:w="1573" w:type="dxa"/>
            <w:tcBorders/>
            <w:shd w:fill="auto" w:val="clear"/>
            <w:tcMar>
              <w:bottom w:w="0" w:type="dxa"/>
            </w:tcMar>
            <w:vAlign w:val="center"/>
          </w:tcPr>
          <w:p>
            <w:pPr>
              <w:pStyle w:val="TableContents"/>
              <w:spacing w:before="0" w:after="283"/>
              <w:rPr>
                <w:sz w:val="4"/>
                <w:szCs w:val="4"/>
              </w:rPr>
            </w:pPr>
            <w:r>
              <w:rPr>
                <w:sz w:val="4"/>
                <w:szCs w:val="4"/>
              </w:rPr>
            </w:r>
          </w:p>
        </w:tc>
        <w:tc>
          <w:tcPr>
            <w:tcW w:w="176" w:type="dxa"/>
            <w:tcBorders/>
            <w:shd w:fill="auto" w:val="clear"/>
            <w:tcMar>
              <w:bottom w:w="0" w:type="dxa"/>
            </w:tcMar>
            <w:vAlign w:val="center"/>
          </w:tcPr>
          <w:p>
            <w:pPr>
              <w:pStyle w:val="TableContents"/>
              <w:spacing w:before="0" w:after="283"/>
              <w:rPr>
                <w:sz w:val="4"/>
                <w:szCs w:val="4"/>
              </w:rPr>
            </w:pPr>
            <w:r>
              <w:rPr>
                <w:sz w:val="4"/>
                <w:szCs w:val="4"/>
              </w:rPr>
            </w:r>
          </w:p>
        </w:tc>
        <w:tc>
          <w:tcPr>
            <w:tcW w:w="1327" w:type="dxa"/>
            <w:tcBorders/>
            <w:shd w:fill="auto" w:val="clear"/>
            <w:tcMar>
              <w:bottom w:w="0" w:type="dxa"/>
            </w:tcMar>
            <w:vAlign w:val="center"/>
          </w:tcPr>
          <w:p>
            <w:pPr>
              <w:pStyle w:val="TableContents"/>
              <w:spacing w:before="0" w:after="283"/>
              <w:rPr>
                <w:sz w:val="4"/>
                <w:szCs w:val="4"/>
              </w:rPr>
            </w:pPr>
            <w:r>
              <w:rPr>
                <w:sz w:val="4"/>
                <w:szCs w:val="4"/>
              </w:rPr>
            </w:r>
          </w:p>
        </w:tc>
        <w:tc>
          <w:tcPr>
            <w:tcW w:w="225" w:type="dxa"/>
            <w:tcBorders/>
            <w:shd w:fill="auto" w:val="clear"/>
            <w:tcMar>
              <w:bottom w:w="0" w:type="dxa"/>
            </w:tcMar>
            <w:vAlign w:val="center"/>
          </w:tcPr>
          <w:p>
            <w:pPr>
              <w:pStyle w:val="TableContents"/>
              <w:spacing w:before="0" w:after="283"/>
              <w:rPr>
                <w:sz w:val="4"/>
                <w:szCs w:val="4"/>
              </w:rPr>
            </w:pPr>
            <w:r>
              <w:rPr>
                <w:sz w:val="4"/>
                <w:szCs w:val="4"/>
              </w:rPr>
            </w:r>
          </w:p>
        </w:tc>
        <w:tc>
          <w:tcPr>
            <w:tcW w:w="1087" w:type="dxa"/>
            <w:tcBorders/>
            <w:shd w:fill="auto" w:val="clear"/>
            <w:tcMar>
              <w:bottom w:w="0" w:type="dxa"/>
            </w:tcMar>
            <w:vAlign w:val="center"/>
          </w:tcPr>
          <w:p>
            <w:pPr>
              <w:pStyle w:val="TableContents"/>
              <w:spacing w:before="0" w:after="283"/>
              <w:rPr>
                <w:sz w:val="4"/>
                <w:szCs w:val="4"/>
              </w:rPr>
            </w:pPr>
            <w:r>
              <w:rPr>
                <w:sz w:val="4"/>
                <w:szCs w:val="4"/>
              </w:rPr>
            </w:r>
          </w:p>
        </w:tc>
        <w:tc>
          <w:tcPr>
            <w:tcW w:w="112"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Concurrent with PAAs August 2013 senior notes issuance, five thirty-year forward starting swaps were terminated. We received cash proceeds of approximately $11 million, of which a gain of approximately $8 million was deferred in AOCI and a gain of approximately $3 million was recognized in interest expense attributable to the ineffective portion, in connection with the termination of these swaps.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June 2011 and August 2011, PNG entered into three interest rate swaps to fix the interest rate on a portion of PNGs outstanding debt. The following table summarizes the terms of these swaps (notional amount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123"/>
        <w:gridCol w:w="171"/>
        <w:gridCol w:w="1901"/>
        <w:gridCol w:w="171"/>
        <w:gridCol w:w="149"/>
        <w:gridCol w:w="769"/>
        <w:gridCol w:w="171"/>
        <w:gridCol w:w="1509"/>
        <w:gridCol w:w="171"/>
        <w:gridCol w:w="1673"/>
        <w:gridCol w:w="221"/>
        <w:gridCol w:w="1068"/>
        <w:gridCol w:w="108"/>
      </w:tblGrid>
      <w:tr>
        <w:trPr/>
        <w:tc>
          <w:tcPr>
            <w:tcW w:w="212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Hedged Transaction</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190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and Types of</w:t>
              <w:br/>
              <w:t>Derivatives Employed</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918"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Notional</w:t>
              <w:br/>
              <w:t>Amount</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150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Termination Dates</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16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Fixed Rate</w:t>
            </w:r>
          </w:p>
        </w:tc>
        <w:tc>
          <w:tcPr>
            <w:tcW w:w="221" w:type="dxa"/>
            <w:tcBorders/>
            <w:shd w:fill="auto" w:val="clear"/>
            <w:tcMar>
              <w:bottom w:w="0" w:type="dxa"/>
            </w:tcMar>
            <w:vAlign w:val="bottom"/>
          </w:tcPr>
          <w:p>
            <w:pPr>
              <w:pStyle w:val="TableContents"/>
              <w:spacing w:before="0" w:after="0"/>
              <w:ind w:left="0" w:right="0" w:hanging="0"/>
              <w:jc w:val="center"/>
              <w:rPr/>
            </w:pPr>
            <w:r>
              <w:rPr/>
              <w:t> </w:t>
            </w:r>
          </w:p>
        </w:tc>
        <w:tc>
          <w:tcPr>
            <w:tcW w:w="106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Accounting</w:t>
              <w:br/>
              <w:t>Treatment</w:t>
            </w:r>
          </w:p>
        </w:tc>
        <w:tc>
          <w:tcPr>
            <w:tcW w:w="108" w:type="dxa"/>
            <w:tcBorders/>
            <w:shd w:fill="auto" w:val="clear"/>
            <w:tcMar>
              <w:bottom w:w="0" w:type="dxa"/>
            </w:tcMar>
            <w:vAlign w:val="bottom"/>
          </w:tcPr>
          <w:p>
            <w:pPr>
              <w:pStyle w:val="TableContents"/>
              <w:spacing w:before="0" w:after="0"/>
              <w:ind w:left="0" w:right="0" w:hanging="0"/>
              <w:jc w:val="center"/>
              <w:rPr/>
            </w:pPr>
            <w:r>
              <w:rPr/>
              <w:t> </w:t>
            </w:r>
          </w:p>
        </w:tc>
      </w:tr>
      <w:tr>
        <w:trPr/>
        <w:tc>
          <w:tcPr>
            <w:tcW w:w="212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Floating interest rate payments associated with PNG outstanding debt </w:t>
            </w:r>
          </w:p>
        </w:tc>
        <w:tc>
          <w:tcPr>
            <w:tcW w:w="171" w:type="dxa"/>
            <w:tcBorders/>
            <w:shd w:fill="CCEEFF" w:val="clear"/>
            <w:tcMar>
              <w:bottom w:w="0" w:type="dxa"/>
            </w:tcMar>
            <w:vAlign w:val="bottom"/>
          </w:tcPr>
          <w:p>
            <w:pPr>
              <w:pStyle w:val="TableContents"/>
              <w:spacing w:before="0" w:after="0"/>
              <w:ind w:left="0" w:right="0" w:hanging="0"/>
              <w:rPr/>
            </w:pPr>
            <w:r>
              <w:rPr/>
              <w:t> </w:t>
            </w:r>
          </w:p>
        </w:tc>
        <w:tc>
          <w:tcPr>
            <w:tcW w:w="190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3 floating-to-fixed swaps</w:t>
            </w:r>
          </w:p>
        </w:tc>
        <w:tc>
          <w:tcPr>
            <w:tcW w:w="171" w:type="dxa"/>
            <w:tcBorders/>
            <w:shd w:fill="CCEEFF" w:val="clear"/>
            <w:tcMar>
              <w:bottom w:w="0" w:type="dxa"/>
            </w:tcMar>
          </w:tcPr>
          <w:p>
            <w:pPr>
              <w:pStyle w:val="TableContents"/>
              <w:spacing w:before="0" w:after="0"/>
              <w:ind w:left="0" w:right="0" w:hanging="0"/>
              <w:rPr/>
            </w:pPr>
            <w:r>
              <w:rPr/>
              <w:t> </w:t>
            </w:r>
          </w:p>
        </w:tc>
        <w:tc>
          <w:tcPr>
            <w:tcW w:w="1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top w:val="single" w:sz="8" w:space="0" w:color="000000"/>
            </w:tcBorders>
            <w:shd w:fill="CCEEFF" w:val="clear"/>
            <w:tcMar>
              <w:top w:w="28" w:type="dxa"/>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71" w:type="dxa"/>
            <w:tcBorders/>
            <w:shd w:fill="CCEEFF" w:val="clear"/>
            <w:tcMar>
              <w:bottom w:w="0" w:type="dxa"/>
            </w:tcMar>
          </w:tcPr>
          <w:p>
            <w:pPr>
              <w:pStyle w:val="TableContents"/>
              <w:spacing w:before="0" w:after="0"/>
              <w:ind w:left="0" w:right="0" w:hanging="0"/>
              <w:rPr/>
            </w:pPr>
            <w:r>
              <w:rPr/>
              <w:t> </w:t>
            </w:r>
          </w:p>
        </w:tc>
        <w:tc>
          <w:tcPr>
            <w:tcW w:w="15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6/6/2014</w:t>
              <w:br/>
              <w:t>8/3/2014</w:t>
            </w:r>
          </w:p>
        </w:tc>
        <w:tc>
          <w:tcPr>
            <w:tcW w:w="171" w:type="dxa"/>
            <w:tcBorders/>
            <w:shd w:fill="CCEEFF" w:val="clear"/>
            <w:tcMar>
              <w:bottom w:w="0" w:type="dxa"/>
            </w:tcMar>
          </w:tcPr>
          <w:p>
            <w:pPr>
              <w:pStyle w:val="TableContents"/>
              <w:spacing w:before="0" w:after="0"/>
              <w:ind w:left="0" w:right="0" w:hanging="0"/>
              <w:rPr/>
            </w:pPr>
            <w:r>
              <w:rPr/>
              <w:t> </w:t>
            </w:r>
          </w:p>
        </w:tc>
        <w:tc>
          <w:tcPr>
            <w:tcW w:w="1673"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0.95</w:t>
            </w:r>
          </w:p>
        </w:tc>
        <w:tc>
          <w:tcPr>
            <w:tcW w:w="22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08" w:type="dxa"/>
            <w:tcBorders/>
            <w:shd w:fill="CCEEFF" w:val="clear"/>
            <w:tcMar>
              <w:bottom w:w="0" w:type="dxa"/>
            </w:tcMar>
          </w:tcPr>
          <w:p>
            <w:pPr>
              <w:pStyle w:val="TableContents"/>
              <w:spacing w:before="0" w:after="0"/>
              <w:ind w:left="0" w:right="0" w:hanging="0"/>
              <w:rPr/>
            </w:pPr>
            <w:r>
              <w:rPr/>
              <w:t> </w:t>
            </w:r>
          </w:p>
        </w:tc>
      </w:tr>
      <w:tr>
        <w:trPr/>
        <w:tc>
          <w:tcPr>
            <w:tcW w:w="2123"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1901"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149" w:type="dxa"/>
            <w:tcBorders/>
            <w:shd w:fill="auto" w:val="clear"/>
            <w:tcMar>
              <w:bottom w:w="0" w:type="dxa"/>
            </w:tcMar>
            <w:vAlign w:val="center"/>
          </w:tcPr>
          <w:p>
            <w:pPr>
              <w:pStyle w:val="TableContents"/>
              <w:spacing w:before="0" w:after="283"/>
              <w:rPr>
                <w:sz w:val="4"/>
                <w:szCs w:val="4"/>
              </w:rPr>
            </w:pPr>
            <w:r>
              <w:rPr>
                <w:sz w:val="4"/>
                <w:szCs w:val="4"/>
              </w:rPr>
            </w:r>
          </w:p>
        </w:tc>
        <w:tc>
          <w:tcPr>
            <w:tcW w:w="769"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1509"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1673" w:type="dxa"/>
            <w:tcBorders/>
            <w:shd w:fill="auto" w:val="clear"/>
            <w:tcMar>
              <w:bottom w:w="0" w:type="dxa"/>
            </w:tcMar>
            <w:vAlign w:val="center"/>
          </w:tcPr>
          <w:p>
            <w:pPr>
              <w:pStyle w:val="TableContents"/>
              <w:spacing w:before="0" w:after="283"/>
              <w:rPr>
                <w:sz w:val="4"/>
                <w:szCs w:val="4"/>
              </w:rPr>
            </w:pPr>
            <w:r>
              <w:rPr>
                <w:sz w:val="4"/>
                <w:szCs w:val="4"/>
              </w:rPr>
            </w:r>
          </w:p>
        </w:tc>
        <w:tc>
          <w:tcPr>
            <w:tcW w:w="221" w:type="dxa"/>
            <w:tcBorders/>
            <w:shd w:fill="auto" w:val="clear"/>
            <w:tcMar>
              <w:bottom w:w="0" w:type="dxa"/>
            </w:tcMar>
            <w:vAlign w:val="center"/>
          </w:tcPr>
          <w:p>
            <w:pPr>
              <w:pStyle w:val="TableContents"/>
              <w:spacing w:before="0" w:after="283"/>
              <w:rPr>
                <w:sz w:val="4"/>
                <w:szCs w:val="4"/>
              </w:rPr>
            </w:pPr>
            <w:r>
              <w:rPr>
                <w:sz w:val="4"/>
                <w:szCs w:val="4"/>
              </w:rPr>
            </w:r>
          </w:p>
        </w:tc>
        <w:tc>
          <w:tcPr>
            <w:tcW w:w="1068" w:type="dxa"/>
            <w:tcBorders/>
            <w:shd w:fill="auto" w:val="clear"/>
            <w:tcMar>
              <w:bottom w:w="0" w:type="dxa"/>
            </w:tcMar>
            <w:vAlign w:val="center"/>
          </w:tcPr>
          <w:p>
            <w:pPr>
              <w:pStyle w:val="TableContents"/>
              <w:spacing w:before="0" w:after="283"/>
              <w:rPr>
                <w:sz w:val="4"/>
                <w:szCs w:val="4"/>
              </w:rPr>
            </w:pPr>
            <w:r>
              <w:rPr>
                <w:sz w:val="4"/>
                <w:szCs w:val="4"/>
              </w:rPr>
            </w:r>
          </w:p>
        </w:tc>
        <w:tc>
          <w:tcPr>
            <w:tcW w:w="108"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Currency Exchange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  As of September 30, 2013, AOCI includes net deferred gains of approximately $1 million that relate to foreign currency derivatives that were designated for hedge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2013, our outstanding foreign currency derivatives include derivatives we use to (i) hedge CAD-denominated interest payments on CAD-denominated intercompany notes, (ii) hedge currency exchange risk associated with USD-denominated commodity purchases and sales in Canada and (iii) hedge currency exchange risk created by the use of USD-denominated commodity derivatives to hedge commodity price risk associated with CAD-denominated commodity purchases and sales.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39" w:name="PB_19_153521_141"/>
      <w:bookmarkEnd w:id="3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open forward exchange contracts as of September 30, 2013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56"/>
        <w:gridCol w:w="210"/>
        <w:gridCol w:w="1268"/>
        <w:gridCol w:w="210"/>
        <w:gridCol w:w="110"/>
        <w:gridCol w:w="1055"/>
        <w:gridCol w:w="210"/>
        <w:gridCol w:w="110"/>
        <w:gridCol w:w="1055"/>
        <w:gridCol w:w="210"/>
        <w:gridCol w:w="2395"/>
        <w:gridCol w:w="116"/>
      </w:tblGrid>
      <w:tr>
        <w:trPr/>
        <w:tc>
          <w:tcPr>
            <w:tcW w:w="325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268"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USD</w:t>
            </w:r>
          </w:p>
        </w:tc>
        <w:tc>
          <w:tcPr>
            <w:tcW w:w="210" w:type="dxa"/>
            <w:tcBorders/>
            <w:shd w:fill="auto" w:val="clear"/>
            <w:vAlign w:val="bottom"/>
          </w:tcPr>
          <w:p>
            <w:pPr>
              <w:pStyle w:val="TableContents"/>
              <w:spacing w:before="0" w:after="0"/>
              <w:ind w:left="0" w:right="0" w:hanging="0"/>
              <w:jc w:val="center"/>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CAD</w:t>
            </w:r>
          </w:p>
        </w:tc>
        <w:tc>
          <w:tcPr>
            <w:tcW w:w="210" w:type="dxa"/>
            <w:tcBorders/>
            <w:shd w:fill="auto" w:val="clear"/>
            <w:vAlign w:val="bottom"/>
          </w:tcPr>
          <w:p>
            <w:pPr>
              <w:pStyle w:val="TableContents"/>
              <w:spacing w:before="0" w:after="0"/>
              <w:ind w:left="0" w:right="0" w:hanging="0"/>
              <w:jc w:val="center"/>
              <w:rPr/>
            </w:pPr>
            <w:r>
              <w:rPr/>
              <w:t> </w:t>
            </w:r>
          </w:p>
        </w:tc>
        <w:tc>
          <w:tcPr>
            <w:tcW w:w="239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Exchange Rate USD</w:t>
              <w:br/>
              <w:t>to CAD</w:t>
            </w:r>
          </w:p>
        </w:tc>
        <w:tc>
          <w:tcPr>
            <w:tcW w:w="116" w:type="dxa"/>
            <w:tcBorders/>
            <w:shd w:fill="auto" w:val="clear"/>
            <w:vAlign w:val="bottom"/>
          </w:tcPr>
          <w:p>
            <w:pPr>
              <w:pStyle w:val="TableContents"/>
              <w:spacing w:before="0" w:after="0"/>
              <w:ind w:left="0" w:right="0" w:hanging="0"/>
              <w:jc w:val="center"/>
              <w:rPr/>
            </w:pPr>
            <w:r>
              <w:rPr/>
              <w:t> </w:t>
            </w:r>
          </w:p>
        </w:tc>
      </w:tr>
      <w:tr>
        <w:trPr/>
        <w:tc>
          <w:tcPr>
            <w:tcW w:w="325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Forward exchange contracts that exchange CAD for USD:</w:t>
            </w:r>
          </w:p>
        </w:tc>
        <w:tc>
          <w:tcPr>
            <w:tcW w:w="210"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pPr>
            <w:r>
              <w:rPr/>
              <w:t> </w:t>
            </w:r>
          </w:p>
        </w:tc>
        <w:tc>
          <w:tcPr>
            <w:tcW w:w="210"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2395" w:type="dxa"/>
            <w:tcBorders/>
            <w:shd w:fill="CCEEFF" w:val="clear"/>
            <w:vAlign w:val="bottom"/>
          </w:tcPr>
          <w:p>
            <w:pPr>
              <w:pStyle w:val="TableContents"/>
              <w:spacing w:before="0" w:after="0"/>
              <w:ind w:left="0" w:right="0" w:hanging="0"/>
              <w:jc w:val="center"/>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325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2013</w:t>
            </w:r>
          </w:p>
        </w:tc>
        <w:tc>
          <w:tcPr>
            <w:tcW w:w="2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0" w:type="dxa"/>
            <w:tcBorders/>
            <w:shd w:fill="auto" w:val="clear"/>
            <w:vAlign w:val="bottom"/>
          </w:tcPr>
          <w:p>
            <w:pPr>
              <w:pStyle w:val="TableContents"/>
              <w:spacing w:before="0" w:after="0"/>
              <w:ind w:left="0" w:right="0" w:hanging="0"/>
              <w:rPr/>
            </w:pPr>
            <w:r>
              <w:rPr/>
              <w:t> </w:t>
            </w:r>
          </w:p>
        </w:tc>
        <w:tc>
          <w:tcPr>
            <w:tcW w:w="2395"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$1.03</w:t>
            </w:r>
          </w:p>
        </w:tc>
        <w:tc>
          <w:tcPr>
            <w:tcW w:w="116" w:type="dxa"/>
            <w:tcBorders/>
            <w:shd w:fill="auto" w:val="clear"/>
            <w:vAlign w:val="bottom"/>
          </w:tcPr>
          <w:p>
            <w:pPr>
              <w:pStyle w:val="TableContents"/>
              <w:spacing w:before="0" w:after="0"/>
              <w:ind w:left="0" w:right="0" w:hanging="0"/>
              <w:rPr/>
            </w:pPr>
            <w:r>
              <w:rPr/>
              <w:t> </w:t>
            </w:r>
          </w:p>
        </w:tc>
      </w:tr>
      <w:tr>
        <w:trPr/>
        <w:tc>
          <w:tcPr>
            <w:tcW w:w="325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2014</w:t>
            </w:r>
          </w:p>
        </w:tc>
        <w:tc>
          <w:tcPr>
            <w:tcW w:w="210"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0"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10" w:type="dxa"/>
            <w:tcBorders/>
            <w:shd w:fill="CCEEFF" w:val="clear"/>
            <w:vAlign w:val="bottom"/>
          </w:tcPr>
          <w:p>
            <w:pPr>
              <w:pStyle w:val="TableContents"/>
              <w:spacing w:before="0" w:after="0"/>
              <w:ind w:left="0" w:right="0" w:hanging="0"/>
              <w:rPr/>
            </w:pPr>
            <w:r>
              <w:rPr/>
              <w:t> </w:t>
            </w:r>
          </w:p>
        </w:tc>
        <w:tc>
          <w:tcPr>
            <w:tcW w:w="2395"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$1.03</w:t>
            </w:r>
          </w:p>
        </w:tc>
        <w:tc>
          <w:tcPr>
            <w:tcW w:w="116" w:type="dxa"/>
            <w:tcBorders/>
            <w:shd w:fill="CCEEFF" w:val="clear"/>
            <w:vAlign w:val="bottom"/>
          </w:tcPr>
          <w:p>
            <w:pPr>
              <w:pStyle w:val="TableContents"/>
              <w:spacing w:before="0" w:after="0"/>
              <w:ind w:left="0" w:right="0" w:hanging="0"/>
              <w:rPr/>
            </w:pPr>
            <w:r>
              <w:rPr/>
              <w:t> </w:t>
            </w:r>
          </w:p>
        </w:tc>
      </w:tr>
      <w:tr>
        <w:trPr/>
        <w:tc>
          <w:tcPr>
            <w:tcW w:w="325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2015</w:t>
            </w:r>
          </w:p>
        </w:tc>
        <w:tc>
          <w:tcPr>
            <w:tcW w:w="210"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0"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0" w:type="dxa"/>
            <w:tcBorders/>
            <w:shd w:fill="auto" w:val="clear"/>
            <w:vAlign w:val="bottom"/>
          </w:tcPr>
          <w:p>
            <w:pPr>
              <w:pStyle w:val="TableContents"/>
              <w:spacing w:before="0" w:after="0"/>
              <w:ind w:left="0" w:right="0" w:hanging="0"/>
              <w:rPr/>
            </w:pPr>
            <w:r>
              <w:rPr/>
              <w:t> </w:t>
            </w:r>
          </w:p>
        </w:tc>
        <w:tc>
          <w:tcPr>
            <w:tcW w:w="2395"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$1.04</w:t>
            </w:r>
          </w:p>
        </w:tc>
        <w:tc>
          <w:tcPr>
            <w:tcW w:w="116" w:type="dxa"/>
            <w:tcBorders/>
            <w:shd w:fill="auto" w:val="clear"/>
            <w:vAlign w:val="bottom"/>
          </w:tcPr>
          <w:p>
            <w:pPr>
              <w:pStyle w:val="TableContents"/>
              <w:spacing w:before="0" w:after="0"/>
              <w:ind w:left="0" w:right="0" w:hanging="0"/>
              <w:rPr/>
            </w:pPr>
            <w:r>
              <w:rPr/>
              <w:t> </w:t>
            </w:r>
          </w:p>
        </w:tc>
      </w:tr>
      <w:tr>
        <w:trPr/>
        <w:tc>
          <w:tcPr>
            <w:tcW w:w="325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pPr>
            <w:r>
              <w:rPr/>
              <w:t> </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w:t>
            </w:r>
          </w:p>
        </w:tc>
        <w:tc>
          <w:tcPr>
            <w:tcW w:w="210" w:type="dxa"/>
            <w:tcBorders/>
            <w:shd w:fill="CCEEFF" w:val="clear"/>
            <w:vAlign w:val="bottom"/>
          </w:tcPr>
          <w:p>
            <w:pPr>
              <w:pStyle w:val="TableContents"/>
              <w:spacing w:before="0" w:after="0"/>
              <w:ind w:left="0" w:right="0" w:hanging="0"/>
              <w:rPr/>
            </w:pPr>
            <w:r>
              <w:rPr/>
              <w:t> </w:t>
            </w:r>
          </w:p>
        </w:tc>
        <w:tc>
          <w:tcPr>
            <w:tcW w:w="2395"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$1.03</w:t>
            </w:r>
          </w:p>
        </w:tc>
        <w:tc>
          <w:tcPr>
            <w:tcW w:w="116" w:type="dxa"/>
            <w:tcBorders/>
            <w:shd w:fill="CCEEFF" w:val="clear"/>
            <w:vAlign w:val="bottom"/>
          </w:tcPr>
          <w:p>
            <w:pPr>
              <w:pStyle w:val="TableContents"/>
              <w:spacing w:before="0" w:after="0"/>
              <w:ind w:left="0" w:right="0" w:hanging="0"/>
              <w:rPr/>
            </w:pPr>
            <w:r>
              <w:rPr/>
              <w:t> </w:t>
            </w:r>
          </w:p>
        </w:tc>
      </w:tr>
      <w:tr>
        <w:trPr/>
        <w:tc>
          <w:tcPr>
            <w:tcW w:w="325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rPr/>
            </w:pPr>
            <w:r>
              <w:rPr/>
              <w:t> </w:t>
            </w:r>
          </w:p>
        </w:tc>
        <w:tc>
          <w:tcPr>
            <w:tcW w:w="1165"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65"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2395" w:type="dxa"/>
            <w:tcBorders/>
            <w:shd w:fill="auto" w:val="clear"/>
            <w:vAlign w:val="bottom"/>
          </w:tcPr>
          <w:p>
            <w:pPr>
              <w:pStyle w:val="TableContents"/>
              <w:spacing w:before="0" w:after="0"/>
              <w:ind w:left="0" w:right="0" w:hanging="0"/>
              <w:jc w:val="center"/>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325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Forward exchange contracts that exchange USD for CAD:</w:t>
            </w:r>
          </w:p>
        </w:tc>
        <w:tc>
          <w:tcPr>
            <w:tcW w:w="210"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pPr>
            <w:r>
              <w:rPr/>
              <w:t> </w:t>
            </w:r>
          </w:p>
        </w:tc>
        <w:tc>
          <w:tcPr>
            <w:tcW w:w="210"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2395" w:type="dxa"/>
            <w:tcBorders/>
            <w:shd w:fill="CCEEFF" w:val="clear"/>
            <w:vAlign w:val="bottom"/>
          </w:tcPr>
          <w:p>
            <w:pPr>
              <w:pStyle w:val="TableContents"/>
              <w:spacing w:before="0" w:after="0"/>
              <w:ind w:left="0" w:right="0" w:hanging="0"/>
              <w:jc w:val="center"/>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325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2013</w:t>
            </w:r>
          </w:p>
        </w:tc>
        <w:tc>
          <w:tcPr>
            <w:tcW w:w="2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210" w:type="dxa"/>
            <w:tcBorders/>
            <w:shd w:fill="auto" w:val="clear"/>
            <w:vAlign w:val="bottom"/>
          </w:tcPr>
          <w:p>
            <w:pPr>
              <w:pStyle w:val="TableContents"/>
              <w:spacing w:before="0" w:after="0"/>
              <w:ind w:left="0" w:right="0" w:hanging="0"/>
              <w:rPr/>
            </w:pPr>
            <w:r>
              <w:rPr/>
              <w:t> </w:t>
            </w:r>
          </w:p>
        </w:tc>
        <w:tc>
          <w:tcPr>
            <w:tcW w:w="2395"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$1.03</w:t>
            </w:r>
          </w:p>
        </w:tc>
        <w:tc>
          <w:tcPr>
            <w:tcW w:w="116" w:type="dxa"/>
            <w:tcBorders/>
            <w:shd w:fill="auto" w:val="clear"/>
            <w:vAlign w:val="bottom"/>
          </w:tcPr>
          <w:p>
            <w:pPr>
              <w:pStyle w:val="TableContents"/>
              <w:spacing w:before="0" w:after="0"/>
              <w:ind w:left="0" w:right="0" w:hanging="0"/>
              <w:rPr/>
            </w:pPr>
            <w:r>
              <w:rPr/>
              <w:t> </w:t>
            </w:r>
          </w:p>
        </w:tc>
      </w:tr>
      <w:tr>
        <w:trPr/>
        <w:tc>
          <w:tcPr>
            <w:tcW w:w="325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2014</w:t>
            </w:r>
          </w:p>
        </w:tc>
        <w:tc>
          <w:tcPr>
            <w:tcW w:w="210"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0"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10" w:type="dxa"/>
            <w:tcBorders/>
            <w:shd w:fill="CCEEFF" w:val="clear"/>
            <w:vAlign w:val="bottom"/>
          </w:tcPr>
          <w:p>
            <w:pPr>
              <w:pStyle w:val="TableContents"/>
              <w:spacing w:before="0" w:after="0"/>
              <w:ind w:left="0" w:right="0" w:hanging="0"/>
              <w:rPr/>
            </w:pPr>
            <w:r>
              <w:rPr/>
              <w:t> </w:t>
            </w:r>
          </w:p>
        </w:tc>
        <w:tc>
          <w:tcPr>
            <w:tcW w:w="2395"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$1.04</w:t>
            </w:r>
          </w:p>
        </w:tc>
        <w:tc>
          <w:tcPr>
            <w:tcW w:w="116" w:type="dxa"/>
            <w:tcBorders/>
            <w:shd w:fill="CCEEFF" w:val="clear"/>
            <w:vAlign w:val="bottom"/>
          </w:tcPr>
          <w:p>
            <w:pPr>
              <w:pStyle w:val="TableContents"/>
              <w:spacing w:before="0" w:after="0"/>
              <w:ind w:left="0" w:right="0" w:hanging="0"/>
              <w:rPr/>
            </w:pPr>
            <w:r>
              <w:rPr/>
              <w:t> </w:t>
            </w:r>
          </w:p>
        </w:tc>
      </w:tr>
      <w:tr>
        <w:trPr/>
        <w:tc>
          <w:tcPr>
            <w:tcW w:w="325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2015</w:t>
            </w:r>
          </w:p>
        </w:tc>
        <w:tc>
          <w:tcPr>
            <w:tcW w:w="210"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0"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0" w:type="dxa"/>
            <w:tcBorders/>
            <w:shd w:fill="auto" w:val="clear"/>
            <w:vAlign w:val="bottom"/>
          </w:tcPr>
          <w:p>
            <w:pPr>
              <w:pStyle w:val="TableContents"/>
              <w:spacing w:before="0" w:after="0"/>
              <w:ind w:left="0" w:right="0" w:hanging="0"/>
              <w:rPr/>
            </w:pPr>
            <w:r>
              <w:rPr/>
              <w:t> </w:t>
            </w:r>
          </w:p>
        </w:tc>
        <w:tc>
          <w:tcPr>
            <w:tcW w:w="2395"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$1.06</w:t>
            </w:r>
          </w:p>
        </w:tc>
        <w:tc>
          <w:tcPr>
            <w:tcW w:w="116" w:type="dxa"/>
            <w:tcBorders/>
            <w:shd w:fill="auto" w:val="clear"/>
            <w:vAlign w:val="bottom"/>
          </w:tcPr>
          <w:p>
            <w:pPr>
              <w:pStyle w:val="TableContents"/>
              <w:spacing w:before="0" w:after="0"/>
              <w:ind w:left="0" w:right="0" w:hanging="0"/>
              <w:rPr/>
            </w:pPr>
            <w:r>
              <w:rPr/>
              <w:t> </w:t>
            </w:r>
          </w:p>
        </w:tc>
      </w:tr>
      <w:tr>
        <w:trPr/>
        <w:tc>
          <w:tcPr>
            <w:tcW w:w="325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pPr>
            <w:r>
              <w:rPr/>
              <w:t> </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210" w:type="dxa"/>
            <w:tcBorders/>
            <w:shd w:fill="CCEEFF" w:val="clear"/>
            <w:vAlign w:val="bottom"/>
          </w:tcPr>
          <w:p>
            <w:pPr>
              <w:pStyle w:val="TableContents"/>
              <w:spacing w:before="0" w:after="0"/>
              <w:ind w:left="0" w:right="0" w:hanging="0"/>
              <w:rPr/>
            </w:pPr>
            <w:r>
              <w:rPr/>
              <w:t> </w:t>
            </w:r>
          </w:p>
        </w:tc>
        <w:tc>
          <w:tcPr>
            <w:tcW w:w="2395"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$1.03</w:t>
            </w:r>
          </w:p>
        </w:tc>
        <w:tc>
          <w:tcPr>
            <w:tcW w:w="116" w:type="dxa"/>
            <w:tcBorders/>
            <w:shd w:fill="CCEEFF" w:val="clear"/>
            <w:vAlign w:val="bottom"/>
          </w:tcPr>
          <w:p>
            <w:pPr>
              <w:pStyle w:val="TableContents"/>
              <w:spacing w:before="0" w:after="0"/>
              <w:ind w:left="0" w:right="0" w:hanging="0"/>
              <w:rPr/>
            </w:pPr>
            <w:r>
              <w:rPr/>
              <w:t> </w:t>
            </w:r>
          </w:p>
        </w:tc>
      </w:tr>
      <w:tr>
        <w:trPr/>
        <w:tc>
          <w:tcPr>
            <w:tcW w:w="325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rPr/>
            </w:pPr>
            <w:r>
              <w:rPr/>
              <w:t> </w:t>
            </w:r>
          </w:p>
        </w:tc>
        <w:tc>
          <w:tcPr>
            <w:tcW w:w="1165"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165"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2395" w:type="dxa"/>
            <w:tcBorders/>
            <w:shd w:fill="auto" w:val="clear"/>
            <w:vAlign w:val="bottom"/>
          </w:tcPr>
          <w:p>
            <w:pPr>
              <w:pStyle w:val="TableContents"/>
              <w:spacing w:before="0" w:after="0"/>
              <w:ind w:left="0" w:right="0" w:hanging="0"/>
              <w:jc w:val="center"/>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325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position by currency:</w:t>
            </w:r>
          </w:p>
        </w:tc>
        <w:tc>
          <w:tcPr>
            <w:tcW w:w="210"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pPr>
            <w:r>
              <w:rPr/>
              <w:t> </w:t>
            </w:r>
          </w:p>
        </w:tc>
        <w:tc>
          <w:tcPr>
            <w:tcW w:w="210"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2395" w:type="dxa"/>
            <w:tcBorders/>
            <w:shd w:fill="CCEEFF" w:val="clear"/>
            <w:vAlign w:val="bottom"/>
          </w:tcPr>
          <w:p>
            <w:pPr>
              <w:pStyle w:val="TableContents"/>
              <w:spacing w:before="0" w:after="0"/>
              <w:ind w:left="0" w:right="0" w:hanging="0"/>
              <w:jc w:val="center"/>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325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2013</w:t>
            </w:r>
          </w:p>
        </w:tc>
        <w:tc>
          <w:tcPr>
            <w:tcW w:w="2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0" w:type="dxa"/>
            <w:tcBorders/>
            <w:shd w:fill="auto" w:val="clear"/>
            <w:vAlign w:val="bottom"/>
          </w:tcPr>
          <w:p>
            <w:pPr>
              <w:pStyle w:val="TableContents"/>
              <w:spacing w:before="0" w:after="0"/>
              <w:ind w:left="0" w:right="0" w:hanging="0"/>
              <w:rPr/>
            </w:pPr>
            <w:r>
              <w:rPr/>
              <w:t> </w:t>
            </w:r>
          </w:p>
        </w:tc>
        <w:tc>
          <w:tcPr>
            <w:tcW w:w="2395" w:type="dxa"/>
            <w:tcBorders/>
            <w:shd w:fill="auto" w:val="clear"/>
            <w:vAlign w:val="bottom"/>
          </w:tcPr>
          <w:p>
            <w:pPr>
              <w:pStyle w:val="TableContents"/>
              <w:spacing w:before="0" w:after="0"/>
              <w:ind w:left="0" w:right="0" w:hanging="0"/>
              <w:jc w:val="center"/>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325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2014</w:t>
            </w:r>
          </w:p>
        </w:tc>
        <w:tc>
          <w:tcPr>
            <w:tcW w:w="210"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c>
          <w:tcPr>
            <w:tcW w:w="2395" w:type="dxa"/>
            <w:tcBorders/>
            <w:shd w:fill="CCEEFF" w:val="clear"/>
            <w:vAlign w:val="bottom"/>
          </w:tcPr>
          <w:p>
            <w:pPr>
              <w:pStyle w:val="TableContents"/>
              <w:spacing w:before="0" w:after="0"/>
              <w:ind w:left="0" w:right="0" w:hanging="0"/>
              <w:jc w:val="center"/>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325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2015</w:t>
            </w:r>
          </w:p>
        </w:tc>
        <w:tc>
          <w:tcPr>
            <w:tcW w:w="210"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2395" w:type="dxa"/>
            <w:tcBorders/>
            <w:shd w:fill="auto" w:val="clear"/>
            <w:vAlign w:val="bottom"/>
          </w:tcPr>
          <w:p>
            <w:pPr>
              <w:pStyle w:val="TableContents"/>
              <w:spacing w:before="0" w:after="0"/>
              <w:ind w:left="0" w:right="0" w:hanging="0"/>
              <w:jc w:val="center"/>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3256" w:type="dxa"/>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pPr>
            <w:r>
              <w:rPr/>
              <w:t> </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0" w:type="dxa"/>
            <w:tcBorders/>
            <w:shd w:fill="CCEEFF" w:val="clear"/>
            <w:vAlign w:val="bottom"/>
          </w:tcPr>
          <w:p>
            <w:pPr>
              <w:pStyle w:val="TableContents"/>
              <w:spacing w:before="0" w:after="0"/>
              <w:ind w:left="0" w:right="0" w:hanging="0"/>
              <w:rPr/>
            </w:pPr>
            <w:r>
              <w:rPr/>
              <w:t> </w:t>
            </w:r>
          </w:p>
        </w:tc>
        <w:tc>
          <w:tcPr>
            <w:tcW w:w="2395" w:type="dxa"/>
            <w:tcBorders/>
            <w:shd w:fill="CCEEFF" w:val="clear"/>
            <w:vAlign w:val="bottom"/>
          </w:tcPr>
          <w:p>
            <w:pPr>
              <w:pStyle w:val="TableContents"/>
              <w:spacing w:before="0" w:after="0"/>
              <w:ind w:left="0" w:right="0" w:hanging="0"/>
              <w:jc w:val="center"/>
              <w:rPr/>
            </w:pPr>
            <w:r>
              <w:rPr/>
              <w:t> </w:t>
            </w:r>
          </w:p>
        </w:tc>
        <w:tc>
          <w:tcPr>
            <w:tcW w:w="11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Summary of Financial Impact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condensed consolidated statements of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40" w:name="PB_20_153706_7608"/>
      <w:bookmarkEnd w:id="4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summary of the impact of our derivative activities recognized in earnings for the three and nine months ended September 30, 2013 and 2012 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734"/>
        <w:gridCol w:w="139"/>
        <w:gridCol w:w="217"/>
        <w:gridCol w:w="725"/>
        <w:gridCol w:w="214"/>
        <w:gridCol w:w="273"/>
        <w:gridCol w:w="597"/>
        <w:gridCol w:w="167"/>
        <w:gridCol w:w="221"/>
        <w:gridCol w:w="687"/>
        <w:gridCol w:w="193"/>
        <w:gridCol w:w="187"/>
        <w:gridCol w:w="531"/>
        <w:gridCol w:w="111"/>
        <w:gridCol w:w="95"/>
        <w:gridCol w:w="217"/>
        <w:gridCol w:w="725"/>
        <w:gridCol w:w="214"/>
        <w:gridCol w:w="273"/>
        <w:gridCol w:w="597"/>
        <w:gridCol w:w="163"/>
        <w:gridCol w:w="186"/>
        <w:gridCol w:w="722"/>
        <w:gridCol w:w="187"/>
        <w:gridCol w:w="178"/>
        <w:gridCol w:w="521"/>
        <w:gridCol w:w="131"/>
      </w:tblGrid>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jc w:val="center"/>
              <w:rPr/>
            </w:pPr>
            <w:r>
              <w:rPr/>
              <w:t> </w:t>
            </w:r>
          </w:p>
        </w:tc>
        <w:tc>
          <w:tcPr>
            <w:tcW w:w="401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2013</w:t>
            </w:r>
          </w:p>
        </w:tc>
        <w:tc>
          <w:tcPr>
            <w:tcW w:w="111" w:type="dxa"/>
            <w:tcBorders/>
            <w:shd w:fill="auto" w:val="clear"/>
            <w:vAlign w:val="bottom"/>
          </w:tcPr>
          <w:p>
            <w:pPr>
              <w:pStyle w:val="TableContents"/>
              <w:spacing w:before="0" w:after="0"/>
              <w:ind w:left="0" w:right="0" w:hanging="0"/>
              <w:jc w:val="center"/>
              <w:rPr/>
            </w:pPr>
            <w:r>
              <w:rPr/>
              <w:t> </w:t>
            </w:r>
          </w:p>
        </w:tc>
        <w:tc>
          <w:tcPr>
            <w:tcW w:w="95" w:type="dxa"/>
            <w:tcBorders/>
            <w:shd w:fill="auto" w:val="clear"/>
            <w:vAlign w:val="bottom"/>
          </w:tcPr>
          <w:p>
            <w:pPr>
              <w:pStyle w:val="TableContents"/>
              <w:spacing w:before="0" w:after="0"/>
              <w:ind w:left="0" w:right="0" w:hanging="0"/>
              <w:jc w:val="center"/>
              <w:rPr/>
            </w:pPr>
            <w:r>
              <w:rPr/>
              <w:t> </w:t>
            </w:r>
          </w:p>
        </w:tc>
        <w:tc>
          <w:tcPr>
            <w:tcW w:w="3983"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2012</w:t>
            </w:r>
          </w:p>
        </w:tc>
        <w:tc>
          <w:tcPr>
            <w:tcW w:w="131" w:type="dxa"/>
            <w:tcBorders/>
            <w:shd w:fill="auto" w:val="clear"/>
            <w:vAlign w:val="bottom"/>
          </w:tcPr>
          <w:p>
            <w:pPr>
              <w:pStyle w:val="TableContents"/>
              <w:spacing w:before="0" w:after="0"/>
              <w:ind w:left="0" w:right="0" w:hanging="0"/>
              <w:jc w:val="center"/>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jc w:val="center"/>
              <w:rPr/>
            </w:pPr>
            <w:r>
              <w:rPr/>
              <w:t> </w:t>
            </w:r>
          </w:p>
        </w:tc>
        <w:tc>
          <w:tcPr>
            <w:tcW w:w="202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w:t>
              <w:br/>
              <w:t>Relationships</w:t>
            </w:r>
          </w:p>
        </w:tc>
        <w:tc>
          <w:tcPr>
            <w:tcW w:w="16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0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718" w:type="dxa"/>
            <w:gridSpan w:val="2"/>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95" w:type="dxa"/>
            <w:tcBorders/>
            <w:shd w:fill="auto" w:val="clear"/>
            <w:vAlign w:val="bottom"/>
          </w:tcPr>
          <w:p>
            <w:pPr>
              <w:pStyle w:val="TableContents"/>
              <w:spacing w:before="0" w:after="0"/>
              <w:ind w:left="0" w:right="0" w:hanging="0"/>
              <w:jc w:val="center"/>
              <w:rPr/>
            </w:pPr>
            <w:r>
              <w:rPr/>
              <w:t> </w:t>
            </w:r>
          </w:p>
        </w:tc>
        <w:tc>
          <w:tcPr>
            <w:tcW w:w="202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w:t>
              <w:br/>
              <w:t>Relationships</w:t>
            </w:r>
          </w:p>
        </w:tc>
        <w:tc>
          <w:tcPr>
            <w:tcW w:w="16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0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1" w:type="dxa"/>
            <w:tcBorders/>
            <w:shd w:fill="auto" w:val="clear"/>
            <w:vAlign w:val="bottom"/>
          </w:tcPr>
          <w:p>
            <w:pPr>
              <w:pStyle w:val="TableContents"/>
              <w:spacing w:before="0" w:after="0"/>
              <w:ind w:left="0" w:right="0" w:hanging="0"/>
              <w:jc w:val="center"/>
              <w:rPr/>
            </w:pPr>
            <w:r>
              <w:rPr/>
              <w:t> </w:t>
            </w:r>
          </w:p>
        </w:tc>
      </w:tr>
      <w:tr>
        <w:trPr/>
        <w:tc>
          <w:tcPr>
            <w:tcW w:w="173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39" w:type="dxa"/>
            <w:tcBorders/>
            <w:shd w:fill="auto" w:val="clear"/>
            <w:vAlign w:val="bottom"/>
          </w:tcPr>
          <w:p>
            <w:pPr>
              <w:pStyle w:val="TableContents"/>
              <w:spacing w:before="0" w:after="0"/>
              <w:ind w:left="0" w:right="0" w:hanging="0"/>
              <w:jc w:val="center"/>
              <w:rPr/>
            </w:pPr>
            <w:r>
              <w:rPr/>
              <w:t> </w:t>
            </w:r>
          </w:p>
        </w:tc>
        <w:tc>
          <w:tcPr>
            <w:tcW w:w="9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Gain/(loss)</w:t>
              <w:br/>
              <w:t>reclassified</w:t>
              <w:br/>
              <w:t>from</w:t>
              <w:br/>
              <w:t>AOCI into</w:t>
              <w:br/>
              <w:t>income </w:t>
            </w:r>
            <w:r>
              <w:rPr>
                <w:b/>
                <w:sz w:val="8"/>
              </w:rPr>
              <w:t>(1)</w:t>
            </w:r>
          </w:p>
        </w:tc>
        <w:tc>
          <w:tcPr>
            <w:tcW w:w="214" w:type="dxa"/>
            <w:tcBorders/>
            <w:shd w:fill="auto" w:val="clear"/>
            <w:vAlign w:val="bottom"/>
          </w:tcPr>
          <w:p>
            <w:pPr>
              <w:pStyle w:val="TableContents"/>
              <w:spacing w:before="0" w:after="0"/>
              <w:ind w:left="0" w:right="0" w:hanging="0"/>
              <w:jc w:val="center"/>
              <w:rPr/>
            </w:pPr>
            <w:r>
              <w:rPr/>
              <w:t> </w:t>
            </w:r>
          </w:p>
        </w:tc>
        <w:tc>
          <w:tcPr>
            <w:tcW w:w="87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br/>
              <w:t>gain/(loss)</w:t>
              <w:br/>
              <w:t>recognized</w:t>
              <w:br/>
              <w:t>in income</w:t>
            </w:r>
          </w:p>
        </w:tc>
        <w:tc>
          <w:tcPr>
            <w:tcW w:w="167" w:type="dxa"/>
            <w:tcBorders/>
            <w:shd w:fill="auto" w:val="clear"/>
            <w:vAlign w:val="bottom"/>
          </w:tcPr>
          <w:p>
            <w:pPr>
              <w:pStyle w:val="TableContents"/>
              <w:spacing w:before="0" w:after="0"/>
              <w:ind w:left="0" w:right="0" w:hanging="0"/>
              <w:jc w:val="center"/>
              <w:rPr/>
            </w:pPr>
            <w:r>
              <w:rPr/>
              <w:t> </w:t>
            </w:r>
          </w:p>
        </w:tc>
        <w:tc>
          <w:tcPr>
            <w:tcW w:w="9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br/>
              <w:t>Not</w:t>
              <w:br/>
              <w:t>Designated</w:t>
              <w:br/>
              <w:t>as a</w:t>
              <w:br/>
              <w:t>Hedge</w:t>
            </w:r>
          </w:p>
        </w:tc>
        <w:tc>
          <w:tcPr>
            <w:tcW w:w="193" w:type="dxa"/>
            <w:tcBorders/>
            <w:shd w:fill="auto" w:val="clear"/>
            <w:vAlign w:val="bottom"/>
          </w:tcPr>
          <w:p>
            <w:pPr>
              <w:pStyle w:val="TableContents"/>
              <w:spacing w:before="0" w:after="0"/>
              <w:ind w:left="0" w:right="0" w:hanging="0"/>
              <w:jc w:val="center"/>
              <w:rPr/>
            </w:pPr>
            <w:r>
              <w:rPr/>
              <w:t> </w:t>
            </w:r>
          </w:p>
        </w:tc>
        <w:tc>
          <w:tcPr>
            <w:tcW w:w="7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11" w:type="dxa"/>
            <w:tcBorders/>
            <w:shd w:fill="auto" w:val="clear"/>
            <w:vAlign w:val="bottom"/>
          </w:tcPr>
          <w:p>
            <w:pPr>
              <w:pStyle w:val="TableContents"/>
              <w:spacing w:before="0" w:after="0"/>
              <w:ind w:left="0" w:right="0" w:hanging="0"/>
              <w:jc w:val="center"/>
              <w:rPr/>
            </w:pPr>
            <w:r>
              <w:rPr/>
              <w:t> </w:t>
            </w:r>
          </w:p>
        </w:tc>
        <w:tc>
          <w:tcPr>
            <w:tcW w:w="95" w:type="dxa"/>
            <w:tcBorders/>
            <w:shd w:fill="auto" w:val="clear"/>
            <w:vAlign w:val="bottom"/>
          </w:tcPr>
          <w:p>
            <w:pPr>
              <w:pStyle w:val="TableContents"/>
              <w:spacing w:before="0" w:after="0"/>
              <w:ind w:left="0" w:right="0" w:hanging="0"/>
              <w:jc w:val="center"/>
              <w:rPr/>
            </w:pPr>
            <w:r>
              <w:rPr/>
              <w:t> </w:t>
            </w:r>
          </w:p>
        </w:tc>
        <w:tc>
          <w:tcPr>
            <w:tcW w:w="9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Gain/(loss)</w:t>
              <w:br/>
              <w:t>reclassified</w:t>
              <w:br/>
              <w:t>from</w:t>
              <w:br/>
              <w:t>AOCI into</w:t>
              <w:br/>
              <w:t>income </w:t>
            </w:r>
            <w:r>
              <w:rPr>
                <w:b/>
                <w:sz w:val="8"/>
              </w:rPr>
              <w:t>(1)</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7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br/>
              <w:t>gain/(loss)</w:t>
              <w:br/>
              <w:t>recognized</w:t>
              <w:br/>
              <w:t>in income</w:t>
            </w:r>
          </w:p>
        </w:tc>
        <w:tc>
          <w:tcPr>
            <w:tcW w:w="163" w:type="dxa"/>
            <w:tcBorders/>
            <w:shd w:fill="auto" w:val="clear"/>
            <w:vAlign w:val="bottom"/>
          </w:tcPr>
          <w:p>
            <w:pPr>
              <w:pStyle w:val="TableContents"/>
              <w:spacing w:before="0" w:after="0"/>
              <w:ind w:left="0" w:right="0" w:hanging="0"/>
              <w:jc w:val="center"/>
              <w:rPr/>
            </w:pPr>
            <w:r>
              <w:rPr/>
              <w:t> </w:t>
            </w:r>
          </w:p>
        </w:tc>
        <w:tc>
          <w:tcPr>
            <w:tcW w:w="9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br/>
              <w:t>Not</w:t>
              <w:br/>
              <w:t>Designated</w:t>
              <w:br/>
              <w:t>as a</w:t>
              <w:br/>
              <w:t>Hedge</w:t>
            </w:r>
          </w:p>
        </w:tc>
        <w:tc>
          <w:tcPr>
            <w:tcW w:w="187" w:type="dxa"/>
            <w:tcBorders/>
            <w:shd w:fill="auto" w:val="clear"/>
            <w:vAlign w:val="bottom"/>
          </w:tcPr>
          <w:p>
            <w:pPr>
              <w:pStyle w:val="TableContents"/>
              <w:spacing w:before="0" w:after="0"/>
              <w:ind w:left="0" w:right="0" w:hanging="0"/>
              <w:jc w:val="center"/>
              <w:rPr/>
            </w:pPr>
            <w:r>
              <w:rPr/>
              <w:t> </w:t>
            </w:r>
          </w:p>
        </w:tc>
        <w:tc>
          <w:tcPr>
            <w:tcW w:w="6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1" w:type="dxa"/>
            <w:tcBorders/>
            <w:shd w:fill="auto" w:val="clear"/>
            <w:vAlign w:val="bottom"/>
          </w:tcPr>
          <w:p>
            <w:pPr>
              <w:pStyle w:val="TableContents"/>
              <w:spacing w:before="0" w:after="0"/>
              <w:ind w:left="0" w:right="0" w:hanging="0"/>
              <w:jc w:val="center"/>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pPr>
            <w:r>
              <w:rPr/>
              <w:t> </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39"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14" w:type="dxa"/>
            <w:tcBorders/>
            <w:shd w:fill="CCEEFF" w:val="clear"/>
            <w:vAlign w:val="bottom"/>
          </w:tcPr>
          <w:p>
            <w:pPr>
              <w:pStyle w:val="TableContents"/>
              <w:spacing w:before="0" w:after="0"/>
              <w:ind w:left="0" w:right="0" w:hanging="0"/>
              <w:rPr/>
            </w:pPr>
            <w:r>
              <w:rPr/>
              <w:t> </w:t>
            </w:r>
          </w:p>
        </w:tc>
        <w:tc>
          <w:tcPr>
            <w:tcW w:w="2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shd w:fill="CCEEFF" w:val="clear"/>
            <w:vAlign w:val="bottom"/>
          </w:tcPr>
          <w:p>
            <w:pPr>
              <w:pStyle w:val="TableContents"/>
              <w:spacing w:before="0" w:after="0"/>
              <w:ind w:left="0" w:right="0" w:hanging="0"/>
              <w:rPr/>
            </w:pPr>
            <w:r>
              <w:rPr/>
              <w:t> </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14" w:type="dxa"/>
            <w:tcBorders/>
            <w:shd w:fill="CCEEFF" w:val="clear"/>
            <w:vAlign w:val="bottom"/>
          </w:tcPr>
          <w:p>
            <w:pPr>
              <w:pStyle w:val="TableContents"/>
              <w:spacing w:before="0" w:after="0"/>
              <w:ind w:left="0" w:right="0" w:hanging="0"/>
              <w:rPr/>
            </w:pPr>
            <w:r>
              <w:rPr/>
              <w:t> </w:t>
            </w:r>
          </w:p>
        </w:tc>
        <w:tc>
          <w:tcPr>
            <w:tcW w:w="2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pPr>
            <w:r>
              <w:rPr/>
              <w:t> </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pPr>
            <w:r>
              <w:rPr/>
              <w:t> </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Net Income</w:t>
            </w:r>
          </w:p>
        </w:tc>
        <w:tc>
          <w:tcPr>
            <w:tcW w:w="139" w:type="dxa"/>
            <w:tcBorders/>
            <w:shd w:fill="CCEEFF" w:val="clear"/>
            <w:vAlign w:val="bottom"/>
          </w:tcPr>
          <w:p>
            <w:pPr>
              <w:pStyle w:val="TableContents"/>
              <w:spacing w:before="0" w:after="0"/>
              <w:ind w:left="0" w:right="0" w:hanging="0"/>
              <w:rPr/>
            </w:pPr>
            <w:r>
              <w:rPr/>
              <w:t> </w:t>
            </w:r>
          </w:p>
        </w:tc>
        <w:tc>
          <w:tcPr>
            <w:tcW w:w="2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106</w:t>
            </w:r>
          </w:p>
        </w:tc>
        <w:tc>
          <w:tcPr>
            <w:tcW w:w="214" w:type="dxa"/>
            <w:tcBorders/>
            <w:shd w:fill="CCEEFF" w:val="clear"/>
            <w:vAlign w:val="bottom"/>
          </w:tcPr>
          <w:p>
            <w:pPr>
              <w:pStyle w:val="TableContents"/>
              <w:spacing w:before="0" w:after="0"/>
              <w:ind w:left="0" w:right="0" w:hanging="0"/>
              <w:rPr/>
            </w:pPr>
            <w:r>
              <w:rPr/>
              <w:t> </w:t>
            </w:r>
          </w:p>
        </w:tc>
        <w:tc>
          <w:tcPr>
            <w:tcW w:w="27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w:t>
            </w:r>
          </w:p>
        </w:tc>
        <w:tc>
          <w:tcPr>
            <w:tcW w:w="167" w:type="dxa"/>
            <w:tcBorders/>
            <w:shd w:fill="CCEEFF" w:val="clear"/>
            <w:vAlign w:val="bottom"/>
          </w:tcPr>
          <w:p>
            <w:pPr>
              <w:pStyle w:val="TableContents"/>
              <w:spacing w:before="0" w:after="0"/>
              <w:ind w:left="0" w:right="0" w:hanging="0"/>
              <w:rPr/>
            </w:pPr>
            <w:r>
              <w:rPr/>
              <w:t> </w:t>
            </w:r>
          </w:p>
        </w:tc>
        <w:tc>
          <w:tcPr>
            <w:tcW w:w="2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(89</w:t>
            </w:r>
          </w:p>
        </w:tc>
        <w:tc>
          <w:tcPr>
            <w:tcW w:w="1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8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20</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2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122</w:t>
            </w:r>
          </w:p>
        </w:tc>
        <w:tc>
          <w:tcPr>
            <w:tcW w:w="214" w:type="dxa"/>
            <w:tcBorders/>
            <w:shd w:fill="CCEEFF" w:val="clear"/>
            <w:vAlign w:val="bottom"/>
          </w:tcPr>
          <w:p>
            <w:pPr>
              <w:pStyle w:val="TableContents"/>
              <w:spacing w:before="0" w:after="0"/>
              <w:ind w:left="0" w:right="0" w:hanging="0"/>
              <w:rPr/>
            </w:pPr>
            <w:r>
              <w:rPr/>
              <w:t> </w:t>
            </w:r>
          </w:p>
        </w:tc>
        <w:tc>
          <w:tcPr>
            <w:tcW w:w="27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63"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(94</w:t>
            </w:r>
          </w:p>
        </w:tc>
        <w:tc>
          <w:tcPr>
            <w:tcW w:w="18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7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28</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41" w:name="PB_21_154456_8146"/>
      <w:bookmarkEnd w:id="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700"/>
        <w:gridCol w:w="135"/>
        <w:gridCol w:w="216"/>
        <w:gridCol w:w="716"/>
        <w:gridCol w:w="211"/>
        <w:gridCol w:w="274"/>
        <w:gridCol w:w="586"/>
        <w:gridCol w:w="156"/>
        <w:gridCol w:w="220"/>
        <w:gridCol w:w="678"/>
        <w:gridCol w:w="181"/>
        <w:gridCol w:w="174"/>
        <w:gridCol w:w="609"/>
        <w:gridCol w:w="110"/>
        <w:gridCol w:w="92"/>
        <w:gridCol w:w="213"/>
        <w:gridCol w:w="707"/>
        <w:gridCol w:w="209"/>
        <w:gridCol w:w="261"/>
        <w:gridCol w:w="598"/>
        <w:gridCol w:w="184"/>
        <w:gridCol w:w="254"/>
        <w:gridCol w:w="643"/>
        <w:gridCol w:w="158"/>
        <w:gridCol w:w="178"/>
        <w:gridCol w:w="617"/>
        <w:gridCol w:w="125"/>
      </w:tblGrid>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jc w:val="center"/>
              <w:rPr/>
            </w:pPr>
            <w:r>
              <w:rPr/>
              <w:t> </w:t>
            </w:r>
          </w:p>
        </w:tc>
        <w:tc>
          <w:tcPr>
            <w:tcW w:w="4021"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2013</w:t>
            </w:r>
          </w:p>
        </w:tc>
        <w:tc>
          <w:tcPr>
            <w:tcW w:w="202" w:type="dxa"/>
            <w:gridSpan w:val="2"/>
            <w:tcBorders/>
            <w:shd w:fill="auto" w:val="clear"/>
            <w:vAlign w:val="bottom"/>
          </w:tcPr>
          <w:p>
            <w:pPr>
              <w:pStyle w:val="TableContents"/>
              <w:spacing w:before="0" w:after="0"/>
              <w:ind w:left="0" w:right="0" w:hanging="0"/>
              <w:jc w:val="center"/>
              <w:rPr/>
            </w:pPr>
            <w:r>
              <w:rPr/>
              <w:t> </w:t>
            </w:r>
          </w:p>
        </w:tc>
        <w:tc>
          <w:tcPr>
            <w:tcW w:w="402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2012</w:t>
            </w:r>
          </w:p>
        </w:tc>
        <w:tc>
          <w:tcPr>
            <w:tcW w:w="125" w:type="dxa"/>
            <w:tcBorders/>
            <w:shd w:fill="auto" w:val="clear"/>
            <w:vAlign w:val="bottom"/>
          </w:tcPr>
          <w:p>
            <w:pPr>
              <w:pStyle w:val="TableContents"/>
              <w:spacing w:before="0" w:after="0"/>
              <w:ind w:left="0" w:right="0" w:hanging="0"/>
              <w:jc w:val="center"/>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jc w:val="center"/>
              <w:rPr/>
            </w:pPr>
            <w:r>
              <w:rPr/>
              <w:t> </w:t>
            </w:r>
          </w:p>
        </w:tc>
        <w:tc>
          <w:tcPr>
            <w:tcW w:w="200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w:t>
              <w:br/>
              <w:t>Relationships</w:t>
            </w:r>
          </w:p>
        </w:tc>
        <w:tc>
          <w:tcPr>
            <w:tcW w:w="15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8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02" w:type="dxa"/>
            <w:gridSpan w:val="2"/>
            <w:tcBorders/>
            <w:shd w:fill="auto" w:val="clear"/>
            <w:vAlign w:val="bottom"/>
          </w:tcPr>
          <w:p>
            <w:pPr>
              <w:pStyle w:val="TableContents"/>
              <w:spacing w:before="0" w:after="0"/>
              <w:ind w:left="0" w:right="0" w:hanging="0"/>
              <w:jc w:val="center"/>
              <w:rPr/>
            </w:pPr>
            <w:r>
              <w:rPr/>
              <w:t> </w:t>
            </w:r>
          </w:p>
        </w:tc>
        <w:tc>
          <w:tcPr>
            <w:tcW w:w="19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w:t>
              <w:br/>
              <w:t>Relationships</w:t>
            </w:r>
          </w:p>
        </w:tc>
        <w:tc>
          <w:tcPr>
            <w:tcW w:w="18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9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0"/>
              <w:ind w:left="0" w:right="0" w:hanging="0"/>
              <w:jc w:val="center"/>
              <w:rPr/>
            </w:pPr>
            <w:r>
              <w:rPr/>
              <w:t> </w:t>
            </w:r>
          </w:p>
        </w:tc>
      </w:tr>
      <w:tr>
        <w:trPr/>
        <w:tc>
          <w:tcPr>
            <w:tcW w:w="170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35" w:type="dxa"/>
            <w:tcBorders/>
            <w:shd w:fill="auto" w:val="clear"/>
            <w:vAlign w:val="bottom"/>
          </w:tcPr>
          <w:p>
            <w:pPr>
              <w:pStyle w:val="TableContents"/>
              <w:spacing w:before="0" w:after="0"/>
              <w:ind w:left="0" w:right="0" w:hanging="0"/>
              <w:jc w:val="center"/>
              <w:rPr/>
            </w:pPr>
            <w:r>
              <w:rPr/>
              <w:t> </w:t>
            </w:r>
          </w:p>
        </w:tc>
        <w:tc>
          <w:tcPr>
            <w:tcW w:w="9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Gain/(loss)</w:t>
              <w:br/>
              <w:t>reclassified</w:t>
              <w:br/>
              <w:t>from</w:t>
              <w:br/>
              <w:t>AOCI into</w:t>
              <w:br/>
              <w:t>income </w:t>
            </w:r>
            <w:r>
              <w:rPr>
                <w:b/>
                <w:sz w:val="8"/>
              </w:rPr>
              <w:t>(1)</w:t>
            </w:r>
          </w:p>
        </w:tc>
        <w:tc>
          <w:tcPr>
            <w:tcW w:w="211" w:type="dxa"/>
            <w:tcBorders/>
            <w:shd w:fill="auto" w:val="clear"/>
            <w:vAlign w:val="bottom"/>
          </w:tcPr>
          <w:p>
            <w:pPr>
              <w:pStyle w:val="TableContents"/>
              <w:spacing w:before="0" w:after="0"/>
              <w:ind w:left="0" w:right="0" w:hanging="0"/>
              <w:jc w:val="center"/>
              <w:rPr/>
            </w:pPr>
            <w:r>
              <w:rPr/>
              <w:t> </w:t>
            </w:r>
          </w:p>
        </w:tc>
        <w:tc>
          <w:tcPr>
            <w:tcW w:w="86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br/>
              <w:t>gain/(loss)</w:t>
              <w:br/>
              <w:t>recognized</w:t>
              <w:br/>
              <w:t>in income</w:t>
            </w:r>
          </w:p>
        </w:tc>
        <w:tc>
          <w:tcPr>
            <w:tcW w:w="156" w:type="dxa"/>
            <w:tcBorders/>
            <w:shd w:fill="auto" w:val="clear"/>
            <w:vAlign w:val="bottom"/>
          </w:tcPr>
          <w:p>
            <w:pPr>
              <w:pStyle w:val="TableContents"/>
              <w:spacing w:before="0" w:after="0"/>
              <w:ind w:left="0" w:right="0" w:hanging="0"/>
              <w:jc w:val="center"/>
              <w:rPr/>
            </w:pPr>
            <w:r>
              <w:rPr/>
              <w:t> </w:t>
            </w:r>
          </w:p>
        </w:tc>
        <w:tc>
          <w:tcPr>
            <w:tcW w:w="8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br/>
              <w:t>Not</w:t>
              <w:br/>
              <w:t>Designated</w:t>
              <w:br/>
              <w:t>as a</w:t>
              <w:br/>
              <w:t>Hedge</w:t>
            </w:r>
          </w:p>
        </w:tc>
        <w:tc>
          <w:tcPr>
            <w:tcW w:w="181" w:type="dxa"/>
            <w:tcBorders/>
            <w:shd w:fill="auto" w:val="clear"/>
            <w:vAlign w:val="bottom"/>
          </w:tcPr>
          <w:p>
            <w:pPr>
              <w:pStyle w:val="TableContents"/>
              <w:spacing w:before="0" w:after="0"/>
              <w:ind w:left="0" w:right="0" w:hanging="0"/>
              <w:jc w:val="center"/>
              <w:rPr/>
            </w:pPr>
            <w:r>
              <w:rPr/>
              <w:t> </w:t>
            </w:r>
          </w:p>
        </w:tc>
        <w:tc>
          <w:tcPr>
            <w:tcW w:w="7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02" w:type="dxa"/>
            <w:gridSpan w:val="2"/>
            <w:tcBorders/>
            <w:shd w:fill="auto" w:val="clear"/>
            <w:vAlign w:val="bottom"/>
          </w:tcPr>
          <w:p>
            <w:pPr>
              <w:pStyle w:val="TableContents"/>
              <w:spacing w:before="0" w:after="0"/>
              <w:ind w:left="0" w:right="0" w:hanging="0"/>
              <w:jc w:val="center"/>
              <w:rPr/>
            </w:pPr>
            <w:r>
              <w:rPr/>
              <w:t> </w:t>
            </w:r>
          </w:p>
        </w:tc>
        <w:tc>
          <w:tcPr>
            <w:tcW w:w="9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Gain/(loss)</w:t>
              <w:br/>
              <w:t>reclassified</w:t>
              <w:br/>
              <w:t>from</w:t>
              <w:br/>
              <w:t>AOCI into</w:t>
              <w:br/>
              <w:t>income </w:t>
            </w:r>
            <w:r>
              <w:rPr>
                <w:b/>
                <w:sz w:val="8"/>
              </w:rPr>
              <w:t>(1)</w:t>
            </w:r>
          </w:p>
        </w:tc>
        <w:tc>
          <w:tcPr>
            <w:tcW w:w="20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br/>
              <w:t>gain/(loss)</w:t>
              <w:br/>
              <w:t>recognized</w:t>
              <w:br/>
              <w:t>in income</w:t>
            </w:r>
          </w:p>
        </w:tc>
        <w:tc>
          <w:tcPr>
            <w:tcW w:w="184" w:type="dxa"/>
            <w:tcBorders/>
            <w:shd w:fill="auto" w:val="clear"/>
            <w:vAlign w:val="bottom"/>
          </w:tcPr>
          <w:p>
            <w:pPr>
              <w:pStyle w:val="TableContents"/>
              <w:spacing w:before="0" w:after="0"/>
              <w:ind w:left="0" w:right="0" w:hanging="0"/>
              <w:jc w:val="center"/>
              <w:rPr/>
            </w:pPr>
            <w:r>
              <w:rPr/>
              <w:t> </w:t>
            </w:r>
          </w:p>
        </w:tc>
        <w:tc>
          <w:tcPr>
            <w:tcW w:w="8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br/>
              <w:t>Not</w:t>
              <w:br/>
              <w:t>Designated</w:t>
              <w:br/>
              <w:t>as a</w:t>
              <w:br/>
              <w:t>Hedge</w:t>
            </w:r>
          </w:p>
        </w:tc>
        <w:tc>
          <w:tcPr>
            <w:tcW w:w="158" w:type="dxa"/>
            <w:tcBorders/>
            <w:shd w:fill="auto" w:val="clear"/>
            <w:vAlign w:val="bottom"/>
          </w:tcPr>
          <w:p>
            <w:pPr>
              <w:pStyle w:val="TableContents"/>
              <w:spacing w:before="0" w:after="0"/>
              <w:ind w:left="0" w:right="0" w:hanging="0"/>
              <w:jc w:val="center"/>
              <w:rPr/>
            </w:pPr>
            <w:r>
              <w:rPr/>
              <w:t> </w:t>
            </w:r>
          </w:p>
        </w:tc>
        <w:tc>
          <w:tcPr>
            <w:tcW w:w="7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5" w:type="dxa"/>
            <w:tcBorders/>
            <w:shd w:fill="auto" w:val="clear"/>
            <w:vAlign w:val="bottom"/>
          </w:tcPr>
          <w:p>
            <w:pPr>
              <w:pStyle w:val="TableContents"/>
              <w:spacing w:before="0" w:after="0"/>
              <w:ind w:left="0" w:right="0" w:hanging="0"/>
              <w:jc w:val="center"/>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pPr>
            <w:r>
              <w:rPr/>
              <w:t> </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Supply and Logistics segment revenues </w:t>
            </w:r>
          </w:p>
        </w:tc>
        <w:tc>
          <w:tcPr>
            <w:tcW w:w="135"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1" w:type="dxa"/>
            <w:tcBorders/>
            <w:shd w:fill="CCEEFF" w:val="clear"/>
            <w:vAlign w:val="bottom"/>
          </w:tcPr>
          <w:p>
            <w:pPr>
              <w:pStyle w:val="TableContents"/>
              <w:spacing w:before="0" w:after="0"/>
              <w:ind w:left="0" w:right="0" w:hanging="0"/>
              <w:rPr/>
            </w:pPr>
            <w:r>
              <w:rPr/>
              <w:t> </w:t>
            </w:r>
          </w:p>
        </w:tc>
        <w:tc>
          <w:tcPr>
            <w:tcW w:w="2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 w:type="dxa"/>
            <w:tcBorders/>
            <w:shd w:fill="CCEEFF" w:val="clear"/>
            <w:vAlign w:val="bottom"/>
          </w:tcPr>
          <w:p>
            <w:pPr>
              <w:pStyle w:val="TableContents"/>
              <w:spacing w:before="0" w:after="0"/>
              <w:ind w:left="0" w:right="0" w:hanging="0"/>
              <w:rPr/>
            </w:pPr>
            <w:r>
              <w:rPr/>
              <w:t> </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9"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2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58" w:type="dxa"/>
            <w:tcBorders/>
            <w:shd w:fill="CCEEFF" w:val="clear"/>
            <w:vAlign w:val="bottom"/>
          </w:tcPr>
          <w:p>
            <w:pPr>
              <w:pStyle w:val="TableContents"/>
              <w:spacing w:before="0" w:after="0"/>
              <w:ind w:left="0" w:right="0" w:hanging="0"/>
              <w:rPr/>
            </w:pPr>
            <w:r>
              <w:rPr/>
              <w:t> </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segment revenues </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Purchases and related costs </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pPr>
            <w:r>
              <w:rPr/>
              <w:t> </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pPr>
            <w:r>
              <w:rPr/>
              <w:t> </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Supply and Logistics segment revenues </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income, net </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Net Income</w:t>
            </w:r>
          </w:p>
        </w:tc>
        <w:tc>
          <w:tcPr>
            <w:tcW w:w="135" w:type="dxa"/>
            <w:tcBorders/>
            <w:shd w:fill="CCEEFF" w:val="clear"/>
            <w:vAlign w:val="bottom"/>
          </w:tcPr>
          <w:p>
            <w:pPr>
              <w:pStyle w:val="TableContents"/>
              <w:spacing w:before="0" w:after="0"/>
              <w:ind w:left="0" w:right="0" w:hanging="0"/>
              <w:rPr/>
            </w:pPr>
            <w:r>
              <w:rPr/>
              <w:t> </w:t>
            </w:r>
          </w:p>
        </w:tc>
        <w:tc>
          <w:tcPr>
            <w:tcW w:w="2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124</w:t>
            </w:r>
          </w:p>
        </w:tc>
        <w:tc>
          <w:tcPr>
            <w:tcW w:w="211" w:type="dxa"/>
            <w:tcBorders/>
            <w:shd w:fill="CCEEFF" w:val="clear"/>
            <w:vAlign w:val="bottom"/>
          </w:tcPr>
          <w:p>
            <w:pPr>
              <w:pStyle w:val="TableContents"/>
              <w:spacing w:before="0" w:after="0"/>
              <w:ind w:left="0" w:right="0" w:hanging="0"/>
              <w:rPr/>
            </w:pPr>
            <w:r>
              <w:rPr/>
              <w:t> </w:t>
            </w:r>
          </w:p>
        </w:tc>
        <w:tc>
          <w:tcPr>
            <w:tcW w:w="2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8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w:t>
            </w:r>
          </w:p>
        </w:tc>
        <w:tc>
          <w:tcPr>
            <w:tcW w:w="156" w:type="dxa"/>
            <w:tcBorders/>
            <w:shd w:fill="CCEEFF" w:val="clear"/>
            <w:vAlign w:val="bottom"/>
          </w:tcPr>
          <w:p>
            <w:pPr>
              <w:pStyle w:val="TableContents"/>
              <w:spacing w:before="0" w:after="0"/>
              <w:ind w:left="0" w:right="0" w:hanging="0"/>
              <w:rPr/>
            </w:pPr>
            <w:r>
              <w:rPr/>
              <w:t> </w:t>
            </w:r>
          </w:p>
        </w:tc>
        <w:tc>
          <w:tcPr>
            <w:tcW w:w="2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(27</w:t>
            </w:r>
          </w:p>
        </w:tc>
        <w:tc>
          <w:tcPr>
            <w:tcW w:w="18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100</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117</w:t>
            </w:r>
          </w:p>
        </w:tc>
        <w:tc>
          <w:tcPr>
            <w:tcW w:w="209" w:type="dxa"/>
            <w:tcBorders/>
            <w:shd w:fill="CCEEFF" w:val="clear"/>
            <w:vAlign w:val="bottom"/>
          </w:tcPr>
          <w:p>
            <w:pPr>
              <w:pStyle w:val="TableContents"/>
              <w:spacing w:before="0" w:after="0"/>
              <w:ind w:left="0" w:right="0" w:hanging="0"/>
              <w:rPr/>
            </w:pPr>
            <w:r>
              <w:rPr/>
              <w:t> </w:t>
            </w:r>
          </w:p>
        </w:tc>
        <w:tc>
          <w:tcPr>
            <w:tcW w:w="2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w:t>
            </w:r>
          </w:p>
        </w:tc>
        <w:tc>
          <w:tcPr>
            <w:tcW w:w="18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4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65</w:t>
            </w:r>
          </w:p>
        </w:tc>
        <w:tc>
          <w:tcPr>
            <w:tcW w:w="158" w:type="dxa"/>
            <w:tcBorders/>
            <w:shd w:fill="CCEEFF" w:val="clear"/>
            <w:vAlign w:val="bottom"/>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180</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During the three months ended September 30, 2013, we reclassified losses of approximately $2 million from AOCI to Facilities segment revenues as a result of anticipated hedged transactions that are probable of not occurring. During the nine months ended September 30, 2013, we reclassified gains of approximately $3 million and losses of approximately $1 million from AOCI to Supply and Logistics segment revenues and Facilities segment revenues, respectively, as a result of anticipated hedged transactions that are probable of not occurring. All of our hedged transactions were deemed probable of occurring during the three and nine months ended September 30,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42" w:name="PB_22_154838_7091"/>
      <w:bookmarkEnd w:id="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condensed consolidated balance sheet on a gross basis as of September 30, 2013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78"/>
        <w:gridCol w:w="187"/>
        <w:gridCol w:w="2040"/>
        <w:gridCol w:w="187"/>
        <w:gridCol w:w="231"/>
        <w:gridCol w:w="799"/>
        <w:gridCol w:w="114"/>
        <w:gridCol w:w="114"/>
        <w:gridCol w:w="2040"/>
        <w:gridCol w:w="187"/>
        <w:gridCol w:w="179"/>
        <w:gridCol w:w="851"/>
        <w:gridCol w:w="498"/>
      </w:tblGrid>
      <w:tr>
        <w:trPr/>
        <w:tc>
          <w:tcPr>
            <w:tcW w:w="277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325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14"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jc w:val="center"/>
              <w:rPr/>
            </w:pPr>
            <w:r>
              <w:rPr/>
              <w:t> </w:t>
            </w:r>
          </w:p>
        </w:tc>
        <w:tc>
          <w:tcPr>
            <w:tcW w:w="325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498" w:type="dxa"/>
            <w:tcBorders/>
            <w:shd w:fill="auto" w:val="clear"/>
            <w:vAlign w:val="bottom"/>
          </w:tcPr>
          <w:p>
            <w:pPr>
              <w:pStyle w:val="TableContents"/>
              <w:spacing w:before="0" w:after="0"/>
              <w:ind w:left="0" w:right="0" w:hanging="0"/>
              <w:jc w:val="center"/>
              <w:rPr/>
            </w:pPr>
            <w:r>
              <w:rPr/>
              <w:t> </w:t>
            </w:r>
          </w:p>
        </w:tc>
      </w:tr>
      <w:tr>
        <w:trPr/>
        <w:tc>
          <w:tcPr>
            <w:tcW w:w="277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2040"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8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3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jc w:val="center"/>
              <w:rPr/>
            </w:pPr>
            <w:r>
              <w:rPr/>
              <w:t> </w:t>
            </w:r>
          </w:p>
        </w:tc>
        <w:tc>
          <w:tcPr>
            <w:tcW w:w="2040"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8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3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498" w:type="dxa"/>
            <w:tcBorders/>
            <w:shd w:fill="auto" w:val="clear"/>
            <w:vAlign w:val="bottom"/>
          </w:tcPr>
          <w:p>
            <w:pPr>
              <w:pStyle w:val="TableContents"/>
              <w:spacing w:before="0" w:after="0"/>
              <w:ind w:left="0" w:right="0" w:hanging="0"/>
              <w:jc w:val="center"/>
              <w:rPr/>
            </w:pPr>
            <w:r>
              <w:rPr/>
              <w:t> </w:t>
            </w:r>
          </w:p>
        </w:tc>
      </w:tr>
      <w:tr>
        <w:trPr/>
        <w:tc>
          <w:tcPr>
            <w:tcW w:w="277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204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87" w:type="dxa"/>
            <w:tcBorders/>
            <w:shd w:fill="auto" w:val="clear"/>
            <w:vAlign w:val="bottom"/>
          </w:tcPr>
          <w:p>
            <w:pPr>
              <w:pStyle w:val="TableContents"/>
              <w:spacing w:before="0" w:after="0"/>
              <w:ind w:left="0" w:right="0" w:hanging="0"/>
              <w:jc w:val="center"/>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14"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jc w:val="center"/>
              <w:rPr/>
            </w:pPr>
            <w:r>
              <w:rPr/>
              <w:t> </w:t>
            </w:r>
          </w:p>
        </w:tc>
        <w:tc>
          <w:tcPr>
            <w:tcW w:w="204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87" w:type="dxa"/>
            <w:tcBorders/>
            <w:shd w:fill="auto" w:val="clear"/>
            <w:vAlign w:val="bottom"/>
          </w:tcPr>
          <w:p>
            <w:pPr>
              <w:pStyle w:val="TableContents"/>
              <w:spacing w:before="0" w:after="0"/>
              <w:ind w:left="0" w:right="0" w:hanging="0"/>
              <w:jc w:val="center"/>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498" w:type="dxa"/>
            <w:tcBorders/>
            <w:shd w:fill="auto" w:val="clear"/>
            <w:vAlign w:val="bottom"/>
          </w:tcPr>
          <w:p>
            <w:pPr>
              <w:pStyle w:val="TableContents"/>
              <w:spacing w:before="0" w:after="0"/>
              <w:ind w:left="0" w:right="0" w:hanging="0"/>
              <w:jc w:val="center"/>
              <w:rPr/>
            </w:pPr>
            <w:r>
              <w:rPr/>
              <w:t> </w:t>
            </w:r>
          </w:p>
        </w:tc>
      </w:tr>
      <w:tr>
        <w:trPr/>
        <w:tc>
          <w:tcPr>
            <w:tcW w:w="277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498" w:type="dxa"/>
            <w:tcBorders/>
            <w:shd w:fill="CCEEFF" w:val="clear"/>
            <w:vAlign w:val="bottom"/>
          </w:tcPr>
          <w:p>
            <w:pPr>
              <w:pStyle w:val="TableContents"/>
              <w:spacing w:before="0" w:after="0"/>
              <w:ind w:left="0" w:right="0" w:hanging="0"/>
              <w:rPr/>
            </w:pPr>
            <w:r>
              <w:rPr/>
              <w:t> </w:t>
            </w:r>
          </w:p>
        </w:tc>
      </w:tr>
      <w:tr>
        <w:trPr/>
        <w:tc>
          <w:tcPr>
            <w:tcW w:w="27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Commodity derivatives </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7"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7"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498" w:type="dxa"/>
            <w:tcBorders/>
            <w:shd w:fill="CCEEFF" w:val="clear"/>
            <w:vAlign w:val="bottom"/>
          </w:tcPr>
          <w:p>
            <w:pPr>
              <w:pStyle w:val="TableContents"/>
              <w:spacing w:before="0" w:after="0"/>
              <w:ind w:left="0" w:right="0" w:hanging="0"/>
              <w:rPr/>
            </w:pPr>
            <w:r>
              <w:rPr/>
              <w:t> </w:t>
            </w:r>
          </w:p>
        </w:tc>
      </w:tr>
      <w:tr>
        <w:trPr/>
        <w:tc>
          <w:tcPr>
            <w:tcW w:w="27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rate derivatives </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498" w:type="dxa"/>
            <w:tcBorders/>
            <w:shd w:fill="CCEEFF" w:val="clear"/>
            <w:vAlign w:val="bottom"/>
          </w:tcPr>
          <w:p>
            <w:pPr>
              <w:pStyle w:val="TableContents"/>
              <w:spacing w:before="0" w:after="0"/>
              <w:ind w:left="0" w:right="0" w:hanging="0"/>
              <w:rPr/>
            </w:pPr>
            <w:r>
              <w:rPr/>
              <w:t> </w:t>
            </w:r>
          </w:p>
        </w:tc>
      </w:tr>
      <w:tr>
        <w:trPr/>
        <w:tc>
          <w:tcPr>
            <w:tcW w:w="27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derivatives designated as hedging instruments </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2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498" w:type="dxa"/>
            <w:tcBorders/>
            <w:shd w:fill="CCEEFF" w:val="clear"/>
            <w:vAlign w:val="bottom"/>
          </w:tcPr>
          <w:p>
            <w:pPr>
              <w:pStyle w:val="TableContents"/>
              <w:spacing w:before="0" w:after="0"/>
              <w:ind w:left="0" w:right="0" w:hanging="0"/>
              <w:rPr/>
            </w:pPr>
            <w:r>
              <w:rPr/>
              <w:t> </w:t>
            </w:r>
          </w:p>
        </w:tc>
      </w:tr>
      <w:tr>
        <w:trPr/>
        <w:tc>
          <w:tcPr>
            <w:tcW w:w="2778"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pPr>
            <w:r>
              <w:rPr/>
              <w:t> </w:t>
            </w:r>
          </w:p>
        </w:tc>
        <w:tc>
          <w:tcPr>
            <w:tcW w:w="498" w:type="dxa"/>
            <w:tcBorders/>
            <w:shd w:fill="auto" w:val="clear"/>
            <w:vAlign w:val="bottom"/>
          </w:tcPr>
          <w:p>
            <w:pPr>
              <w:pStyle w:val="TableContents"/>
              <w:spacing w:before="0" w:after="0"/>
              <w:ind w:left="0" w:right="0" w:hanging="0"/>
              <w:rPr/>
            </w:pPr>
            <w:r>
              <w:rPr/>
              <w:t> </w:t>
            </w:r>
          </w:p>
        </w:tc>
      </w:tr>
      <w:tr>
        <w:trPr/>
        <w:tc>
          <w:tcPr>
            <w:tcW w:w="27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Commodity derivatives </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7" w:type="dxa"/>
            <w:tcBorders/>
            <w:shd w:fill="CCEEFF" w:val="clear"/>
            <w:vAlign w:val="bottom"/>
          </w:tcPr>
          <w:p>
            <w:pPr>
              <w:pStyle w:val="TableContents"/>
              <w:spacing w:before="0" w:after="0"/>
              <w:ind w:left="0" w:right="0" w:hanging="0"/>
              <w:rPr/>
            </w:pPr>
            <w:r>
              <w:rPr/>
              <w:t> </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7"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4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4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Foreign currency derivatives </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498" w:type="dxa"/>
            <w:tcBorders/>
            <w:shd w:fill="CCEEFF" w:val="clear"/>
            <w:vAlign w:val="bottom"/>
          </w:tcPr>
          <w:p>
            <w:pPr>
              <w:pStyle w:val="TableContents"/>
              <w:spacing w:before="0" w:after="0"/>
              <w:ind w:left="0" w:right="0" w:hanging="0"/>
              <w:rPr/>
            </w:pPr>
            <w:r>
              <w:rPr/>
              <w:t> </w:t>
            </w:r>
          </w:p>
        </w:tc>
      </w:tr>
      <w:tr>
        <w:trPr/>
        <w:tc>
          <w:tcPr>
            <w:tcW w:w="27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derivatives not designated as hedging instruments </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2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498" w:type="dxa"/>
            <w:tcBorders/>
            <w:shd w:fill="CCEEFF" w:val="clear"/>
            <w:vAlign w:val="bottom"/>
          </w:tcPr>
          <w:p>
            <w:pPr>
              <w:pStyle w:val="TableContents"/>
              <w:spacing w:before="0" w:after="0"/>
              <w:ind w:left="0" w:right="0" w:hanging="0"/>
              <w:rPr/>
            </w:pPr>
            <w:r>
              <w:rPr/>
              <w:t> </w:t>
            </w:r>
          </w:p>
        </w:tc>
      </w:tr>
      <w:tr>
        <w:trPr/>
        <w:tc>
          <w:tcPr>
            <w:tcW w:w="27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derivatives </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2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condensed consolidated balance sheet on a gross basis as of December 31, 2012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25"/>
        <w:gridCol w:w="189"/>
        <w:gridCol w:w="2041"/>
        <w:gridCol w:w="189"/>
        <w:gridCol w:w="180"/>
        <w:gridCol w:w="816"/>
        <w:gridCol w:w="111"/>
        <w:gridCol w:w="111"/>
        <w:gridCol w:w="2041"/>
        <w:gridCol w:w="189"/>
        <w:gridCol w:w="166"/>
        <w:gridCol w:w="829"/>
        <w:gridCol w:w="518"/>
      </w:tblGrid>
      <w:tr>
        <w:trPr/>
        <w:tc>
          <w:tcPr>
            <w:tcW w:w="282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322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111" w:type="dxa"/>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322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518" w:type="dxa"/>
            <w:tcBorders/>
            <w:shd w:fill="auto" w:val="clear"/>
            <w:vAlign w:val="bottom"/>
          </w:tcPr>
          <w:p>
            <w:pPr>
              <w:pStyle w:val="TableContents"/>
              <w:spacing w:before="0" w:after="0"/>
              <w:ind w:left="0" w:right="0" w:hanging="0"/>
              <w:jc w:val="center"/>
              <w:rPr/>
            </w:pPr>
            <w:r>
              <w:rPr/>
              <w:t> </w:t>
            </w:r>
          </w:p>
        </w:tc>
      </w:tr>
      <w:tr>
        <w:trPr/>
        <w:tc>
          <w:tcPr>
            <w:tcW w:w="282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204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2041"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18" w:type="dxa"/>
            <w:tcBorders/>
            <w:shd w:fill="auto" w:val="clear"/>
            <w:vAlign w:val="bottom"/>
          </w:tcPr>
          <w:p>
            <w:pPr>
              <w:pStyle w:val="TableContents"/>
              <w:spacing w:before="0" w:after="0"/>
              <w:ind w:left="0" w:right="0" w:hanging="0"/>
              <w:jc w:val="center"/>
              <w:rPr/>
            </w:pPr>
            <w:r>
              <w:rPr/>
              <w:t> </w:t>
            </w:r>
          </w:p>
        </w:tc>
      </w:tr>
      <w:tr>
        <w:trPr/>
        <w:tc>
          <w:tcPr>
            <w:tcW w:w="282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204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89" w:type="dxa"/>
            <w:tcBorders/>
            <w:shd w:fill="auto" w:val="clear"/>
            <w:vAlign w:val="bottom"/>
          </w:tcPr>
          <w:p>
            <w:pPr>
              <w:pStyle w:val="TableContents"/>
              <w:spacing w:before="0" w:after="0"/>
              <w:ind w:left="0" w:right="0" w:hanging="0"/>
              <w:jc w:val="center"/>
              <w:rPr/>
            </w:pPr>
            <w:r>
              <w:rPr/>
              <w:t> </w:t>
            </w:r>
          </w:p>
        </w:tc>
        <w:tc>
          <w:tcPr>
            <w:tcW w:w="9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11" w:type="dxa"/>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204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89" w:type="dxa"/>
            <w:tcBorders/>
            <w:shd w:fill="auto" w:val="clear"/>
            <w:vAlign w:val="bottom"/>
          </w:tcPr>
          <w:p>
            <w:pPr>
              <w:pStyle w:val="TableContents"/>
              <w:spacing w:before="0" w:after="0"/>
              <w:ind w:left="0" w:right="0" w:hanging="0"/>
              <w:jc w:val="center"/>
              <w:rPr/>
            </w:pPr>
            <w:r>
              <w:rPr/>
              <w:t> </w:t>
            </w:r>
          </w:p>
        </w:tc>
        <w:tc>
          <w:tcPr>
            <w:tcW w:w="9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518" w:type="dxa"/>
            <w:tcBorders/>
            <w:shd w:fill="auto" w:val="clear"/>
            <w:vAlign w:val="bottom"/>
          </w:tcPr>
          <w:p>
            <w:pPr>
              <w:pStyle w:val="TableContents"/>
              <w:spacing w:before="0" w:after="0"/>
              <w:ind w:left="0" w:right="0" w:hanging="0"/>
              <w:jc w:val="center"/>
              <w:rPr/>
            </w:pPr>
            <w:r>
              <w:rPr/>
              <w:t> </w:t>
            </w:r>
          </w:p>
        </w:tc>
      </w:tr>
      <w:tr>
        <w:trPr/>
        <w:tc>
          <w:tcPr>
            <w:tcW w:w="282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89"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pPr>
            <w:r>
              <w:rPr/>
              <w:t> </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pPr>
            <w:r>
              <w:rPr/>
              <w:t> </w:t>
            </w:r>
          </w:p>
        </w:tc>
        <w:tc>
          <w:tcPr>
            <w:tcW w:w="518" w:type="dxa"/>
            <w:tcBorders/>
            <w:shd w:fill="CCEEFF" w:val="clear"/>
            <w:vAlign w:val="bottom"/>
          </w:tcPr>
          <w:p>
            <w:pPr>
              <w:pStyle w:val="TableContents"/>
              <w:spacing w:before="0" w:after="0"/>
              <w:ind w:left="0" w:right="0" w:hanging="0"/>
              <w:rPr/>
            </w:pPr>
            <w:r>
              <w:rPr/>
              <w:t> </w:t>
            </w:r>
          </w:p>
        </w:tc>
      </w:tr>
      <w:tr>
        <w:trPr/>
        <w:tc>
          <w:tcPr>
            <w:tcW w:w="28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Commodity derivatives </w:t>
            </w:r>
          </w:p>
        </w:tc>
        <w:tc>
          <w:tcPr>
            <w:tcW w:w="189"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5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5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rate derivatives </w:t>
            </w:r>
          </w:p>
        </w:tc>
        <w:tc>
          <w:tcPr>
            <w:tcW w:w="189"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89" w:type="dxa"/>
            <w:tcBorders/>
            <w:shd w:fill="auto" w:val="clear"/>
            <w:vAlign w:val="bottom"/>
          </w:tcPr>
          <w:p>
            <w:pPr>
              <w:pStyle w:val="TableContents"/>
              <w:spacing w:before="0" w:after="0"/>
              <w:ind w:left="0" w:right="0" w:hanging="0"/>
              <w:rPr/>
            </w:pPr>
            <w:r>
              <w:rPr/>
              <w:t> </w:t>
            </w:r>
          </w:p>
        </w:tc>
        <w:tc>
          <w:tcPr>
            <w:tcW w:w="9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5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pPr>
            <w:r>
              <w:rPr/>
              <w:t> </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pPr>
            <w:r>
              <w:rPr/>
              <w:t> </w:t>
            </w:r>
          </w:p>
        </w:tc>
        <w:tc>
          <w:tcPr>
            <w:tcW w:w="518" w:type="dxa"/>
            <w:tcBorders/>
            <w:shd w:fill="CCEEFF" w:val="clear"/>
            <w:vAlign w:val="bottom"/>
          </w:tcPr>
          <w:p>
            <w:pPr>
              <w:pStyle w:val="TableContents"/>
              <w:spacing w:before="0" w:after="0"/>
              <w:ind w:left="0" w:right="0" w:hanging="0"/>
              <w:rPr/>
            </w:pPr>
            <w:r>
              <w:rPr/>
              <w:t> </w:t>
            </w:r>
          </w:p>
        </w:tc>
      </w:tr>
      <w:tr>
        <w:trPr/>
        <w:tc>
          <w:tcPr>
            <w:tcW w:w="28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derivatives designated as hedging instruments </w:t>
            </w:r>
          </w:p>
        </w:tc>
        <w:tc>
          <w:tcPr>
            <w:tcW w:w="189"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5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pPr>
            <w:r>
              <w:rPr/>
              <w:t> </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pPr>
            <w:r>
              <w:rPr/>
              <w:t> </w:t>
            </w:r>
          </w:p>
        </w:tc>
        <w:tc>
          <w:tcPr>
            <w:tcW w:w="518" w:type="dxa"/>
            <w:tcBorders/>
            <w:shd w:fill="CCEEFF" w:val="clear"/>
            <w:vAlign w:val="bottom"/>
          </w:tcPr>
          <w:p>
            <w:pPr>
              <w:pStyle w:val="TableContents"/>
              <w:spacing w:before="0" w:after="0"/>
              <w:ind w:left="0" w:right="0" w:hanging="0"/>
              <w:rPr/>
            </w:pPr>
            <w:r>
              <w:rPr/>
              <w:t> </w:t>
            </w:r>
          </w:p>
        </w:tc>
      </w:tr>
      <w:tr>
        <w:trPr/>
        <w:tc>
          <w:tcPr>
            <w:tcW w:w="282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89"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pPr>
            <w:r>
              <w:rPr/>
              <w:t> </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pPr>
            <w:r>
              <w:rPr/>
              <w:t> </w:t>
            </w:r>
          </w:p>
        </w:tc>
        <w:tc>
          <w:tcPr>
            <w:tcW w:w="518" w:type="dxa"/>
            <w:tcBorders/>
            <w:shd w:fill="auto" w:val="clear"/>
            <w:vAlign w:val="bottom"/>
          </w:tcPr>
          <w:p>
            <w:pPr>
              <w:pStyle w:val="TableContents"/>
              <w:spacing w:before="0" w:after="0"/>
              <w:ind w:left="0" w:right="0" w:hanging="0"/>
              <w:rPr/>
            </w:pPr>
            <w:r>
              <w:rPr/>
              <w:t> </w:t>
            </w:r>
          </w:p>
        </w:tc>
      </w:tr>
      <w:tr>
        <w:trPr/>
        <w:tc>
          <w:tcPr>
            <w:tcW w:w="28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Commodity derivatives </w:t>
            </w:r>
          </w:p>
        </w:tc>
        <w:tc>
          <w:tcPr>
            <w:tcW w:w="189"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9"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5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9"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5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9" w:type="dxa"/>
            <w:tcBorders/>
            <w:shd w:fill="CCEEFF" w:val="clear"/>
            <w:vAlign w:val="bottom"/>
          </w:tcPr>
          <w:p>
            <w:pPr>
              <w:pStyle w:val="TableContents"/>
              <w:spacing w:before="0" w:after="0"/>
              <w:ind w:left="0" w:right="0" w:hanging="0"/>
              <w:rPr/>
            </w:pPr>
            <w:r>
              <w:rPr/>
              <w:t> </w:t>
            </w:r>
          </w:p>
        </w:tc>
        <w:tc>
          <w:tcPr>
            <w:tcW w:w="9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9"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5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89" w:type="dxa"/>
            <w:tcBorders/>
            <w:shd w:fill="auto" w:val="clear"/>
            <w:vAlign w:val="bottom"/>
          </w:tcPr>
          <w:p>
            <w:pPr>
              <w:pStyle w:val="TableContents"/>
              <w:spacing w:before="0" w:after="0"/>
              <w:ind w:left="0" w:right="0" w:hanging="0"/>
              <w:rPr/>
            </w:pPr>
            <w:r>
              <w:rPr/>
              <w:t> </w:t>
            </w:r>
          </w:p>
        </w:tc>
        <w:tc>
          <w:tcPr>
            <w:tcW w:w="9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5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derivatives not designated as hedging instruments </w:t>
            </w:r>
          </w:p>
        </w:tc>
        <w:tc>
          <w:tcPr>
            <w:tcW w:w="189"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5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25"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996" w:type="dxa"/>
            <w:gridSpan w:val="2"/>
            <w:tcBorders/>
            <w:shd w:fill="auto" w:val="clear"/>
            <w:vAlign w:val="bottom"/>
          </w:tcPr>
          <w:p>
            <w:pPr>
              <w:pStyle w:val="TableContents"/>
              <w:spacing w:before="0" w:after="0"/>
              <w:ind w:left="0" w:right="0" w:hanging="0"/>
              <w:jc w:val="right"/>
              <w:rPr/>
            </w:pPr>
            <w:r>
              <w:rPr/>
              <w:t> </w:t>
            </w:r>
          </w:p>
        </w:tc>
        <w:tc>
          <w:tcPr>
            <w:tcW w:w="1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2041" w:type="dxa"/>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pPr>
            <w:r>
              <w:rPr/>
              <w:t> </w:t>
            </w:r>
          </w:p>
        </w:tc>
        <w:tc>
          <w:tcPr>
            <w:tcW w:w="518" w:type="dxa"/>
            <w:tcBorders/>
            <w:shd w:fill="auto" w:val="clear"/>
            <w:vAlign w:val="bottom"/>
          </w:tcPr>
          <w:p>
            <w:pPr>
              <w:pStyle w:val="TableContents"/>
              <w:spacing w:before="0" w:after="0"/>
              <w:ind w:left="0" w:right="0" w:hanging="0"/>
              <w:rPr/>
            </w:pPr>
            <w:r>
              <w:rPr/>
              <w:t> </w:t>
            </w:r>
          </w:p>
        </w:tc>
      </w:tr>
      <w:tr>
        <w:trPr/>
        <w:tc>
          <w:tcPr>
            <w:tcW w:w="28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derivatives </w:t>
            </w:r>
          </w:p>
        </w:tc>
        <w:tc>
          <w:tcPr>
            <w:tcW w:w="189"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2041"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5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43" w:name="PB_23_155805_455"/>
      <w:bookmarkEnd w:id="4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September 30, 2013, we had a net broker receivable of approximately $164 million (consisting of initial margin of $96 million increased by $68 million of variation margin that had been posted by us).  As of December 31, 2012, we had a net broker receivable of approximately $41 million (consisting of initial margin of $69 million reduced by $28 million of variation margin that had been returned to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information about derivatives and financial assets and liabilities that are subject to offsetting, including enforceable master netting arrangements at September 30, 2013 and December 31, 2012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329"/>
        <w:gridCol w:w="173"/>
        <w:gridCol w:w="256"/>
        <w:gridCol w:w="1152"/>
        <w:gridCol w:w="204"/>
        <w:gridCol w:w="271"/>
        <w:gridCol w:w="1309"/>
        <w:gridCol w:w="189"/>
        <w:gridCol w:w="256"/>
        <w:gridCol w:w="1151"/>
        <w:gridCol w:w="201"/>
        <w:gridCol w:w="271"/>
        <w:gridCol w:w="1309"/>
        <w:gridCol w:w="134"/>
      </w:tblGrid>
      <w:tr>
        <w:trPr/>
        <w:tc>
          <w:tcPr>
            <w:tcW w:w="3329"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319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2013</w:t>
            </w:r>
          </w:p>
        </w:tc>
        <w:tc>
          <w:tcPr>
            <w:tcW w:w="189" w:type="dxa"/>
            <w:tcBorders/>
            <w:shd w:fill="auto" w:val="clear"/>
            <w:vAlign w:val="bottom"/>
          </w:tcPr>
          <w:p>
            <w:pPr>
              <w:pStyle w:val="TableContents"/>
              <w:spacing w:before="0" w:after="0"/>
              <w:ind w:left="0" w:right="0" w:hanging="0"/>
              <w:jc w:val="center"/>
              <w:rPr/>
            </w:pPr>
            <w:r>
              <w:rPr/>
              <w:t> </w:t>
            </w:r>
          </w:p>
        </w:tc>
        <w:tc>
          <w:tcPr>
            <w:tcW w:w="31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34" w:type="dxa"/>
            <w:tcBorders/>
            <w:shd w:fill="auto" w:val="clear"/>
            <w:vAlign w:val="bottom"/>
          </w:tcPr>
          <w:p>
            <w:pPr>
              <w:pStyle w:val="TableContents"/>
              <w:spacing w:before="0" w:after="0"/>
              <w:ind w:left="0" w:right="0" w:hanging="0"/>
              <w:jc w:val="center"/>
              <w:rPr/>
            </w:pPr>
            <w:r>
              <w:rPr/>
              <w:t> </w:t>
            </w:r>
          </w:p>
        </w:tc>
      </w:tr>
      <w:tr>
        <w:trPr/>
        <w:tc>
          <w:tcPr>
            <w:tcW w:w="3329"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4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8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189" w:type="dxa"/>
            <w:tcBorders/>
            <w:shd w:fill="auto" w:val="clear"/>
            <w:vAlign w:val="bottom"/>
          </w:tcPr>
          <w:p>
            <w:pPr>
              <w:pStyle w:val="TableContents"/>
              <w:spacing w:before="0" w:after="0"/>
              <w:ind w:left="0" w:right="0" w:hanging="0"/>
              <w:jc w:val="center"/>
              <w:rPr/>
            </w:pPr>
            <w:r>
              <w:rPr/>
              <w:t> </w:t>
            </w:r>
          </w:p>
        </w:tc>
        <w:tc>
          <w:tcPr>
            <w:tcW w:w="140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0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8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134" w:type="dxa"/>
            <w:tcBorders/>
            <w:shd w:fill="auto" w:val="clear"/>
            <w:vAlign w:val="bottom"/>
          </w:tcPr>
          <w:p>
            <w:pPr>
              <w:pStyle w:val="TableContents"/>
              <w:spacing w:before="0" w:after="0"/>
              <w:ind w:left="0" w:right="0" w:hanging="0"/>
              <w:jc w:val="center"/>
              <w:rPr/>
            </w:pPr>
            <w:r>
              <w:rPr/>
              <w:t> </w:t>
            </w:r>
          </w:p>
        </w:tc>
      </w:tr>
      <w:tr>
        <w:trPr/>
        <w:tc>
          <w:tcPr>
            <w:tcW w:w="3329"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Positions</w:t>
            </w:r>
          </w:p>
        </w:tc>
        <w:tc>
          <w:tcPr>
            <w:tcW w:w="204" w:type="dxa"/>
            <w:tcBorders/>
            <w:shd w:fill="auto" w:val="clear"/>
            <w:vAlign w:val="bottom"/>
          </w:tcPr>
          <w:p>
            <w:pPr>
              <w:pStyle w:val="TableContents"/>
              <w:spacing w:before="0" w:after="0"/>
              <w:ind w:left="0" w:right="0" w:hanging="0"/>
              <w:jc w:val="center"/>
              <w:rPr/>
            </w:pPr>
            <w:r>
              <w:rPr/>
              <w:t> </w:t>
            </w:r>
          </w:p>
        </w:tc>
        <w:tc>
          <w:tcPr>
            <w:tcW w:w="15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Positions</w:t>
            </w:r>
          </w:p>
        </w:tc>
        <w:tc>
          <w:tcPr>
            <w:tcW w:w="189" w:type="dxa"/>
            <w:tcBorders/>
            <w:shd w:fill="auto" w:val="clear"/>
            <w:vAlign w:val="bottom"/>
          </w:tcPr>
          <w:p>
            <w:pPr>
              <w:pStyle w:val="TableContents"/>
              <w:spacing w:before="0" w:after="0"/>
              <w:ind w:left="0" w:right="0" w:hanging="0"/>
              <w:jc w:val="center"/>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Positions</w:t>
            </w:r>
          </w:p>
        </w:tc>
        <w:tc>
          <w:tcPr>
            <w:tcW w:w="201" w:type="dxa"/>
            <w:tcBorders/>
            <w:shd w:fill="auto" w:val="clear"/>
            <w:vAlign w:val="bottom"/>
          </w:tcPr>
          <w:p>
            <w:pPr>
              <w:pStyle w:val="TableContents"/>
              <w:spacing w:before="0" w:after="0"/>
              <w:ind w:left="0" w:right="0" w:hanging="0"/>
              <w:jc w:val="center"/>
              <w:rPr/>
            </w:pPr>
            <w:r>
              <w:rPr/>
              <w:t> </w:t>
            </w:r>
          </w:p>
        </w:tc>
        <w:tc>
          <w:tcPr>
            <w:tcW w:w="15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Positions</w:t>
            </w:r>
          </w:p>
        </w:tc>
        <w:tc>
          <w:tcPr>
            <w:tcW w:w="134" w:type="dxa"/>
            <w:tcBorders/>
            <w:shd w:fill="auto" w:val="clear"/>
            <w:vAlign w:val="bottom"/>
          </w:tcPr>
          <w:p>
            <w:pPr>
              <w:pStyle w:val="TableContents"/>
              <w:spacing w:before="0" w:after="0"/>
              <w:ind w:left="0" w:right="0" w:hanging="0"/>
              <w:jc w:val="center"/>
              <w:rPr/>
            </w:pPr>
            <w:r>
              <w:rPr/>
              <w:t> </w:t>
            </w:r>
          </w:p>
        </w:tc>
      </w:tr>
      <w:tr>
        <w:trPr/>
        <w:tc>
          <w:tcPr>
            <w:tcW w:w="3329"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rPr/>
            </w:pPr>
            <w:r>
              <w:rPr/>
              <w:t> </w:t>
            </w:r>
          </w:p>
        </w:tc>
        <w:tc>
          <w:tcPr>
            <w:tcW w:w="140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580"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407" w:type="dxa"/>
            <w:gridSpan w:val="2"/>
            <w:tcBorders/>
            <w:shd w:fill="auto" w:val="clear"/>
            <w:vAlign w:val="bottom"/>
          </w:tcPr>
          <w:p>
            <w:pPr>
              <w:pStyle w:val="TableContents"/>
              <w:spacing w:before="0" w:after="0"/>
              <w:ind w:left="0" w:right="0" w:hanging="0"/>
              <w:jc w:val="right"/>
              <w:rPr/>
            </w:pPr>
            <w:r>
              <w:rPr/>
              <w:t> </w:t>
            </w:r>
          </w:p>
        </w:tc>
        <w:tc>
          <w:tcPr>
            <w:tcW w:w="201" w:type="dxa"/>
            <w:tcBorders/>
            <w:shd w:fill="auto" w:val="clear"/>
            <w:vAlign w:val="bottom"/>
          </w:tcPr>
          <w:p>
            <w:pPr>
              <w:pStyle w:val="TableContents"/>
              <w:spacing w:before="0" w:after="0"/>
              <w:ind w:left="0" w:right="0" w:hanging="0"/>
              <w:rPr/>
            </w:pPr>
            <w:r>
              <w:rPr/>
              <w:t> </w:t>
            </w:r>
          </w:p>
        </w:tc>
        <w:tc>
          <w:tcPr>
            <w:tcW w:w="1580"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3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Netting Adjustments:</w:t>
            </w:r>
          </w:p>
        </w:tc>
        <w:tc>
          <w:tcPr>
            <w:tcW w:w="173" w:type="dxa"/>
            <w:tcBorders/>
            <w:shd w:fill="CCEEFF" w:val="clear"/>
            <w:vAlign w:val="bottom"/>
          </w:tcPr>
          <w:p>
            <w:pPr>
              <w:pStyle w:val="TableContents"/>
              <w:spacing w:before="0" w:after="0"/>
              <w:ind w:left="0" w:right="0" w:hanging="0"/>
              <w:rPr/>
            </w:pPr>
            <w:r>
              <w:rPr/>
              <w:t> </w:t>
            </w:r>
          </w:p>
        </w:tc>
        <w:tc>
          <w:tcPr>
            <w:tcW w:w="1408"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580"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pPr>
            <w:r>
              <w:rPr/>
              <w:t> </w:t>
            </w:r>
          </w:p>
        </w:tc>
        <w:tc>
          <w:tcPr>
            <w:tcW w:w="201" w:type="dxa"/>
            <w:tcBorders/>
            <w:shd w:fill="CCEEFF" w:val="clear"/>
            <w:vAlign w:val="bottom"/>
          </w:tcPr>
          <w:p>
            <w:pPr>
              <w:pStyle w:val="TableContents"/>
              <w:spacing w:before="0" w:after="0"/>
              <w:ind w:left="0" w:right="0" w:hanging="0"/>
              <w:rPr/>
            </w:pPr>
            <w:r>
              <w:rPr/>
              <w:t> </w:t>
            </w:r>
          </w:p>
        </w:tc>
        <w:tc>
          <w:tcPr>
            <w:tcW w:w="1580"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3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Gross position - asset/(liability) </w:t>
            </w:r>
          </w:p>
        </w:tc>
        <w:tc>
          <w:tcPr>
            <w:tcW w:w="173" w:type="dxa"/>
            <w:tcBorders/>
            <w:shd w:fill="auto" w:val="clear"/>
            <w:vAlign w:val="bottom"/>
          </w:tcPr>
          <w:p>
            <w:pPr>
              <w:pStyle w:val="TableContents"/>
              <w:spacing w:before="0" w:after="0"/>
              <w:ind w:left="0" w:right="0" w:hanging="0"/>
              <w:rPr/>
            </w:pPr>
            <w:r>
              <w:rPr/>
              <w:t> </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04"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01"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Netting adjustment </w:t>
            </w:r>
          </w:p>
        </w:tc>
        <w:tc>
          <w:tcPr>
            <w:tcW w:w="173" w:type="dxa"/>
            <w:tcBorders/>
            <w:shd w:fill="CCEEFF" w:val="clear"/>
            <w:vAlign w:val="bottom"/>
          </w:tcPr>
          <w:p>
            <w:pPr>
              <w:pStyle w:val="TableContents"/>
              <w:spacing w:before="0" w:after="0"/>
              <w:ind w:left="0" w:right="0" w:hanging="0"/>
              <w:rPr/>
            </w:pPr>
            <w:r>
              <w:rPr/>
              <w:t> </w:t>
            </w:r>
          </w:p>
        </w:tc>
        <w:tc>
          <w:tcPr>
            <w:tcW w:w="14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89"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34" w:type="dxa"/>
            <w:tcBorders/>
            <w:shd w:fill="CCEEFF" w:val="clear"/>
            <w:vAlign w:val="bottom"/>
          </w:tcPr>
          <w:p>
            <w:pPr>
              <w:pStyle w:val="TableContents"/>
              <w:spacing w:before="0" w:after="0"/>
              <w:ind w:left="0" w:right="0" w:hanging="0"/>
              <w:rPr/>
            </w:pPr>
            <w:r>
              <w:rPr/>
              <w:t> </w:t>
            </w:r>
          </w:p>
        </w:tc>
      </w:tr>
      <w:tr>
        <w:trPr/>
        <w:tc>
          <w:tcPr>
            <w:tcW w:w="3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Cash collateral paid </w:t>
            </w:r>
          </w:p>
        </w:tc>
        <w:tc>
          <w:tcPr>
            <w:tcW w:w="173" w:type="dxa"/>
            <w:tcBorders/>
            <w:shd w:fill="auto" w:val="clear"/>
            <w:vAlign w:val="bottom"/>
          </w:tcPr>
          <w:p>
            <w:pPr>
              <w:pStyle w:val="TableContents"/>
              <w:spacing w:before="0" w:after="0"/>
              <w:ind w:left="0" w:right="0" w:hanging="0"/>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04" w:type="dxa"/>
            <w:tcBorders/>
            <w:shd w:fill="auto" w:val="clear"/>
            <w:vAlign w:val="bottom"/>
          </w:tcPr>
          <w:p>
            <w:pPr>
              <w:pStyle w:val="TableContents"/>
              <w:spacing w:before="0" w:after="0"/>
              <w:ind w:left="0" w:right="0" w:hanging="0"/>
              <w:rPr/>
            </w:pPr>
            <w:r>
              <w:rPr/>
              <w:t> </w:t>
            </w:r>
          </w:p>
        </w:tc>
        <w:tc>
          <w:tcPr>
            <w:tcW w:w="15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1" w:type="dxa"/>
            <w:tcBorders/>
            <w:shd w:fill="auto" w:val="clear"/>
            <w:vAlign w:val="bottom"/>
          </w:tcPr>
          <w:p>
            <w:pPr>
              <w:pStyle w:val="TableContents"/>
              <w:spacing w:before="0" w:after="0"/>
              <w:ind w:left="0" w:right="0" w:hanging="0"/>
              <w:rPr/>
            </w:pPr>
            <w:r>
              <w:rPr/>
              <w:t> </w:t>
            </w:r>
          </w:p>
        </w:tc>
        <w:tc>
          <w:tcPr>
            <w:tcW w:w="15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auto" w:val="clear"/>
            <w:vAlign w:val="bottom"/>
          </w:tcPr>
          <w:p>
            <w:pPr>
              <w:pStyle w:val="TableContents"/>
              <w:spacing w:before="0" w:after="0"/>
              <w:ind w:left="0" w:right="0" w:hanging="0"/>
              <w:rPr/>
            </w:pPr>
            <w:r>
              <w:rPr/>
              <w:t> </w:t>
            </w:r>
          </w:p>
        </w:tc>
      </w:tr>
      <w:tr>
        <w:trPr/>
        <w:tc>
          <w:tcPr>
            <w:tcW w:w="3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position - asset/(liability) </w:t>
            </w:r>
          </w:p>
        </w:tc>
        <w:tc>
          <w:tcPr>
            <w:tcW w:w="173" w:type="dxa"/>
            <w:tcBorders/>
            <w:shd w:fill="CCEEFF" w:val="clear"/>
            <w:vAlign w:val="bottom"/>
          </w:tcPr>
          <w:p>
            <w:pPr>
              <w:pStyle w:val="TableContents"/>
              <w:spacing w:before="0" w:after="0"/>
              <w:ind w:left="0" w:right="0" w:hanging="0"/>
              <w:rPr/>
            </w:pPr>
            <w:r>
              <w:rPr/>
              <w:t> </w:t>
            </w:r>
          </w:p>
        </w:tc>
        <w:tc>
          <w:tcPr>
            <w:tcW w:w="2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4" w:type="dxa"/>
            <w:tcBorders/>
            <w:shd w:fill="CCEEFF" w:val="clear"/>
            <w:vAlign w:val="bottom"/>
          </w:tcPr>
          <w:p>
            <w:pPr>
              <w:pStyle w:val="TableContents"/>
              <w:spacing w:before="0" w:after="0"/>
              <w:ind w:left="0" w:right="0" w:hanging="0"/>
              <w:rPr/>
            </w:pPr>
            <w:r>
              <w:rPr/>
              <w:t> </w:t>
            </w:r>
          </w:p>
        </w:tc>
        <w:tc>
          <w:tcPr>
            <w:tcW w:w="27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1" w:type="dxa"/>
            <w:tcBorders/>
            <w:shd w:fill="CCEEFF" w:val="clear"/>
            <w:vAlign w:val="bottom"/>
          </w:tcPr>
          <w:p>
            <w:pPr>
              <w:pStyle w:val="TableContents"/>
              <w:spacing w:before="0" w:after="0"/>
              <w:ind w:left="0" w:right="0" w:hanging="0"/>
              <w:rPr/>
            </w:pPr>
            <w:r>
              <w:rPr/>
              <w:t> </w:t>
            </w:r>
          </w:p>
        </w:tc>
        <w:tc>
          <w:tcPr>
            <w:tcW w:w="27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29"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rPr/>
            </w:pPr>
            <w:r>
              <w:rPr/>
              <w:t> </w:t>
            </w:r>
          </w:p>
        </w:tc>
        <w:tc>
          <w:tcPr>
            <w:tcW w:w="140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580"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407" w:type="dxa"/>
            <w:gridSpan w:val="2"/>
            <w:tcBorders/>
            <w:shd w:fill="auto" w:val="clear"/>
            <w:vAlign w:val="bottom"/>
          </w:tcPr>
          <w:p>
            <w:pPr>
              <w:pStyle w:val="TableContents"/>
              <w:spacing w:before="0" w:after="0"/>
              <w:ind w:left="0" w:right="0" w:hanging="0"/>
              <w:jc w:val="right"/>
              <w:rPr/>
            </w:pPr>
            <w:r>
              <w:rPr/>
              <w:t> </w:t>
            </w:r>
          </w:p>
        </w:tc>
        <w:tc>
          <w:tcPr>
            <w:tcW w:w="201" w:type="dxa"/>
            <w:tcBorders/>
            <w:shd w:fill="auto" w:val="clear"/>
            <w:vAlign w:val="bottom"/>
          </w:tcPr>
          <w:p>
            <w:pPr>
              <w:pStyle w:val="TableContents"/>
              <w:spacing w:before="0" w:after="0"/>
              <w:ind w:left="0" w:right="0" w:hanging="0"/>
              <w:rPr/>
            </w:pPr>
            <w:r>
              <w:rPr/>
              <w:t> </w:t>
            </w:r>
          </w:p>
        </w:tc>
        <w:tc>
          <w:tcPr>
            <w:tcW w:w="1580"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3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Balance Sheet Location After Netting Adjustments:</w:t>
            </w:r>
          </w:p>
        </w:tc>
        <w:tc>
          <w:tcPr>
            <w:tcW w:w="173" w:type="dxa"/>
            <w:tcBorders/>
            <w:shd w:fill="CCEEFF" w:val="clear"/>
            <w:vAlign w:val="bottom"/>
          </w:tcPr>
          <w:p>
            <w:pPr>
              <w:pStyle w:val="TableContents"/>
              <w:spacing w:before="0" w:after="0"/>
              <w:ind w:left="0" w:right="0" w:hanging="0"/>
              <w:rPr/>
            </w:pPr>
            <w:r>
              <w:rPr/>
              <w:t> </w:t>
            </w:r>
          </w:p>
        </w:tc>
        <w:tc>
          <w:tcPr>
            <w:tcW w:w="1408"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580"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pPr>
            <w:r>
              <w:rPr/>
              <w:t> </w:t>
            </w:r>
          </w:p>
        </w:tc>
        <w:tc>
          <w:tcPr>
            <w:tcW w:w="201" w:type="dxa"/>
            <w:tcBorders/>
            <w:shd w:fill="CCEEFF" w:val="clear"/>
            <w:vAlign w:val="bottom"/>
          </w:tcPr>
          <w:p>
            <w:pPr>
              <w:pStyle w:val="TableContents"/>
              <w:spacing w:before="0" w:after="0"/>
              <w:ind w:left="0" w:right="0" w:hanging="0"/>
              <w:rPr/>
            </w:pPr>
            <w:r>
              <w:rPr/>
              <w:t> </w:t>
            </w:r>
          </w:p>
        </w:tc>
        <w:tc>
          <w:tcPr>
            <w:tcW w:w="1580"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3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current assets </w:t>
            </w:r>
          </w:p>
        </w:tc>
        <w:tc>
          <w:tcPr>
            <w:tcW w:w="173" w:type="dxa"/>
            <w:tcBorders/>
            <w:shd w:fill="auto" w:val="clear"/>
            <w:vAlign w:val="bottom"/>
          </w:tcPr>
          <w:p>
            <w:pPr>
              <w:pStyle w:val="TableContents"/>
              <w:spacing w:before="0" w:after="0"/>
              <w:ind w:left="0" w:right="0" w:hanging="0"/>
              <w:rPr/>
            </w:pPr>
            <w:r>
              <w:rPr/>
              <w:t> </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04"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01"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auto" w:val="clear"/>
            <w:vAlign w:val="bottom"/>
          </w:tcPr>
          <w:p>
            <w:pPr>
              <w:pStyle w:val="TableContents"/>
              <w:spacing w:before="0" w:after="0"/>
              <w:ind w:left="0" w:right="0" w:hanging="0"/>
              <w:rPr/>
            </w:pPr>
            <w:r>
              <w:rPr/>
              <w:t> </w:t>
            </w:r>
          </w:p>
        </w:tc>
      </w:tr>
      <w:tr>
        <w:trPr/>
        <w:tc>
          <w:tcPr>
            <w:tcW w:w="3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long-term assets </w:t>
            </w:r>
          </w:p>
        </w:tc>
        <w:tc>
          <w:tcPr>
            <w:tcW w:w="173" w:type="dxa"/>
            <w:tcBorders/>
            <w:shd w:fill="CCEEFF" w:val="clear"/>
            <w:vAlign w:val="bottom"/>
          </w:tcPr>
          <w:p>
            <w:pPr>
              <w:pStyle w:val="TableContents"/>
              <w:spacing w:before="0" w:after="0"/>
              <w:ind w:left="0" w:right="0" w:hanging="0"/>
              <w:rPr/>
            </w:pPr>
            <w:r>
              <w:rPr/>
              <w:t> </w:t>
            </w:r>
          </w:p>
        </w:tc>
        <w:tc>
          <w:tcPr>
            <w:tcW w:w="14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4" w:type="dxa"/>
            <w:tcBorders/>
            <w:shd w:fill="CCEEFF" w:val="clear"/>
            <w:vAlign w:val="bottom"/>
          </w:tcPr>
          <w:p>
            <w:pPr>
              <w:pStyle w:val="TableContents"/>
              <w:spacing w:before="0" w:after="0"/>
              <w:ind w:left="0" w:right="0" w:hanging="0"/>
              <w:rPr/>
            </w:pPr>
            <w:r>
              <w:rPr/>
              <w:t> </w:t>
            </w:r>
          </w:p>
        </w:tc>
        <w:tc>
          <w:tcPr>
            <w:tcW w:w="15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1" w:type="dxa"/>
            <w:tcBorders/>
            <w:shd w:fill="CCEEFF" w:val="clear"/>
            <w:vAlign w:val="bottom"/>
          </w:tcPr>
          <w:p>
            <w:pPr>
              <w:pStyle w:val="TableContents"/>
              <w:spacing w:before="0" w:after="0"/>
              <w:ind w:left="0" w:right="0" w:hanging="0"/>
              <w:rPr/>
            </w:pPr>
            <w:r>
              <w:rPr/>
              <w:t> </w:t>
            </w:r>
          </w:p>
        </w:tc>
        <w:tc>
          <w:tcPr>
            <w:tcW w:w="15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pPr>
            <w:r>
              <w:rPr/>
              <w:t> </w:t>
            </w:r>
          </w:p>
        </w:tc>
      </w:tr>
      <w:tr>
        <w:trPr/>
        <w:tc>
          <w:tcPr>
            <w:tcW w:w="3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current liabilities </w:t>
            </w:r>
          </w:p>
        </w:tc>
        <w:tc>
          <w:tcPr>
            <w:tcW w:w="173" w:type="dxa"/>
            <w:tcBorders/>
            <w:shd w:fill="auto" w:val="clear"/>
            <w:vAlign w:val="bottom"/>
          </w:tcPr>
          <w:p>
            <w:pPr>
              <w:pStyle w:val="TableContents"/>
              <w:spacing w:before="0" w:after="0"/>
              <w:ind w:left="0" w:right="0" w:hanging="0"/>
              <w:rPr/>
            </w:pPr>
            <w:r>
              <w:rPr/>
              <w:t> </w:t>
            </w:r>
          </w:p>
        </w:tc>
        <w:tc>
          <w:tcPr>
            <w:tcW w:w="14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vAlign w:val="bottom"/>
          </w:tcPr>
          <w:p>
            <w:pPr>
              <w:pStyle w:val="TableContents"/>
              <w:spacing w:before="0" w:after="0"/>
              <w:ind w:left="0" w:right="0" w:hanging="0"/>
              <w:rPr/>
            </w:pPr>
            <w:r>
              <w:rPr/>
              <w:t> </w:t>
            </w:r>
          </w:p>
        </w:tc>
        <w:tc>
          <w:tcPr>
            <w:tcW w:w="15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1" w:type="dxa"/>
            <w:tcBorders/>
            <w:shd w:fill="auto" w:val="clear"/>
            <w:vAlign w:val="bottom"/>
          </w:tcPr>
          <w:p>
            <w:pPr>
              <w:pStyle w:val="TableContents"/>
              <w:spacing w:before="0" w:after="0"/>
              <w:ind w:left="0" w:right="0" w:hanging="0"/>
              <w:rPr/>
            </w:pPr>
            <w:r>
              <w:rPr/>
              <w:t> </w:t>
            </w:r>
          </w:p>
        </w:tc>
        <w:tc>
          <w:tcPr>
            <w:tcW w:w="15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long-term liabilities </w:t>
            </w:r>
          </w:p>
        </w:tc>
        <w:tc>
          <w:tcPr>
            <w:tcW w:w="173" w:type="dxa"/>
            <w:tcBorders/>
            <w:shd w:fill="CCEEFF" w:val="clear"/>
            <w:vAlign w:val="bottom"/>
          </w:tcPr>
          <w:p>
            <w:pPr>
              <w:pStyle w:val="TableContents"/>
              <w:spacing w:before="0" w:after="0"/>
              <w:ind w:left="0" w:right="0" w:hanging="0"/>
              <w:rPr/>
            </w:pPr>
            <w:r>
              <w:rPr/>
              <w:t> </w:t>
            </w:r>
          </w:p>
        </w:tc>
        <w:tc>
          <w:tcPr>
            <w:tcW w:w="14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5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1" w:type="dxa"/>
            <w:tcBorders/>
            <w:shd w:fill="CCEEFF" w:val="clear"/>
            <w:vAlign w:val="bottom"/>
          </w:tcPr>
          <w:p>
            <w:pPr>
              <w:pStyle w:val="TableContents"/>
              <w:spacing w:before="0" w:after="0"/>
              <w:ind w:left="0" w:right="0" w:hanging="0"/>
              <w:rPr/>
            </w:pPr>
            <w:r>
              <w:rPr/>
              <w:t> </w:t>
            </w:r>
          </w:p>
        </w:tc>
        <w:tc>
          <w:tcPr>
            <w:tcW w:w="15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29"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rPr/>
            </w:pPr>
            <w:r>
              <w:rPr/>
              <w:t> </w:t>
            </w:r>
          </w:p>
        </w:tc>
        <w:tc>
          <w:tcPr>
            <w:tcW w:w="25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4" w:type="dxa"/>
            <w:tcBorders/>
            <w:shd w:fill="auto" w:val="clear"/>
            <w:vAlign w:val="bottom"/>
          </w:tcPr>
          <w:p>
            <w:pPr>
              <w:pStyle w:val="TableContents"/>
              <w:spacing w:before="0" w:after="0"/>
              <w:ind w:left="0" w:right="0" w:hanging="0"/>
              <w:rPr/>
            </w:pPr>
            <w:r>
              <w:rPr/>
              <w:t> </w:t>
            </w:r>
          </w:p>
        </w:tc>
        <w:tc>
          <w:tcPr>
            <w:tcW w:w="2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5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1" w:type="dxa"/>
            <w:tcBorders/>
            <w:shd w:fill="auto" w:val="clear"/>
            <w:vAlign w:val="bottom"/>
          </w:tcPr>
          <w:p>
            <w:pPr>
              <w:pStyle w:val="TableContents"/>
              <w:spacing w:before="0" w:after="0"/>
              <w:ind w:left="0" w:right="0" w:hanging="0"/>
              <w:rPr/>
            </w:pPr>
            <w:r>
              <w:rPr/>
              <w:t> </w:t>
            </w:r>
          </w:p>
        </w:tc>
        <w:tc>
          <w:tcPr>
            <w:tcW w:w="2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2013, there was a net loss of approximately $104 million deferred in AOCI including tax effects.  The deferred net loss recorded in AOCI is expected to be reclassified to future earnings contemporaneously with (i) the earnings recognition of the underlying hedged commodity transaction, (ii) interest expense accruals associated with underlying debt instruments or (iii) the recognition of a foreign currency gain or loss upon the remeasurement of certain CAD-denominated intercompany balances.  Of the total net loss deferred in AOCI at September 30, 2013, we expect to reclassify a net loss of approximately $28 million to earnings in the next twelve months.  The remaining deferred loss of approximately $76 million is expected to be reclassified to earnings through 2045. A portion of these amounts are based on market prices as of September 30, 2013; thus, actual amounts to be reclassified will differ and could vary materially as a result of changes in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net deferred gain/(loss), including tax effects, recognized in AOCI for derivatives during the three and nine months ended September 30, 2013 and 2012 are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068"/>
        <w:gridCol w:w="209"/>
        <w:gridCol w:w="202"/>
        <w:gridCol w:w="1084"/>
        <w:gridCol w:w="237"/>
        <w:gridCol w:w="202"/>
        <w:gridCol w:w="1085"/>
        <w:gridCol w:w="209"/>
        <w:gridCol w:w="182"/>
        <w:gridCol w:w="1127"/>
        <w:gridCol w:w="226"/>
        <w:gridCol w:w="182"/>
        <w:gridCol w:w="1049"/>
        <w:gridCol w:w="143"/>
      </w:tblGrid>
      <w:tr>
        <w:trPr/>
        <w:tc>
          <w:tcPr>
            <w:tcW w:w="4068"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81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9" w:type="dxa"/>
            <w:tcBorders/>
            <w:shd w:fill="auto" w:val="clear"/>
            <w:vAlign w:val="bottom"/>
          </w:tcPr>
          <w:p>
            <w:pPr>
              <w:pStyle w:val="TableContents"/>
              <w:spacing w:before="0" w:after="0"/>
              <w:ind w:left="0" w:right="0" w:hanging="0"/>
              <w:jc w:val="center"/>
              <w:rPr/>
            </w:pPr>
            <w:r>
              <w:rPr/>
              <w:t> </w:t>
            </w:r>
          </w:p>
        </w:tc>
        <w:tc>
          <w:tcPr>
            <w:tcW w:w="276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43" w:type="dxa"/>
            <w:tcBorders/>
            <w:shd w:fill="auto" w:val="clear"/>
            <w:vAlign w:val="bottom"/>
          </w:tcPr>
          <w:p>
            <w:pPr>
              <w:pStyle w:val="TableContents"/>
              <w:spacing w:before="0" w:after="0"/>
              <w:ind w:left="0" w:right="0" w:hanging="0"/>
              <w:jc w:val="center"/>
              <w:rPr/>
            </w:pPr>
            <w:r>
              <w:rPr/>
              <w:t> </w:t>
            </w:r>
          </w:p>
        </w:tc>
      </w:tr>
      <w:tr>
        <w:trPr/>
        <w:tc>
          <w:tcPr>
            <w:tcW w:w="4068"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81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9" w:type="dxa"/>
            <w:tcBorders/>
            <w:shd w:fill="auto" w:val="clear"/>
            <w:vAlign w:val="bottom"/>
          </w:tcPr>
          <w:p>
            <w:pPr>
              <w:pStyle w:val="TableContents"/>
              <w:spacing w:before="0" w:after="0"/>
              <w:ind w:left="0" w:right="0" w:hanging="0"/>
              <w:jc w:val="center"/>
              <w:rPr/>
            </w:pPr>
            <w:r>
              <w:rPr/>
              <w:t> </w:t>
            </w:r>
          </w:p>
        </w:tc>
        <w:tc>
          <w:tcPr>
            <w:tcW w:w="276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43" w:type="dxa"/>
            <w:tcBorders/>
            <w:shd w:fill="auto" w:val="clear"/>
            <w:vAlign w:val="bottom"/>
          </w:tcPr>
          <w:p>
            <w:pPr>
              <w:pStyle w:val="TableContents"/>
              <w:spacing w:before="0" w:after="0"/>
              <w:ind w:left="0" w:right="0" w:hanging="0"/>
              <w:jc w:val="center"/>
              <w:rPr/>
            </w:pPr>
            <w:r>
              <w:rPr/>
              <w:t> </w:t>
            </w:r>
          </w:p>
        </w:tc>
      </w:tr>
      <w:tr>
        <w:trPr/>
        <w:tc>
          <w:tcPr>
            <w:tcW w:w="4068"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8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9" w:type="dxa"/>
            <w:tcBorders/>
            <w:shd w:fill="auto" w:val="clear"/>
            <w:vAlign w:val="bottom"/>
          </w:tcPr>
          <w:p>
            <w:pPr>
              <w:pStyle w:val="TableContents"/>
              <w:spacing w:before="0" w:after="0"/>
              <w:ind w:left="0" w:right="0" w:hanging="0"/>
              <w:jc w:val="center"/>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3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43" w:type="dxa"/>
            <w:tcBorders/>
            <w:shd w:fill="auto" w:val="clear"/>
            <w:vAlign w:val="bottom"/>
          </w:tcPr>
          <w:p>
            <w:pPr>
              <w:pStyle w:val="TableContents"/>
              <w:spacing w:before="0" w:after="0"/>
              <w:ind w:left="0" w:right="0" w:hanging="0"/>
              <w:jc w:val="center"/>
              <w:rPr/>
            </w:pPr>
            <w:r>
              <w:rPr/>
              <w:t> </w:t>
            </w:r>
          </w:p>
        </w:tc>
      </w:tr>
      <w:tr>
        <w:trPr/>
        <w:tc>
          <w:tcPr>
            <w:tcW w:w="40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Commodity derivatives, net </w:t>
            </w:r>
          </w:p>
        </w:tc>
        <w:tc>
          <w:tcPr>
            <w:tcW w:w="209" w:type="dxa"/>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37" w:type="dxa"/>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09"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26"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43" w:type="dxa"/>
            <w:tcBorders/>
            <w:shd w:fill="CCEEFF" w:val="clear"/>
            <w:vAlign w:val="bottom"/>
          </w:tcPr>
          <w:p>
            <w:pPr>
              <w:pStyle w:val="TableContents"/>
              <w:spacing w:before="0" w:after="0"/>
              <w:ind w:left="0" w:right="0" w:hanging="0"/>
              <w:rPr/>
            </w:pPr>
            <w:r>
              <w:rPr/>
              <w:t> </w:t>
            </w:r>
          </w:p>
        </w:tc>
      </w:tr>
      <w:tr>
        <w:trPr/>
        <w:tc>
          <w:tcPr>
            <w:tcW w:w="40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rate derivatives, net </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7" w:type="dxa"/>
            <w:tcBorders/>
            <w:shd w:fill="auto" w:val="clear"/>
            <w:vAlign w:val="bottom"/>
          </w:tcPr>
          <w:p>
            <w:pPr>
              <w:pStyle w:val="TableContents"/>
              <w:spacing w:before="0" w:after="0"/>
              <w:ind w:left="0" w:right="0" w:hanging="0"/>
              <w:rPr/>
            </w:pPr>
            <w:r>
              <w:rPr/>
              <w:t> </w:t>
            </w:r>
          </w:p>
        </w:tc>
        <w:tc>
          <w:tcPr>
            <w:tcW w:w="12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9" w:type="dxa"/>
            <w:tcBorders/>
            <w:shd w:fill="auto" w:val="clear"/>
            <w:vAlign w:val="bottom"/>
          </w:tcPr>
          <w:p>
            <w:pPr>
              <w:pStyle w:val="TableContents"/>
              <w:spacing w:before="0" w:after="0"/>
              <w:ind w:left="0" w:right="0" w:hanging="0"/>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26" w:type="dxa"/>
            <w:tcBorders/>
            <w:shd w:fill="auto" w:val="clear"/>
            <w:vAlign w:val="bottom"/>
          </w:tcPr>
          <w:p>
            <w:pPr>
              <w:pStyle w:val="TableContents"/>
              <w:spacing w:before="0" w:after="0"/>
              <w:ind w:left="0" w:right="0" w:hanging="0"/>
              <w:rPr/>
            </w:pPr>
            <w:r>
              <w:rPr/>
              <w:t> </w:t>
            </w:r>
          </w:p>
        </w:tc>
        <w:tc>
          <w:tcPr>
            <w:tcW w:w="12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09" w:type="dxa"/>
            <w:tcBorders/>
            <w:shd w:fill="CCEEFF" w:val="clear"/>
            <w:vAlign w:val="bottom"/>
          </w:tcPr>
          <w:p>
            <w:pPr>
              <w:pStyle w:val="TableContents"/>
              <w:spacing w:before="0" w:after="0"/>
              <w:ind w:left="0" w:right="0" w:hanging="0"/>
              <w:rPr/>
            </w:pPr>
            <w:r>
              <w:rPr/>
              <w:t> </w:t>
            </w:r>
          </w:p>
        </w:tc>
        <w:tc>
          <w:tcPr>
            <w:tcW w:w="20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37" w:type="dxa"/>
            <w:tcBorders/>
            <w:shd w:fill="CCEEFF" w:val="clear"/>
            <w:vAlign w:val="bottom"/>
          </w:tcPr>
          <w:p>
            <w:pPr>
              <w:pStyle w:val="TableContents"/>
              <w:spacing w:before="0" w:after="0"/>
              <w:ind w:left="0" w:right="0" w:hanging="0"/>
              <w:rPr/>
            </w:pPr>
            <w:r>
              <w:rPr/>
              <w:t> </w:t>
            </w:r>
          </w:p>
        </w:tc>
        <w:tc>
          <w:tcPr>
            <w:tcW w:w="20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09" w:type="dxa"/>
            <w:tcBorders/>
            <w:shd w:fill="CCEEFF" w:val="clear"/>
            <w:vAlign w:val="bottom"/>
          </w:tcPr>
          <w:p>
            <w:pPr>
              <w:pStyle w:val="TableContents"/>
              <w:spacing w:before="0" w:after="0"/>
              <w:ind w:left="0" w:right="0" w:hanging="0"/>
              <w:rPr/>
            </w:pPr>
            <w:r>
              <w:rPr/>
              <w:t> </w:t>
            </w:r>
          </w:p>
        </w:tc>
        <w:tc>
          <w:tcPr>
            <w:tcW w:w="1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26" w:type="dxa"/>
            <w:tcBorders/>
            <w:shd w:fill="CCEEFF" w:val="clear"/>
            <w:vAlign w:val="bottom"/>
          </w:tcPr>
          <w:p>
            <w:pPr>
              <w:pStyle w:val="TableContents"/>
              <w:spacing w:before="0" w:after="0"/>
              <w:ind w:left="0" w:right="0" w:hanging="0"/>
              <w:rPr/>
            </w:pPr>
            <w:r>
              <w:rPr/>
              <w:t> </w:t>
            </w:r>
          </w:p>
        </w:tc>
        <w:tc>
          <w:tcPr>
            <w:tcW w:w="1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4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2013 and December 31, 2012,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44" w:name="PB_24_160316_7056"/>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Recurring Fair Value Measurements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Derivative Financial Assets and Liabilities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by level within the fair value hierarchy our financial assets and liabilities that were accounted for at fair value on a recurring basis as of September 30, 2013 and December 31, 2012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2763"/>
        <w:gridCol w:w="147"/>
        <w:gridCol w:w="163"/>
        <w:gridCol w:w="519"/>
        <w:gridCol w:w="182"/>
        <w:gridCol w:w="163"/>
        <w:gridCol w:w="519"/>
        <w:gridCol w:w="182"/>
        <w:gridCol w:w="188"/>
        <w:gridCol w:w="468"/>
        <w:gridCol w:w="182"/>
        <w:gridCol w:w="163"/>
        <w:gridCol w:w="523"/>
        <w:gridCol w:w="112"/>
        <w:gridCol w:w="97"/>
        <w:gridCol w:w="228"/>
        <w:gridCol w:w="430"/>
        <w:gridCol w:w="178"/>
        <w:gridCol w:w="193"/>
        <w:gridCol w:w="513"/>
        <w:gridCol w:w="204"/>
        <w:gridCol w:w="228"/>
        <w:gridCol w:w="430"/>
        <w:gridCol w:w="178"/>
        <w:gridCol w:w="193"/>
        <w:gridCol w:w="517"/>
        <w:gridCol w:w="133"/>
      </w:tblGrid>
      <w:tr>
        <w:trPr/>
        <w:tc>
          <w:tcPr>
            <w:tcW w:w="2763"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jc w:val="center"/>
              <w:rPr/>
            </w:pPr>
            <w:r>
              <w:rPr/>
              <w:t> </w:t>
            </w:r>
          </w:p>
        </w:tc>
        <w:tc>
          <w:tcPr>
            <w:tcW w:w="325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September 30, 2013</w:t>
            </w:r>
          </w:p>
        </w:tc>
        <w:tc>
          <w:tcPr>
            <w:tcW w:w="112" w:type="dxa"/>
            <w:tcBorders>
              <w:right w:val="double" w:sz="6" w:space="0" w:color="000000"/>
            </w:tcBorders>
            <w:shd w:fill="auto" w:val="clear"/>
            <w:tcMar>
              <w:right w:w="28" w:type="dxa"/>
            </w:tcMar>
            <w:vAlign w:val="bottom"/>
          </w:tcPr>
          <w:p>
            <w:pPr>
              <w:pStyle w:val="TableContents"/>
              <w:spacing w:before="0" w:after="0"/>
              <w:ind w:left="0" w:right="0" w:hanging="0"/>
              <w:jc w:val="center"/>
              <w:rPr/>
            </w:pPr>
            <w:r>
              <w:rPr/>
              <w:t> </w:t>
            </w:r>
          </w:p>
        </w:tc>
        <w:tc>
          <w:tcPr>
            <w:tcW w:w="97" w:type="dxa"/>
            <w:tcBorders/>
            <w:shd w:fill="auto" w:val="clear"/>
            <w:vAlign w:val="bottom"/>
          </w:tcPr>
          <w:p>
            <w:pPr>
              <w:pStyle w:val="TableContents"/>
              <w:spacing w:before="0" w:after="0"/>
              <w:ind w:left="0" w:right="0" w:hanging="0"/>
              <w:jc w:val="center"/>
              <w:rPr/>
            </w:pPr>
            <w:r>
              <w:rPr/>
              <w:t> </w:t>
            </w:r>
          </w:p>
        </w:tc>
        <w:tc>
          <w:tcPr>
            <w:tcW w:w="329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December 31, 2012</w:t>
            </w:r>
          </w:p>
        </w:tc>
        <w:tc>
          <w:tcPr>
            <w:tcW w:w="133" w:type="dxa"/>
            <w:tcBorders/>
            <w:shd w:fill="auto" w:val="clear"/>
            <w:vAlign w:val="bottom"/>
          </w:tcPr>
          <w:p>
            <w:pPr>
              <w:pStyle w:val="TableContents"/>
              <w:spacing w:before="0" w:after="0"/>
              <w:ind w:left="0" w:right="0" w:hanging="0"/>
              <w:jc w:val="center"/>
              <w:rPr/>
            </w:pPr>
            <w:r>
              <w:rPr/>
              <w:t> </w:t>
            </w:r>
          </w:p>
        </w:tc>
      </w:tr>
      <w:tr>
        <w:trPr/>
        <w:tc>
          <w:tcPr>
            <w:tcW w:w="2763"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Recurring Fair Value Measures </w:t>
            </w:r>
            <w:r>
              <w:rPr>
                <w:b/>
                <w:sz w:val="8"/>
              </w:rPr>
              <w:t>(1)</w:t>
            </w:r>
          </w:p>
        </w:tc>
        <w:tc>
          <w:tcPr>
            <w:tcW w:w="147" w:type="dxa"/>
            <w:tcBorders/>
            <w:shd w:fill="auto" w:val="clear"/>
            <w:vAlign w:val="bottom"/>
          </w:tcPr>
          <w:p>
            <w:pPr>
              <w:pStyle w:val="TableContents"/>
              <w:spacing w:before="0" w:after="0"/>
              <w:ind w:left="0" w:right="0" w:hanging="0"/>
              <w:jc w:val="center"/>
              <w:rPr/>
            </w:pPr>
            <w:r>
              <w:rPr/>
              <w:t> </w:t>
            </w:r>
          </w:p>
        </w:tc>
        <w:tc>
          <w:tcPr>
            <w:tcW w:w="6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82" w:type="dxa"/>
            <w:tcBorders/>
            <w:shd w:fill="auto" w:val="clear"/>
            <w:vAlign w:val="bottom"/>
          </w:tcPr>
          <w:p>
            <w:pPr>
              <w:pStyle w:val="TableContents"/>
              <w:spacing w:before="0" w:after="0"/>
              <w:ind w:left="0" w:right="0" w:hanging="0"/>
              <w:jc w:val="center"/>
              <w:rPr/>
            </w:pPr>
            <w:r>
              <w:rPr/>
              <w:t> </w:t>
            </w:r>
          </w:p>
        </w:tc>
        <w:tc>
          <w:tcPr>
            <w:tcW w:w="68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82" w:type="dxa"/>
            <w:tcBorders/>
            <w:shd w:fill="auto" w:val="clear"/>
            <w:vAlign w:val="bottom"/>
          </w:tcPr>
          <w:p>
            <w:pPr>
              <w:pStyle w:val="TableContents"/>
              <w:spacing w:before="0" w:after="0"/>
              <w:ind w:left="0" w:right="0" w:hanging="0"/>
              <w:jc w:val="center"/>
              <w:rPr/>
            </w:pPr>
            <w:r>
              <w:rPr/>
              <w:t> </w:t>
            </w:r>
          </w:p>
        </w:tc>
        <w:tc>
          <w:tcPr>
            <w:tcW w:w="6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82" w:type="dxa"/>
            <w:tcBorders/>
            <w:shd w:fill="auto" w:val="clear"/>
            <w:vAlign w:val="bottom"/>
          </w:tcPr>
          <w:p>
            <w:pPr>
              <w:pStyle w:val="TableContents"/>
              <w:spacing w:before="0" w:after="0"/>
              <w:ind w:left="0" w:right="0" w:hanging="0"/>
              <w:jc w:val="center"/>
              <w:rPr/>
            </w:pPr>
            <w:r>
              <w:rPr/>
              <w:t> </w:t>
            </w:r>
          </w:p>
        </w:tc>
        <w:tc>
          <w:tcPr>
            <w:tcW w:w="6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12" w:type="dxa"/>
            <w:tcBorders>
              <w:right w:val="double" w:sz="6" w:space="0" w:color="000000"/>
            </w:tcBorders>
            <w:shd w:fill="auto" w:val="clear"/>
            <w:tcMar>
              <w:right w:w="28" w:type="dxa"/>
            </w:tcMar>
            <w:vAlign w:val="bottom"/>
          </w:tcPr>
          <w:p>
            <w:pPr>
              <w:pStyle w:val="TableContents"/>
              <w:spacing w:before="0" w:after="0"/>
              <w:ind w:left="0" w:right="0" w:hanging="0"/>
              <w:jc w:val="center"/>
              <w:rPr/>
            </w:pPr>
            <w:r>
              <w:rPr/>
              <w:t> </w:t>
            </w:r>
          </w:p>
        </w:tc>
        <w:tc>
          <w:tcPr>
            <w:tcW w:w="97" w:type="dxa"/>
            <w:tcBorders/>
            <w:shd w:fill="auto" w:val="clear"/>
            <w:vAlign w:val="bottom"/>
          </w:tcPr>
          <w:p>
            <w:pPr>
              <w:pStyle w:val="TableContents"/>
              <w:spacing w:before="0" w:after="0"/>
              <w:ind w:left="0" w:right="0" w:hanging="0"/>
              <w:jc w:val="center"/>
              <w:rPr/>
            </w:pPr>
            <w:r>
              <w:rPr/>
              <w:t> </w:t>
            </w:r>
          </w:p>
        </w:tc>
        <w:tc>
          <w:tcPr>
            <w:tcW w:w="6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78" w:type="dxa"/>
            <w:tcBorders/>
            <w:shd w:fill="auto" w:val="clear"/>
            <w:vAlign w:val="bottom"/>
          </w:tcPr>
          <w:p>
            <w:pPr>
              <w:pStyle w:val="TableContents"/>
              <w:spacing w:before="0" w:after="0"/>
              <w:ind w:left="0" w:right="0" w:hanging="0"/>
              <w:jc w:val="center"/>
              <w:rPr/>
            </w:pPr>
            <w:r>
              <w:rPr/>
              <w:t> </w:t>
            </w:r>
          </w:p>
        </w:tc>
        <w:tc>
          <w:tcPr>
            <w:tcW w:w="7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204" w:type="dxa"/>
            <w:tcBorders/>
            <w:shd w:fill="auto" w:val="clear"/>
            <w:vAlign w:val="bottom"/>
          </w:tcPr>
          <w:p>
            <w:pPr>
              <w:pStyle w:val="TableContents"/>
              <w:spacing w:before="0" w:after="0"/>
              <w:ind w:left="0" w:right="0" w:hanging="0"/>
              <w:jc w:val="center"/>
              <w:rPr/>
            </w:pPr>
            <w:r>
              <w:rPr/>
              <w:t> </w:t>
            </w:r>
          </w:p>
        </w:tc>
        <w:tc>
          <w:tcPr>
            <w:tcW w:w="6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78" w:type="dxa"/>
            <w:tcBorders/>
            <w:shd w:fill="auto" w:val="clear"/>
            <w:vAlign w:val="bottom"/>
          </w:tcPr>
          <w:p>
            <w:pPr>
              <w:pStyle w:val="TableContents"/>
              <w:spacing w:before="0" w:after="0"/>
              <w:ind w:left="0" w:right="0" w:hanging="0"/>
              <w:jc w:val="center"/>
              <w:rPr/>
            </w:pPr>
            <w:r>
              <w:rPr/>
              <w:t> </w:t>
            </w:r>
          </w:p>
        </w:tc>
        <w:tc>
          <w:tcPr>
            <w:tcW w:w="7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3" w:type="dxa"/>
            <w:tcBorders/>
            <w:shd w:fill="auto" w:val="clear"/>
            <w:vAlign w:val="bottom"/>
          </w:tcPr>
          <w:p>
            <w:pPr>
              <w:pStyle w:val="TableContents"/>
              <w:spacing w:before="0" w:after="0"/>
              <w:ind w:left="0" w:right="0" w:hanging="0"/>
              <w:jc w:val="center"/>
              <w:rPr/>
            </w:pPr>
            <w:r>
              <w:rPr/>
              <w:t> </w:t>
            </w:r>
          </w:p>
        </w:tc>
      </w:tr>
      <w:tr>
        <w:trPr/>
        <w:tc>
          <w:tcPr>
            <w:tcW w:w="27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Commodity derivatives </w:t>
            </w:r>
          </w:p>
        </w:tc>
        <w:tc>
          <w:tcPr>
            <w:tcW w:w="147"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2" w:type="dxa"/>
            <w:tcBorders>
              <w:right w:val="double" w:sz="6"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 w:type="dxa"/>
            <w:tcBorders/>
            <w:shd w:fill="CCEEFF" w:val="clear"/>
            <w:vAlign w:val="bottom"/>
          </w:tcPr>
          <w:p>
            <w:pPr>
              <w:pStyle w:val="TableContents"/>
              <w:spacing w:before="0" w:after="0"/>
              <w:ind w:left="0" w:right="0" w:hanging="0"/>
              <w:rPr/>
            </w:pPr>
            <w:r>
              <w:rPr/>
              <w:t> </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8"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4" w:type="dxa"/>
            <w:tcBorders/>
            <w:shd w:fill="CCEEFF" w:val="clear"/>
            <w:vAlign w:val="bottom"/>
          </w:tcPr>
          <w:p>
            <w:pPr>
              <w:pStyle w:val="TableContents"/>
              <w:spacing w:before="0" w:after="0"/>
              <w:ind w:left="0" w:right="0" w:hanging="0"/>
              <w:rPr/>
            </w:pPr>
            <w:r>
              <w:rPr/>
              <w:t> </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8"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33" w:type="dxa"/>
            <w:tcBorders/>
            <w:shd w:fill="CCEEFF" w:val="clear"/>
            <w:vAlign w:val="bottom"/>
          </w:tcPr>
          <w:p>
            <w:pPr>
              <w:pStyle w:val="TableContents"/>
              <w:spacing w:before="0" w:after="0"/>
              <w:ind w:left="0" w:right="0" w:hanging="0"/>
              <w:rPr/>
            </w:pPr>
            <w:r>
              <w:rPr/>
              <w:t> </w:t>
            </w:r>
          </w:p>
        </w:tc>
      </w:tr>
      <w:tr>
        <w:trPr/>
        <w:tc>
          <w:tcPr>
            <w:tcW w:w="27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rate derivatives </w:t>
            </w:r>
          </w:p>
        </w:tc>
        <w:tc>
          <w:tcPr>
            <w:tcW w:w="147" w:type="dxa"/>
            <w:tcBorders/>
            <w:shd w:fill="auto" w:val="clear"/>
            <w:vAlign w:val="bottom"/>
          </w:tcPr>
          <w:p>
            <w:pPr>
              <w:pStyle w:val="TableContents"/>
              <w:spacing w:before="0" w:after="0"/>
              <w:ind w:left="0" w:right="0" w:hanging="0"/>
              <w:rPr/>
            </w:pPr>
            <w:r>
              <w:rPr/>
              <w:t> </w:t>
            </w:r>
          </w:p>
        </w:tc>
        <w:tc>
          <w:tcPr>
            <w:tcW w:w="6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6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2"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6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2"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97" w:type="dxa"/>
            <w:tcBorders/>
            <w:shd w:fill="auto" w:val="clear"/>
            <w:vAlign w:val="bottom"/>
          </w:tcPr>
          <w:p>
            <w:pPr>
              <w:pStyle w:val="TableContents"/>
              <w:spacing w:before="0" w:after="0"/>
              <w:ind w:left="0" w:right="0" w:hanging="0"/>
              <w:rPr/>
            </w:pPr>
            <w:r>
              <w:rPr/>
              <w:t> </w:t>
            </w:r>
          </w:p>
        </w:tc>
        <w:tc>
          <w:tcPr>
            <w:tcW w:w="6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8"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8" w:type="dxa"/>
            <w:tcBorders/>
            <w:shd w:fill="auto" w:val="clear"/>
            <w:vAlign w:val="bottom"/>
          </w:tcPr>
          <w:p>
            <w:pPr>
              <w:pStyle w:val="TableContents"/>
              <w:spacing w:before="0" w:after="0"/>
              <w:ind w:left="0" w:right="0" w:hanging="0"/>
              <w:rPr/>
            </w:pPr>
            <w:r>
              <w:rPr/>
              <w:t> </w:t>
            </w:r>
          </w:p>
        </w:tc>
        <w:tc>
          <w:tcPr>
            <w:tcW w:w="7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Foreign currency derivatives </w:t>
            </w:r>
          </w:p>
        </w:tc>
        <w:tc>
          <w:tcPr>
            <w:tcW w:w="147" w:type="dxa"/>
            <w:tcBorders/>
            <w:shd w:fill="CCEEFF" w:val="clear"/>
            <w:vAlign w:val="bottom"/>
          </w:tcPr>
          <w:p>
            <w:pPr>
              <w:pStyle w:val="TableContents"/>
              <w:spacing w:before="0" w:after="0"/>
              <w:ind w:left="0" w:right="0" w:hanging="0"/>
              <w:rPr/>
            </w:pPr>
            <w:r>
              <w:rPr/>
              <w:t> </w:t>
            </w:r>
          </w:p>
        </w:tc>
        <w:tc>
          <w:tcPr>
            <w:tcW w:w="6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6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CCEEFF" w:val="clear"/>
            <w:vAlign w:val="bottom"/>
          </w:tcPr>
          <w:p>
            <w:pPr>
              <w:pStyle w:val="TableContents"/>
              <w:spacing w:before="0" w:after="0"/>
              <w:ind w:left="0" w:right="0" w:hanging="0"/>
              <w:rPr/>
            </w:pPr>
            <w:r>
              <w:rPr/>
              <w:t> </w:t>
            </w:r>
          </w:p>
        </w:tc>
        <w:tc>
          <w:tcPr>
            <w:tcW w:w="6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6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2"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97" w:type="dxa"/>
            <w:tcBorders/>
            <w:shd w:fill="CCEEFF" w:val="clear"/>
            <w:vAlign w:val="bottom"/>
          </w:tcPr>
          <w:p>
            <w:pPr>
              <w:pStyle w:val="TableContents"/>
              <w:spacing w:before="0" w:after="0"/>
              <w:ind w:left="0" w:right="0" w:hanging="0"/>
              <w:rPr/>
            </w:pPr>
            <w:r>
              <w:rPr/>
              <w:t> </w:t>
            </w:r>
          </w:p>
        </w:tc>
        <w:tc>
          <w:tcPr>
            <w:tcW w:w="6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8" w:type="dxa"/>
            <w:tcBorders/>
            <w:shd w:fill="CCEEFF" w:val="clear"/>
            <w:vAlign w:val="bottom"/>
          </w:tcPr>
          <w:p>
            <w:pPr>
              <w:pStyle w:val="TableContents"/>
              <w:spacing w:before="0" w:after="0"/>
              <w:ind w:left="0" w:right="0" w:hanging="0"/>
              <w:rPr/>
            </w:pPr>
            <w:r>
              <w:rPr/>
              <w:t> </w:t>
            </w:r>
          </w:p>
        </w:tc>
        <w:tc>
          <w:tcPr>
            <w:tcW w:w="7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6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8" w:type="dxa"/>
            <w:tcBorders/>
            <w:shd w:fill="CCEEFF" w:val="clear"/>
            <w:vAlign w:val="bottom"/>
          </w:tcPr>
          <w:p>
            <w:pPr>
              <w:pStyle w:val="TableContents"/>
              <w:spacing w:before="0" w:after="0"/>
              <w:ind w:left="0" w:right="0" w:hanging="0"/>
              <w:rPr/>
            </w:pPr>
            <w:r>
              <w:rPr/>
              <w:t> </w:t>
            </w:r>
          </w:p>
        </w:tc>
        <w:tc>
          <w:tcPr>
            <w:tcW w:w="7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pPr>
            <w:r>
              <w:rPr/>
              <w:t> </w:t>
            </w:r>
          </w:p>
        </w:tc>
      </w:tr>
      <w:tr>
        <w:trPr/>
        <w:tc>
          <w:tcPr>
            <w:tcW w:w="27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147" w:type="dxa"/>
            <w:tcBorders/>
            <w:shd w:fill="auto" w:val="clear"/>
            <w:vAlign w:val="bottom"/>
          </w:tcPr>
          <w:p>
            <w:pPr>
              <w:pStyle w:val="TableContents"/>
              <w:spacing w:before="0" w:after="0"/>
              <w:ind w:left="0" w:right="0" w:hanging="0"/>
              <w:rPr/>
            </w:pPr>
            <w:r>
              <w:rPr/>
              <w:t> </w:t>
            </w:r>
          </w:p>
        </w:tc>
        <w:tc>
          <w:tcPr>
            <w:tcW w:w="1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2" w:type="dxa"/>
            <w:tcBorders>
              <w:right w:val="double" w:sz="6"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 w:type="dxa"/>
            <w:tcBorders/>
            <w:shd w:fill="auto" w:val="clear"/>
            <w:vAlign w:val="bottom"/>
          </w:tcPr>
          <w:p>
            <w:pPr>
              <w:pStyle w:val="TableContents"/>
              <w:spacing w:before="0" w:after="0"/>
              <w:ind w:left="0" w:right="0" w:hanging="0"/>
              <w:rPr/>
            </w:pPr>
            <w:r>
              <w:rPr/>
              <w:t> </w:t>
            </w:r>
          </w:p>
        </w:tc>
        <w:tc>
          <w:tcPr>
            <w:tcW w:w="2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8" w:type="dxa"/>
            <w:tcBorders/>
            <w:shd w:fill="auto" w:val="clear"/>
            <w:vAlign w:val="bottom"/>
          </w:tcPr>
          <w:p>
            <w:pPr>
              <w:pStyle w:val="TableContents"/>
              <w:spacing w:before="0" w:after="0"/>
              <w:ind w:left="0" w:right="0" w:hanging="0"/>
              <w:rPr/>
            </w:pPr>
            <w:r>
              <w:rPr/>
              <w:t> </w:t>
            </w:r>
          </w:p>
        </w:tc>
        <w:tc>
          <w:tcPr>
            <w:tcW w:w="19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8" w:type="dxa"/>
            <w:tcBorders/>
            <w:shd w:fill="auto" w:val="clear"/>
            <w:vAlign w:val="bottom"/>
          </w:tcPr>
          <w:p>
            <w:pPr>
              <w:pStyle w:val="TableContents"/>
              <w:spacing w:before="0" w:after="0"/>
              <w:ind w:left="0" w:right="0" w:hanging="0"/>
              <w:rPr/>
            </w:pPr>
            <w:r>
              <w:rPr/>
              <w:t> </w:t>
            </w:r>
          </w:p>
        </w:tc>
        <w:tc>
          <w:tcPr>
            <w:tcW w:w="19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Derivative assets and liabilities are presented above on a net basis but do not include related cash margin deposits.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1 of the fair value hierarchy includes exchange-traded commodity derivatives such as futures and options.  The fair value of exchange-traded commodity derivatives is based on unadjusted quoted prices in active markets.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2 of the fair value hierarchy includes exchange-cleared commodity derivatives and over-the-counter commodity, interest rate and foreign currency derivatives that are traded in active markets.  The fair value of these derivatives is based on broker price quotations which are corroborated with market observable inputs.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3 of the fair value hierarchy includes over-the-counter commodity derivatives that are traded in markets that are active but not sufficiently active to warrant level 2 classification in our judgment and certain physical commodity contracts.  The fair value of our level 3 over-the-counter commodity derivatives is based on broker price quotations.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(decrease) in these forward prices would result in a proportionately lower (higher) fair value measurement.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Rollforward of Level 3 Net Asset/(Liability)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provides a reconciliation of changes in fair value of the beginning and ending balances for our derivatives classified as level 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811"/>
        <w:gridCol w:w="205"/>
        <w:gridCol w:w="205"/>
        <w:gridCol w:w="869"/>
        <w:gridCol w:w="257"/>
        <w:gridCol w:w="205"/>
        <w:gridCol w:w="902"/>
        <w:gridCol w:w="217"/>
        <w:gridCol w:w="197"/>
        <w:gridCol w:w="858"/>
        <w:gridCol w:w="252"/>
        <w:gridCol w:w="197"/>
        <w:gridCol w:w="890"/>
        <w:gridCol w:w="140"/>
      </w:tblGrid>
      <w:tr>
        <w:trPr/>
        <w:tc>
          <w:tcPr>
            <w:tcW w:w="4811"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43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39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40" w:type="dxa"/>
            <w:tcBorders/>
            <w:shd w:fill="auto" w:val="clear"/>
            <w:vAlign w:val="bottom"/>
          </w:tcPr>
          <w:p>
            <w:pPr>
              <w:pStyle w:val="TableContents"/>
              <w:spacing w:before="0" w:after="0"/>
              <w:ind w:left="0" w:right="0" w:hanging="0"/>
              <w:jc w:val="center"/>
              <w:rPr/>
            </w:pPr>
            <w:r>
              <w:rPr/>
              <w:t> </w:t>
            </w:r>
          </w:p>
        </w:tc>
      </w:tr>
      <w:tr>
        <w:trPr/>
        <w:tc>
          <w:tcPr>
            <w:tcW w:w="4811"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43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39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40" w:type="dxa"/>
            <w:tcBorders/>
            <w:shd w:fill="auto" w:val="clear"/>
            <w:vAlign w:val="bottom"/>
          </w:tcPr>
          <w:p>
            <w:pPr>
              <w:pStyle w:val="TableContents"/>
              <w:spacing w:before="0" w:after="0"/>
              <w:ind w:left="0" w:right="0" w:hanging="0"/>
              <w:jc w:val="center"/>
              <w:rPr/>
            </w:pPr>
            <w:r>
              <w:rPr/>
              <w:t> </w:t>
            </w:r>
          </w:p>
        </w:tc>
      </w:tr>
      <w:tr>
        <w:trPr/>
        <w:tc>
          <w:tcPr>
            <w:tcW w:w="4811"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0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57" w:type="dxa"/>
            <w:tcBorders/>
            <w:shd w:fill="auto" w:val="clear"/>
            <w:vAlign w:val="bottom"/>
          </w:tcPr>
          <w:p>
            <w:pPr>
              <w:pStyle w:val="TableContents"/>
              <w:spacing w:before="0" w:after="0"/>
              <w:ind w:left="0" w:right="0" w:hanging="0"/>
              <w:jc w:val="center"/>
              <w:rPr/>
            </w:pPr>
            <w:r>
              <w:rPr/>
              <w:t> </w:t>
            </w:r>
          </w:p>
        </w:tc>
        <w:tc>
          <w:tcPr>
            <w:tcW w:w="110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7" w:type="dxa"/>
            <w:tcBorders/>
            <w:shd w:fill="auto" w:val="clear"/>
            <w:vAlign w:val="bottom"/>
          </w:tcPr>
          <w:p>
            <w:pPr>
              <w:pStyle w:val="TableContents"/>
              <w:spacing w:before="0" w:after="0"/>
              <w:ind w:left="0" w:right="0" w:hanging="0"/>
              <w:jc w:val="center"/>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52" w:type="dxa"/>
            <w:tcBorders/>
            <w:shd w:fill="auto" w:val="clear"/>
            <w:vAlign w:val="bottom"/>
          </w:tcPr>
          <w:p>
            <w:pPr>
              <w:pStyle w:val="TableContents"/>
              <w:spacing w:before="0" w:after="0"/>
              <w:ind w:left="0" w:right="0" w:hanging="0"/>
              <w:jc w:val="center"/>
              <w:rPr/>
            </w:pPr>
            <w:r>
              <w:rPr/>
              <w:t> </w:t>
            </w:r>
          </w:p>
        </w:tc>
        <w:tc>
          <w:tcPr>
            <w:tcW w:w="10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40" w:type="dxa"/>
            <w:tcBorders/>
            <w:shd w:fill="auto" w:val="clear"/>
            <w:vAlign w:val="bottom"/>
          </w:tcPr>
          <w:p>
            <w:pPr>
              <w:pStyle w:val="TableContents"/>
              <w:spacing w:before="0" w:after="0"/>
              <w:ind w:left="0" w:right="0" w:hanging="0"/>
              <w:jc w:val="center"/>
              <w:rPr/>
            </w:pPr>
            <w:r>
              <w:rPr/>
              <w:t> </w:t>
            </w:r>
          </w:p>
        </w:tc>
      </w:tr>
      <w:tr>
        <w:trPr/>
        <w:tc>
          <w:tcPr>
            <w:tcW w:w="48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Beginning Balance </w:t>
            </w:r>
          </w:p>
        </w:tc>
        <w:tc>
          <w:tcPr>
            <w:tcW w:w="205"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7"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2"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40" w:type="dxa"/>
            <w:tcBorders/>
            <w:shd w:fill="CCEEFF" w:val="clear"/>
            <w:vAlign w:val="bottom"/>
          </w:tcPr>
          <w:p>
            <w:pPr>
              <w:pStyle w:val="TableContents"/>
              <w:spacing w:before="0" w:after="0"/>
              <w:ind w:left="0" w:right="0" w:hanging="0"/>
              <w:rPr/>
            </w:pPr>
            <w:r>
              <w:rPr/>
              <w:t> </w:t>
            </w:r>
          </w:p>
        </w:tc>
      </w:tr>
      <w:tr>
        <w:trPr/>
        <w:tc>
          <w:tcPr>
            <w:tcW w:w="48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gains/(losses) for the period:</w:t>
            </w:r>
          </w:p>
        </w:tc>
        <w:tc>
          <w:tcPr>
            <w:tcW w:w="205" w:type="dxa"/>
            <w:tcBorders/>
            <w:shd w:fill="auto" w:val="clear"/>
            <w:vAlign w:val="bottom"/>
          </w:tcPr>
          <w:p>
            <w:pPr>
              <w:pStyle w:val="TableContents"/>
              <w:spacing w:before="0" w:after="0"/>
              <w:ind w:left="0" w:right="0" w:hanging="0"/>
              <w:rPr/>
            </w:pPr>
            <w:r>
              <w:rPr/>
              <w:t> </w:t>
            </w:r>
          </w:p>
        </w:tc>
        <w:tc>
          <w:tcPr>
            <w:tcW w:w="1074" w:type="dxa"/>
            <w:gridSpan w:val="2"/>
            <w:tcBorders/>
            <w:shd w:fill="auto" w:val="clear"/>
            <w:vAlign w:val="bottom"/>
          </w:tcPr>
          <w:p>
            <w:pPr>
              <w:pStyle w:val="TableContents"/>
              <w:spacing w:before="0" w:after="0"/>
              <w:ind w:left="0" w:right="0" w:hanging="0"/>
              <w:jc w:val="right"/>
              <w:rPr/>
            </w:pPr>
            <w:r>
              <w:rPr/>
              <w:t> </w:t>
            </w:r>
          </w:p>
        </w:tc>
        <w:tc>
          <w:tcPr>
            <w:tcW w:w="257"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55"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c>
          <w:tcPr>
            <w:tcW w:w="1087" w:type="dxa"/>
            <w:gridSpan w:val="2"/>
            <w:tcBorders/>
            <w:shd w:fill="auto" w:val="clear"/>
            <w:vAlign w:val="bottom"/>
          </w:tcPr>
          <w:p>
            <w:pPr>
              <w:pStyle w:val="TableContents"/>
              <w:spacing w:before="0" w:after="0"/>
              <w:ind w:left="0" w:right="0" w:hanging="0"/>
              <w:jc w:val="right"/>
              <w:rPr/>
            </w:pPr>
            <w:r>
              <w:rPr/>
              <w:t> </w:t>
            </w:r>
          </w:p>
        </w:tc>
        <w:tc>
          <w:tcPr>
            <w:tcW w:w="140" w:type="dxa"/>
            <w:tcBorders/>
            <w:shd w:fill="auto" w:val="clear"/>
            <w:vAlign w:val="bottom"/>
          </w:tcPr>
          <w:p>
            <w:pPr>
              <w:pStyle w:val="TableContents"/>
              <w:spacing w:before="0" w:after="0"/>
              <w:ind w:left="0" w:right="0" w:hanging="0"/>
              <w:rPr/>
            </w:pPr>
            <w:r>
              <w:rPr/>
              <w:t> </w:t>
            </w:r>
          </w:p>
        </w:tc>
      </w:tr>
      <w:tr>
        <w:trPr/>
        <w:tc>
          <w:tcPr>
            <w:tcW w:w="4811" w:type="dxa"/>
            <w:tcBorders/>
            <w:shd w:fill="CCEEFF" w:val="clear"/>
            <w:vAlign w:val="bottom"/>
          </w:tcPr>
          <w:p>
            <w:pPr>
              <w:pStyle w:val="TableContents"/>
              <w:spacing w:before="0" w:after="0"/>
              <w:ind w:left="0" w:right="0" w:hanging="0"/>
              <w:rPr/>
            </w:pPr>
            <w:r>
              <w:rPr>
                <w:rFonts w:ascii="Times New Roman" w:hAnsi="Times New Roman"/>
                <w:sz w:val="17"/>
              </w:rPr>
              <w:t xml:space="preserve">Included in earnings </w:t>
            </w:r>
            <w:r>
              <w:rPr>
                <w:sz w:val="11"/>
              </w:rPr>
              <w:t xml:space="preserve">(1) </w:t>
            </w:r>
          </w:p>
        </w:tc>
        <w:tc>
          <w:tcPr>
            <w:tcW w:w="205" w:type="dxa"/>
            <w:tcBorders/>
            <w:shd w:fill="CCEEFF" w:val="clear"/>
            <w:vAlign w:val="bottom"/>
          </w:tcPr>
          <w:p>
            <w:pPr>
              <w:pStyle w:val="TableContents"/>
              <w:spacing w:before="0" w:after="0"/>
              <w:ind w:left="0" w:right="0" w:hanging="0"/>
              <w:rPr/>
            </w:pPr>
            <w:r>
              <w:rPr/>
              <w:t> </w:t>
            </w:r>
          </w:p>
        </w:tc>
        <w:tc>
          <w:tcPr>
            <w:tcW w:w="10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Included in other comprehensive income </w:t>
            </w:r>
          </w:p>
        </w:tc>
        <w:tc>
          <w:tcPr>
            <w:tcW w:w="205" w:type="dxa"/>
            <w:tcBorders/>
            <w:shd w:fill="auto" w:val="clear"/>
            <w:vAlign w:val="bottom"/>
          </w:tcPr>
          <w:p>
            <w:pPr>
              <w:pStyle w:val="TableContents"/>
              <w:spacing w:before="0" w:after="0"/>
              <w:ind w:left="0" w:right="0" w:hanging="0"/>
              <w:rPr/>
            </w:pPr>
            <w:r>
              <w:rPr/>
              <w:t> </w:t>
            </w:r>
          </w:p>
        </w:tc>
        <w:tc>
          <w:tcPr>
            <w:tcW w:w="10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7"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0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2" w:type="dxa"/>
            <w:tcBorders/>
            <w:shd w:fill="auto" w:val="clear"/>
            <w:vAlign w:val="bottom"/>
          </w:tcPr>
          <w:p>
            <w:pPr>
              <w:pStyle w:val="TableContents"/>
              <w:spacing w:before="0" w:after="0"/>
              <w:ind w:left="0" w:right="0" w:hanging="0"/>
              <w:rPr/>
            </w:pPr>
            <w:r>
              <w:rPr/>
              <w:t> </w:t>
            </w:r>
          </w:p>
        </w:tc>
        <w:tc>
          <w:tcPr>
            <w:tcW w:w="10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40" w:type="dxa"/>
            <w:tcBorders/>
            <w:shd w:fill="auto" w:val="clear"/>
            <w:vAlign w:val="bottom"/>
          </w:tcPr>
          <w:p>
            <w:pPr>
              <w:pStyle w:val="TableContents"/>
              <w:spacing w:before="0" w:after="0"/>
              <w:ind w:left="0" w:right="0" w:hanging="0"/>
              <w:rPr/>
            </w:pPr>
            <w:r>
              <w:rPr/>
              <w:t> </w:t>
            </w:r>
          </w:p>
        </w:tc>
      </w:tr>
      <w:tr>
        <w:trPr/>
        <w:tc>
          <w:tcPr>
            <w:tcW w:w="48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Settlements </w:t>
            </w:r>
          </w:p>
        </w:tc>
        <w:tc>
          <w:tcPr>
            <w:tcW w:w="205" w:type="dxa"/>
            <w:tcBorders/>
            <w:shd w:fill="CCEEFF" w:val="clear"/>
            <w:vAlign w:val="bottom"/>
          </w:tcPr>
          <w:p>
            <w:pPr>
              <w:pStyle w:val="TableContents"/>
              <w:spacing w:before="0" w:after="0"/>
              <w:ind w:left="0" w:right="0" w:hanging="0"/>
              <w:rPr/>
            </w:pPr>
            <w:r>
              <w:rPr/>
              <w:t> </w:t>
            </w:r>
          </w:p>
        </w:tc>
        <w:tc>
          <w:tcPr>
            <w:tcW w:w="10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Derivatives entered into during the period </w:t>
            </w:r>
          </w:p>
        </w:tc>
        <w:tc>
          <w:tcPr>
            <w:tcW w:w="205" w:type="dxa"/>
            <w:tcBorders/>
            <w:shd w:fill="auto" w:val="clear"/>
            <w:vAlign w:val="bottom"/>
          </w:tcPr>
          <w:p>
            <w:pPr>
              <w:pStyle w:val="TableContents"/>
              <w:spacing w:before="0" w:after="0"/>
              <w:ind w:left="0" w:right="0" w:hanging="0"/>
              <w:rPr/>
            </w:pPr>
            <w:r>
              <w:rPr/>
              <w:t> </w:t>
            </w:r>
          </w:p>
        </w:tc>
        <w:tc>
          <w:tcPr>
            <w:tcW w:w="10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7" w:type="dxa"/>
            <w:tcBorders/>
            <w:shd w:fill="auto" w:val="clear"/>
            <w:vAlign w:val="bottom"/>
          </w:tcPr>
          <w:p>
            <w:pPr>
              <w:pStyle w:val="TableContents"/>
              <w:spacing w:before="0" w:after="0"/>
              <w:ind w:left="0" w:right="0" w:hanging="0"/>
              <w:rPr/>
            </w:pPr>
            <w:r>
              <w:rPr/>
              <w:t> </w:t>
            </w:r>
          </w:p>
        </w:tc>
        <w:tc>
          <w:tcPr>
            <w:tcW w:w="11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10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40" w:type="dxa"/>
            <w:tcBorders/>
            <w:shd w:fill="auto" w:val="clear"/>
            <w:vAlign w:val="bottom"/>
          </w:tcPr>
          <w:p>
            <w:pPr>
              <w:pStyle w:val="TableContents"/>
              <w:spacing w:before="0" w:after="0"/>
              <w:ind w:left="0" w:right="0" w:hanging="0"/>
              <w:rPr/>
            </w:pPr>
            <w:r>
              <w:rPr/>
              <w:t> </w:t>
            </w:r>
          </w:p>
        </w:tc>
      </w:tr>
      <w:tr>
        <w:trPr/>
        <w:tc>
          <w:tcPr>
            <w:tcW w:w="48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Transfers out of level 3 </w:t>
            </w:r>
          </w:p>
        </w:tc>
        <w:tc>
          <w:tcPr>
            <w:tcW w:w="205" w:type="dxa"/>
            <w:tcBorders/>
            <w:shd w:fill="CCEEFF" w:val="clear"/>
            <w:vAlign w:val="bottom"/>
          </w:tcPr>
          <w:p>
            <w:pPr>
              <w:pStyle w:val="TableContents"/>
              <w:spacing w:before="0" w:after="0"/>
              <w:ind w:left="0" w:right="0" w:hanging="0"/>
              <w:rPr/>
            </w:pPr>
            <w:r>
              <w:rPr/>
              <w:t> </w:t>
            </w:r>
          </w:p>
        </w:tc>
        <w:tc>
          <w:tcPr>
            <w:tcW w:w="10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7" w:type="dxa"/>
            <w:tcBorders/>
            <w:shd w:fill="CCEEFF" w:val="clear"/>
            <w:vAlign w:val="bottom"/>
          </w:tcPr>
          <w:p>
            <w:pPr>
              <w:pStyle w:val="TableContents"/>
              <w:spacing w:before="0" w:after="0"/>
              <w:ind w:left="0" w:right="0" w:hanging="0"/>
              <w:rPr/>
            </w:pPr>
            <w:r>
              <w:rPr/>
              <w:t> </w:t>
            </w:r>
          </w:p>
        </w:tc>
        <w:tc>
          <w:tcPr>
            <w:tcW w:w="11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2" w:type="dxa"/>
            <w:tcBorders/>
            <w:shd w:fill="CCEEFF" w:val="clear"/>
            <w:vAlign w:val="bottom"/>
          </w:tcPr>
          <w:p>
            <w:pPr>
              <w:pStyle w:val="TableContents"/>
              <w:spacing w:before="0" w:after="0"/>
              <w:ind w:left="0" w:right="0" w:hanging="0"/>
              <w:rPr/>
            </w:pPr>
            <w:r>
              <w:rPr/>
              <w:t> </w:t>
            </w:r>
          </w:p>
        </w:tc>
        <w:tc>
          <w:tcPr>
            <w:tcW w:w="10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Ending Balance </w:t>
            </w:r>
          </w:p>
        </w:tc>
        <w:tc>
          <w:tcPr>
            <w:tcW w:w="205" w:type="dxa"/>
            <w:tcBorders/>
            <w:shd w:fill="auto" w:val="clear"/>
            <w:vAlign w:val="bottom"/>
          </w:tcPr>
          <w:p>
            <w:pPr>
              <w:pStyle w:val="TableContents"/>
              <w:spacing w:before="0" w:after="0"/>
              <w:ind w:left="0" w:right="0" w:hanging="0"/>
              <w:rPr/>
            </w:pPr>
            <w:r>
              <w:rPr/>
              <w:t> </w:t>
            </w:r>
          </w:p>
        </w:tc>
        <w:tc>
          <w:tcPr>
            <w:tcW w:w="2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7" w:type="dxa"/>
            <w:tcBorders/>
            <w:shd w:fill="auto" w:val="clear"/>
            <w:vAlign w:val="bottom"/>
          </w:tcPr>
          <w:p>
            <w:pPr>
              <w:pStyle w:val="TableContents"/>
              <w:spacing w:before="0" w:after="0"/>
              <w:ind w:left="0" w:right="0" w:hanging="0"/>
              <w:rPr/>
            </w:pPr>
            <w:r>
              <w:rPr/>
              <w:t> </w:t>
            </w:r>
          </w:p>
        </w:tc>
        <w:tc>
          <w:tcPr>
            <w:tcW w:w="19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40" w:type="dxa"/>
            <w:tcBorders/>
            <w:shd w:fill="auto" w:val="clear"/>
            <w:vAlign w:val="bottom"/>
          </w:tcPr>
          <w:p>
            <w:pPr>
              <w:pStyle w:val="TableContents"/>
              <w:spacing w:before="0" w:after="0"/>
              <w:ind w:left="0" w:right="0" w:hanging="0"/>
              <w:rPr/>
            </w:pPr>
            <w:r>
              <w:rPr/>
              <w:t> </w:t>
            </w:r>
          </w:p>
        </w:tc>
      </w:tr>
      <w:tr>
        <w:trPr/>
        <w:tc>
          <w:tcPr>
            <w:tcW w:w="4811"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074" w:type="dxa"/>
            <w:gridSpan w:val="2"/>
            <w:tcBorders/>
            <w:shd w:fill="CCEEFF" w:val="clear"/>
            <w:vAlign w:val="bottom"/>
          </w:tcPr>
          <w:p>
            <w:pPr>
              <w:pStyle w:val="TableContents"/>
              <w:spacing w:before="0" w:after="0"/>
              <w:ind w:left="0" w:right="0" w:hanging="0"/>
              <w:jc w:val="right"/>
              <w:rPr/>
            </w:pPr>
            <w:r>
              <w:rPr/>
              <w:t> </w:t>
            </w:r>
          </w:p>
        </w:tc>
        <w:tc>
          <w:tcPr>
            <w:tcW w:w="257" w:type="dxa"/>
            <w:tcBorders/>
            <w:shd w:fill="CCEEFF" w:val="clear"/>
            <w:vAlign w:val="bottom"/>
          </w:tcPr>
          <w:p>
            <w:pPr>
              <w:pStyle w:val="TableContents"/>
              <w:spacing w:before="0" w:after="0"/>
              <w:ind w:left="0" w:right="0" w:hanging="0"/>
              <w:rPr/>
            </w:pPr>
            <w:r>
              <w:rPr/>
              <w:t> </w:t>
            </w:r>
          </w:p>
        </w:tc>
        <w:tc>
          <w:tcPr>
            <w:tcW w:w="1107"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55" w:type="dxa"/>
            <w:gridSpan w:val="2"/>
            <w:tcBorders/>
            <w:shd w:fill="CCEEFF" w:val="clear"/>
            <w:vAlign w:val="bottom"/>
          </w:tcPr>
          <w:p>
            <w:pPr>
              <w:pStyle w:val="TableContents"/>
              <w:spacing w:before="0" w:after="0"/>
              <w:ind w:left="0" w:right="0" w:hanging="0"/>
              <w:jc w:val="right"/>
              <w:rPr/>
            </w:pPr>
            <w:r>
              <w:rPr/>
              <w:t> </w:t>
            </w:r>
          </w:p>
        </w:tc>
        <w:tc>
          <w:tcPr>
            <w:tcW w:w="252" w:type="dxa"/>
            <w:tcBorders/>
            <w:shd w:fill="CCEEFF" w:val="clear"/>
            <w:vAlign w:val="bottom"/>
          </w:tcPr>
          <w:p>
            <w:pPr>
              <w:pStyle w:val="TableContents"/>
              <w:spacing w:before="0" w:after="0"/>
              <w:ind w:left="0" w:right="0" w:hanging="0"/>
              <w:rPr/>
            </w:pPr>
            <w:r>
              <w:rPr/>
              <w:t> </w:t>
            </w:r>
          </w:p>
        </w:tc>
        <w:tc>
          <w:tcPr>
            <w:tcW w:w="1087" w:type="dxa"/>
            <w:gridSpan w:val="2"/>
            <w:tcBorders/>
            <w:shd w:fill="CCEEFF" w:val="clear"/>
            <w:vAlign w:val="bottom"/>
          </w:tcPr>
          <w:p>
            <w:pPr>
              <w:pStyle w:val="TableContents"/>
              <w:spacing w:before="0" w:after="0"/>
              <w:ind w:left="0" w:right="0" w:hanging="0"/>
              <w:jc w:val="right"/>
              <w:rPr/>
            </w:pPr>
            <w:r>
              <w:rPr/>
              <w:t> </w:t>
            </w:r>
          </w:p>
        </w:tc>
        <w:tc>
          <w:tcPr>
            <w:tcW w:w="140" w:type="dxa"/>
            <w:tcBorders/>
            <w:shd w:fill="CCEEFF" w:val="clear"/>
            <w:vAlign w:val="bottom"/>
          </w:tcPr>
          <w:p>
            <w:pPr>
              <w:pStyle w:val="TableContents"/>
              <w:spacing w:before="0" w:after="0"/>
              <w:ind w:left="0" w:right="0" w:hanging="0"/>
              <w:rPr/>
            </w:pPr>
            <w:r>
              <w:rPr/>
              <w:t> </w:t>
            </w:r>
          </w:p>
        </w:tc>
      </w:tr>
      <w:tr>
        <w:trPr/>
        <w:tc>
          <w:tcPr>
            <w:tcW w:w="48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Change in unrealized gains/(losses) included in earnings relating to level 3 derivatives still held at the end of the periods </w:t>
            </w:r>
          </w:p>
        </w:tc>
        <w:tc>
          <w:tcPr>
            <w:tcW w:w="205"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4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reported unrealized gains and losses associated with level 3 commodity derivatives in our condensed consolidated statements of operations as Supply and Logistics segment revenues.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45" w:name="PB_25_153903_7056"/>
      <w:bookmarkEnd w:id="4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third quarter of 2012, we transferred commodity derivatives with an aggregate fair value of a $14 million gain from level 3 to level 2. These derivatives consist of over the counter derivatives that were previously valued using forward prices obtained from a broker and are now being valued using unadjusted quoted prices in active markets. Our policy is to recognize transfers between levels as of the beginning of the reporting period in which the transfer occurred.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second quarter of 2012, we transferred commodity derivatives with an aggregate fair value of a $5 million loss from level 3 to level 2. These derivatives consist of NGL derivatives that are cleared through the CME Clearport platform.  This transfer resulted from additional analysis regarding the CMEs pricing methodology.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11Commitments and Contingencies</w:t>
      </w:r>
      <w:bookmarkStart w:id="46" w:name="Note11commitmentsAndContingencies_171224"/>
      <w:bookmarkEnd w:id="46"/>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Litigation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In the ordinary course of business, we are involved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and including the general and environmental legal proceedings described below, will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Pemex Exploración y Producción v. Big Star Gathering Ltd L.L.P. et al. </w:t>
      </w:r>
      <w:r>
        <w:rPr>
          <w:rFonts w:ascii="Times New Roman" w:hAnsi="Times New Roman"/>
          <w:sz w:val="17"/>
        </w:rPr>
        <w:t>In two cases filed in the Texas Southern District Court in May 2011 and 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At a hearing held on October 20, 2011, the Court ruled that Texas law (not Mexican law) governs the actions. In February 2013, the Court granted Plains Marketing, L.P.s motion to be dismissed from the April 2012 lawsuit and Plains Marketing, L.P. filed a motion for summary judgment in the May 2011 lawsuit. In October 2013, the Court issued an order in the May 2011 lawsuit granting summary judgment in favor of Plains Marketing, L.P. with respect to all of PEPs remaining claims against Plains Marketing, L.P.; shortly thereafter, PEP notified Plains Marketing, L.P. of its intent to appeal such ruling.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Proposed Merger with PNG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On September 13, 2013, Robert and Teresa Vicars, purported common unitholders of PNG, filed a class action petition on behalf of PNGs common unitholders and a derivative suit on behalf of PNG against PAA, PNGs general partner and the directors of PNGs general partner in the 152nd Judicial District of Harris County, Texas (Vicars).  A similar class action complaint was filed against the same defendants, together with PAA GP LLC, Plains All American GP LLC and Plains AAP, L.P., on September 17, 2013, in the Court of Chancery of the State of Delaware by purported PNG common unitholder Stephen Ellman (Ellman).  On November 14, 2013, a similar class action and derivate lawsuit was filed against the same defendants as named in the Vicars suit in the 129</w:t>
      </w:r>
      <w:r>
        <w:rPr>
          <w:rFonts w:ascii="Times New Roman" w:hAnsi="Times New Roman"/>
          <w:sz w:val="11"/>
        </w:rPr>
        <w:t>th</w:t>
      </w:r>
      <w:r>
        <w:rPr>
          <w:rFonts w:ascii="Times New Roman" w:hAnsi="Times New Roman"/>
        </w:rPr>
        <w:t> </w:t>
      </w:r>
      <w:r>
        <w:rPr>
          <w:rFonts w:ascii="Times New Roman" w:hAnsi="Times New Roman"/>
          <w:sz w:val="17"/>
        </w:rPr>
        <w:t>Judicial District of Harris County, Texas by purported unitholder Thomas Barbee (Barbee).  A fourth class action complaint for breach of fiduciary duties was filed against the same defendants as in the Ellman Suit on November 15, 2013, in the United States District Court for the Southern District of Texas  Houston Division by purported unitholder Robert Evans, on behalf of himself and all others similarly situated (Evans, and collectively with Vicars, Barbee and Ellman, the PNG Shareholder Suits).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PNG Shareholder Suits complaints allege, among other things, that the consideration offered by PAA is unfair and inadequate and that, by pursuing a transaction that is the result of an allegedly conflicted and unfair process, the defendants have breached their duties under PNGs partnership agreement as well as the implied covenant of good faith and fair dealing, and are engaging in self-dealing. These two lawsuits generally allege that: (i) the defendants are engaging in self-dealing, are not acting in good faith toward PNG, and have breached and are breaching their duties owed to PNG; (ii) the defendants are failing to properly value PNG and its various assets and operations and are ignoring or are not protecting against the numerous conflicts of interest arising out of the proposed transaction; and (iii) we, PNGs general partner, PNG and other of our affiliates have aided and abetted the defendant directors the purpose of advancing their own interests and/or assisting such directors in connection with their breaches of their respective duties. In addition, Vicars and Evans further include (i) purported derivative claims on behalf of PNG based on the alleged breaches of duties by the defendants and (ii) a claim that the defendants breached the implied covenant of good faith and fair dealing by engaging in a flawed merger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47" w:name="PB_26_153928_5335"/>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process.  In Barbee and Evans, the complaints allege, among other things, that the implied price per unit materially undervalues PNG and is unfair to its unitholders and that the S-4 registration statement filed by PNG was materially misleading.  The PNG Shareholder Suits plaintiffs further allege that the defendants who are directors and officers of the general partner of PNG have breached their fiduciary duties of loyalty and care and the other defendants have aided and abetted in these alleged breaches.</w:t>
      </w:r>
      <w:r>
        <w:rPr>
          <w:rFonts w:ascii="Times New Roman" w:hAnsi="Times New Roman"/>
        </w:rPr>
        <w:t xml:space="preserve"> </w:t>
      </w:r>
      <w:r>
        <w:rPr>
          <w:rFonts w:ascii="Times New Roman" w:hAnsi="Times New Roman"/>
          <w:sz w:val="17"/>
        </w:rPr>
        <w:t xml:space="preserve">Based on these allegations, the plaintiffs generally seek to enjoin the defendants from proceeding with or consummating the merger. To the extent that the merger is implemented before relief is granted, plaintiffs seek to have the merger rescinded. The plaintiffs also seek money damages and attorneys fees.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cannot predict the outcome of these or any other lawsuits that might be filed, nor can we predict the amount of time and expense that will be required to resolve these lawsuits. We intend to defend vigorously against these and any other actions. See Note 1 for a description of our proposal to acquire all of the outstanding common units of PNG that are held by unitholders other than us or our subsidiaries and to structure the proposed transaction as a merger with PNG.</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2013, our estimated undiscounted reserve for environmental liabilities totaled approximately $99 million, of which approximately $13 million was classified as short-term and approximately $86 million was classified as long-term.  At December 31, 2012, our reserve for environmental liabilities totaled approximately $96 million, of which approximately $13 million was classified as short-term and approximately $83 million was classified as long-term. The short- and long-term environmental liabilities referenced above are reflected in Accounts payable and accrued liabilities and Other long-term liabilities and deferred credits, respectively, on our condensed consolidated balance sheets. At September 30, 2013 and December 31, 2012, we had recorded receivables totaling approximately $10 million and $42 million, respectively, for amounts probable of recovery under insurance and from third parties under indemnification agreements, which are predominantly reflected in Trade accounts receivable and other receivables, net on our condensed consolidated balance sheets.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Rainbow Pipeline Release.</w:t>
      </w:r>
      <w:r>
        <w:rPr>
          <w:rFonts w:ascii="Times New Roman" w:hAnsi="Times New Roman"/>
        </w:rPr>
        <w:t xml:space="preserve">  </w:t>
      </w:r>
      <w:r>
        <w:rPr>
          <w:rFonts w:ascii="Times New Roman" w:hAnsi="Times New Roman"/>
          <w:sz w:val="17"/>
        </w:rPr>
        <w:t>During April 2011, we experienced a crude oil release of approximately 28,000 barrels of crude oil on a remote section of our Rainbow Pipeline located in Alberta, Canada.  Since the release and through September 30, 2013, we spent approximately $70 million, before insurance recoveries, in connection with site clean-up, reclamation and remediation activities, and as of September 30, 2013, we did not have any material outstanding liabilities or insurance receivables relating to this release. On February 26, 2013, the Alberta Energy Regulator (formerly known as the Energy Resources Conservation Board of Alberta) (AER) issued a report detailing four enforcement actions against Plains Midstream Canada ULC (PMC) for failure to comply with certain regulatory requirements in connection with the release, including requirements related to operations and maintenance procedures, leak detection and response, backfill and compaction procedures and emergency response plan testing.  PMC is in the process of taking appropriate actions necessary to respond to and comply with the enforcement actions set forth in the report, including the implementation of additional risk assessment procedures and the taking of other actions designed to minimize the risk that similar incidents occur in the future and enhance the effectiveness of PMCs response to any such future incidents.  In addition, on April 23, 2013, the Alberta Crown Prosecutor filed civil charges under the Environmental Protection and Enhancement Act against PMC relating to the release.  To date, PMC has not been assessed any fines or penalties related to this release; however, such fines or penalties may be assessed in the future and are not expected to be material.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Rangeland Pipeline Release</w:t>
      </w:r>
      <w:r>
        <w:rPr>
          <w:rFonts w:ascii="Times New Roman" w:hAnsi="Times New Roman"/>
          <w:sz w:val="17"/>
        </w:rPr>
        <w:t>. During June 2012, we experienced a crude oil release on a section of our Rangeland Pipeline located near Sundre, Alberta, Canada.  Approximately 3,000 barrels were released into the Red Deer River and were contained downstream in the Gleniffer Reservoir. Remediation activities in the reservoir area were completed by June 30, 2012, remediation of the remaining impacted areas was completed by September 30, 2012 and interim closure was received from the applicable regulatory agencies.  Monitoring will continue into 2013, and a long-term monitoring plan has been developed and implemented in accordance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48" w:name="PB_27_154032_5796"/>
      <w:bookmarkEnd w:id="4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with regulatory requirements. Through September 30, 2013, we spent approximately $46 million, before insurance recoveries, in connection with site clean-up, reclamation and remediation activities, and as of September 30, 2013, we did not have any material outstanding liabilities or insurance receivables relating to this release. This release is currently under investigation by the AER, which also intends to perform an audit of PMCs operations. Although the AERs final investigation is not complete, on July 4, 2013, the AER issued a report detailing four enforcement actions against PMC citing failure to inspect water crossings, failure to complete an engineering assessment to determine suitability of continued operation of the Rangeland Pipeline, failure to maintain updated emergency response plans, and failure to conduct regular public awareness programs.  The AER also issued an order under Section 22 of the Oil and Gas Conservation Act imposing additional regulatory requirements on PMC with respect to obtaining operating approvals under such Act and ordering audit of PMCs operations. To date, no fines or penalties have been assessed against PMC with respect to this release; however, it is possible that fines or penalties may be assessed against PMC in the future and are not expected to be material.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Bay Springs Pipeline Release.</w:t>
      </w:r>
      <w:r>
        <w:rPr>
          <w:rFonts w:ascii="Times New Roman" w:hAnsi="Times New Roman"/>
        </w:rPr>
        <w:t xml:space="preserve"> </w:t>
      </w:r>
      <w:r>
        <w:rPr>
          <w:rFonts w:ascii="Times New Roman" w:hAnsi="Times New Roman"/>
          <w:sz w:val="17"/>
        </w:rPr>
        <w:t>During February 2013, we experienced a crude oil release of approximately 120 barrels on a portion of one of our pipelines near Bay Springs, Mississippi. Most of the released oil was contained within our pipeline right of way, but some of the released oil entered a nearby waterway where it was contained with booms.  The EPA has issued an administrative order requiring us to take various actions in response to the release, including remediation, reporting and other actions, and we may be subjected to a civil penalty.  The aggregate cost to clean up and remediate the site was approximately $6 million, which has been recognized in Field operating costs on our condensed consolidated statement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Kemp River Pipeline Release</w:t>
      </w:r>
      <w:r>
        <w:rPr>
          <w:rFonts w:ascii="Times New Roman" w:hAnsi="Times New Roman"/>
          <w:sz w:val="17"/>
        </w:rPr>
        <w:t>. During May and June 2013, two separate releases were discovered on our Kemp River pipeline in Northern Alberta, Canada that, in the aggregate, resulted in the release of approximately 700 barrels of condensate and light crude oil.  Clean-up and remediation activities are being conducted in cooperation with the applicable regulatory agencies. We estimate that the aggregate clean-up and remediation costs associated with these releases will be approximately $15 million which we have accrued to Field operating costs on our condensed consolidated statement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12Operating Segments</w:t>
      </w:r>
      <w:bookmarkStart w:id="49" w:name="Note12operatingSegments_171232"/>
      <w:bookmarkEnd w:id="4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 The following table reflects certain financial data for each segment for the periods indicated (in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852"/>
        <w:gridCol w:w="193"/>
        <w:gridCol w:w="263"/>
        <w:gridCol w:w="1249"/>
        <w:gridCol w:w="193"/>
        <w:gridCol w:w="189"/>
        <w:gridCol w:w="1052"/>
        <w:gridCol w:w="193"/>
        <w:gridCol w:w="180"/>
        <w:gridCol w:w="1245"/>
        <w:gridCol w:w="192"/>
        <w:gridCol w:w="154"/>
        <w:gridCol w:w="1123"/>
        <w:gridCol w:w="127"/>
      </w:tblGrid>
      <w:tr>
        <w:trPr/>
        <w:tc>
          <w:tcPr>
            <w:tcW w:w="3852"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5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93" w:type="dxa"/>
            <w:tcBorders/>
            <w:shd w:fill="auto" w:val="clear"/>
            <w:vAlign w:val="bottom"/>
          </w:tcPr>
          <w:p>
            <w:pPr>
              <w:pStyle w:val="TableContents"/>
              <w:spacing w:before="0" w:after="0"/>
              <w:ind w:left="0" w:right="0" w:hanging="0"/>
              <w:jc w:val="center"/>
              <w:rPr/>
            </w:pPr>
            <w:r>
              <w:rPr/>
              <w:t> </w:t>
            </w:r>
          </w:p>
        </w:tc>
        <w:tc>
          <w:tcPr>
            <w:tcW w:w="14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w:t>
              <w:br/>
              <w:t>and Logistics</w:t>
            </w:r>
          </w:p>
        </w:tc>
        <w:tc>
          <w:tcPr>
            <w:tcW w:w="192" w:type="dxa"/>
            <w:tcBorders/>
            <w:shd w:fill="auto" w:val="clear"/>
            <w:vAlign w:val="bottom"/>
          </w:tcPr>
          <w:p>
            <w:pPr>
              <w:pStyle w:val="TableContents"/>
              <w:spacing w:before="0" w:after="0"/>
              <w:ind w:left="0" w:right="0" w:hanging="0"/>
              <w:jc w:val="center"/>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7" w:type="dxa"/>
            <w:tcBorders/>
            <w:shd w:fill="auto" w:val="clear"/>
            <w:vAlign w:val="bottom"/>
          </w:tcPr>
          <w:p>
            <w:pPr>
              <w:pStyle w:val="TableContents"/>
              <w:spacing w:before="0" w:after="0"/>
              <w:ind w:left="0" w:right="0" w:hanging="0"/>
              <w:jc w:val="center"/>
              <w:rPr/>
            </w:pPr>
            <w:r>
              <w:rPr/>
              <w:t> </w:t>
            </w:r>
          </w:p>
        </w:tc>
      </w:tr>
      <w:tr>
        <w:trPr/>
        <w:tc>
          <w:tcPr>
            <w:tcW w:w="385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September 30, 2013</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3"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425"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93" w:type="dxa"/>
            <w:tcBorders/>
            <w:shd w:fill="CCEEFF" w:val="clear"/>
            <w:vAlign w:val="bottom"/>
          </w:tcPr>
          <w:p>
            <w:pPr>
              <w:pStyle w:val="TableContents"/>
              <w:spacing w:before="0" w:after="0"/>
              <w:ind w:left="0" w:right="0" w:hanging="0"/>
              <w:rPr/>
            </w:pPr>
            <w:r>
              <w:rPr/>
              <w:t> </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93"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193"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10,386</w:t>
            </w:r>
          </w:p>
        </w:tc>
        <w:tc>
          <w:tcPr>
            <w:tcW w:w="192"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10,703</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 xml:space="preserve">(1) </w:t>
            </w:r>
          </w:p>
        </w:tc>
        <w:tc>
          <w:tcPr>
            <w:tcW w:w="193" w:type="dxa"/>
            <w:tcBorders/>
            <w:shd w:fill="auto" w:val="clear"/>
            <w:vAlign w:val="bottom"/>
          </w:tcPr>
          <w:p>
            <w:pPr>
              <w:pStyle w:val="TableContents"/>
              <w:spacing w:before="0" w:after="0"/>
              <w:ind w:left="0" w:right="0" w:hanging="0"/>
              <w:rPr/>
            </w:pPr>
            <w:r>
              <w:rPr/>
              <w:t> </w:t>
            </w:r>
          </w:p>
        </w:tc>
        <w:tc>
          <w:tcPr>
            <w:tcW w:w="15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93" w:type="dxa"/>
            <w:tcBorders/>
            <w:shd w:fill="auto" w:val="clear"/>
            <w:vAlign w:val="bottom"/>
          </w:tcPr>
          <w:p>
            <w:pPr>
              <w:pStyle w:val="TableContents"/>
              <w:spacing w:before="0" w:after="0"/>
              <w:ind w:left="0" w:right="0" w:hanging="0"/>
              <w:rPr/>
            </w:pPr>
            <w:r>
              <w:rPr/>
              <w:t> </w:t>
            </w:r>
          </w:p>
        </w:tc>
        <w:tc>
          <w:tcPr>
            <w:tcW w:w="14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auto" w:val="clear"/>
            <w:vAlign w:val="bottom"/>
          </w:tcPr>
          <w:p>
            <w:pPr>
              <w:pStyle w:val="TableContents"/>
              <w:spacing w:before="0" w:after="0"/>
              <w:ind w:left="0" w:right="0" w:hanging="0"/>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revenues of reportable segments </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193"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10,386</w:t>
            </w:r>
          </w:p>
        </w:tc>
        <w:tc>
          <w:tcPr>
            <w:tcW w:w="192"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11,044</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Equity earnings in unconsolidated entities </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pPr>
            <w:r>
              <w:rPr>
                <w:rFonts w:ascii="Times New Roman" w:hAnsi="Times New Roman"/>
                <w:sz w:val="17"/>
              </w:rPr>
              <w:t xml:space="preserve">Segment profit </w:t>
            </w:r>
            <w:r>
              <w:rPr>
                <w:sz w:val="11"/>
              </w:rPr>
              <w:t xml:space="preserve">(2) (3) </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93"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92"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2"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September 30, 2012</w:t>
            </w:r>
          </w:p>
        </w:tc>
        <w:tc>
          <w:tcPr>
            <w:tcW w:w="193"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425"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93" w:type="dxa"/>
            <w:tcBorders/>
            <w:shd w:fill="auto" w:val="clear"/>
            <w:vAlign w:val="bottom"/>
          </w:tcPr>
          <w:p>
            <w:pPr>
              <w:pStyle w:val="TableContents"/>
              <w:spacing w:before="0" w:after="0"/>
              <w:ind w:left="0" w:right="0" w:hanging="0"/>
              <w:rPr/>
            </w:pPr>
            <w:r>
              <w:rPr/>
              <w:t> </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3"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193"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9,048</w:t>
            </w:r>
          </w:p>
        </w:tc>
        <w:tc>
          <w:tcPr>
            <w:tcW w:w="192"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9,354</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 xml:space="preserve">(1) </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2" w:type="dxa"/>
            <w:tcBorders/>
            <w:shd w:fill="CCEEFF" w:val="clear"/>
            <w:vAlign w:val="bottom"/>
          </w:tcPr>
          <w:p>
            <w:pPr>
              <w:pStyle w:val="TableContents"/>
              <w:spacing w:before="0" w:after="0"/>
              <w:ind w:left="0" w:right="0" w:hanging="0"/>
              <w:rPr/>
            </w:pPr>
            <w:r>
              <w:rPr/>
              <w:t> </w:t>
            </w:r>
          </w:p>
        </w:tc>
        <w:tc>
          <w:tcPr>
            <w:tcW w:w="12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revenues of reportable segments </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19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9,049</w:t>
            </w:r>
          </w:p>
        </w:tc>
        <w:tc>
          <w:tcPr>
            <w:tcW w:w="192"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9,675</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Equity earnings in unconsolidated entities </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pPr>
            <w:r>
              <w:rPr>
                <w:rFonts w:ascii="Times New Roman" w:hAnsi="Times New Roman"/>
                <w:sz w:val="17"/>
              </w:rPr>
              <w:t xml:space="preserve">Segment profit </w:t>
            </w:r>
            <w:r>
              <w:rPr>
                <w:sz w:val="11"/>
              </w:rPr>
              <w:t xml:space="preserve">(2) (3) </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9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92"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3"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2"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2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50" w:name="PB_28_154452_2897"/>
      <w:bookmarkEnd w:id="5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964"/>
        <w:gridCol w:w="197"/>
        <w:gridCol w:w="195"/>
        <w:gridCol w:w="1257"/>
        <w:gridCol w:w="197"/>
        <w:gridCol w:w="174"/>
        <w:gridCol w:w="1058"/>
        <w:gridCol w:w="197"/>
        <w:gridCol w:w="166"/>
        <w:gridCol w:w="1216"/>
        <w:gridCol w:w="197"/>
        <w:gridCol w:w="145"/>
        <w:gridCol w:w="1116"/>
        <w:gridCol w:w="126"/>
      </w:tblGrid>
      <w:tr>
        <w:trPr/>
        <w:tc>
          <w:tcPr>
            <w:tcW w:w="3964"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14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97" w:type="dxa"/>
            <w:tcBorders/>
            <w:shd w:fill="auto" w:val="clear"/>
            <w:vAlign w:val="bottom"/>
          </w:tcPr>
          <w:p>
            <w:pPr>
              <w:pStyle w:val="TableContents"/>
              <w:spacing w:before="0" w:after="0"/>
              <w:ind w:left="0" w:right="0" w:hanging="0"/>
              <w:jc w:val="center"/>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97" w:type="dxa"/>
            <w:tcBorders/>
            <w:shd w:fill="auto" w:val="clear"/>
            <w:vAlign w:val="bottom"/>
          </w:tcPr>
          <w:p>
            <w:pPr>
              <w:pStyle w:val="TableContents"/>
              <w:spacing w:before="0" w:after="0"/>
              <w:ind w:left="0" w:right="0" w:hanging="0"/>
              <w:jc w:val="center"/>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w:t>
              <w:br/>
              <w:t>and Logistics</w:t>
            </w:r>
          </w:p>
        </w:tc>
        <w:tc>
          <w:tcPr>
            <w:tcW w:w="197" w:type="dxa"/>
            <w:tcBorders/>
            <w:shd w:fill="auto" w:val="clear"/>
            <w:vAlign w:val="bottom"/>
          </w:tcPr>
          <w:p>
            <w:pPr>
              <w:pStyle w:val="TableContents"/>
              <w:spacing w:before="0" w:after="0"/>
              <w:ind w:left="0" w:right="0" w:hanging="0"/>
              <w:jc w:val="center"/>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6" w:type="dxa"/>
            <w:tcBorders/>
            <w:shd w:fill="auto" w:val="clear"/>
            <w:vAlign w:val="bottom"/>
          </w:tcPr>
          <w:p>
            <w:pPr>
              <w:pStyle w:val="TableContents"/>
              <w:spacing w:before="0" w:after="0"/>
              <w:ind w:left="0" w:right="0" w:hanging="0"/>
              <w:jc w:val="center"/>
              <w:rPr/>
            </w:pPr>
            <w:r>
              <w:rPr/>
              <w:t> </w:t>
            </w:r>
          </w:p>
        </w:tc>
      </w:tr>
      <w:tr>
        <w:trPr/>
        <w:tc>
          <w:tcPr>
            <w:tcW w:w="3964"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Nine Months Ended September 30, 2013</w:t>
            </w:r>
          </w:p>
        </w:tc>
        <w:tc>
          <w:tcPr>
            <w:tcW w:w="197"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7"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97"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517</w:t>
            </w:r>
          </w:p>
        </w:tc>
        <w:tc>
          <w:tcPr>
            <w:tcW w:w="197" w:type="dxa"/>
            <w:tcBorders/>
            <w:shd w:fill="CCEEFF" w:val="clear"/>
            <w:vAlign w:val="bottom"/>
          </w:tcPr>
          <w:p>
            <w:pPr>
              <w:pStyle w:val="TableContents"/>
              <w:spacing w:before="0" w:after="0"/>
              <w:ind w:left="0" w:right="0" w:hanging="0"/>
              <w:rPr/>
            </w:pPr>
            <w:r>
              <w:rPr/>
              <w:t> </w:t>
            </w:r>
          </w:p>
        </w:tc>
        <w:tc>
          <w:tcPr>
            <w:tcW w:w="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558</w:t>
            </w:r>
          </w:p>
        </w:tc>
        <w:tc>
          <w:tcPr>
            <w:tcW w:w="197"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30,542</w:t>
            </w:r>
          </w:p>
        </w:tc>
        <w:tc>
          <w:tcPr>
            <w:tcW w:w="197"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31,617</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 xml:space="preserve">(1) </w:t>
            </w:r>
          </w:p>
        </w:tc>
        <w:tc>
          <w:tcPr>
            <w:tcW w:w="197" w:type="dxa"/>
            <w:tcBorders/>
            <w:shd w:fill="auto" w:val="clear"/>
            <w:vAlign w:val="bottom"/>
          </w:tcPr>
          <w:p>
            <w:pPr>
              <w:pStyle w:val="TableContents"/>
              <w:spacing w:before="0" w:after="0"/>
              <w:ind w:left="0" w:right="0" w:hanging="0"/>
              <w:rPr/>
            </w:pPr>
            <w:r>
              <w:rPr/>
              <w:t> </w:t>
            </w:r>
          </w:p>
        </w:tc>
        <w:tc>
          <w:tcPr>
            <w:tcW w:w="14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594</w:t>
            </w:r>
          </w:p>
        </w:tc>
        <w:tc>
          <w:tcPr>
            <w:tcW w:w="197" w:type="dxa"/>
            <w:tcBorders/>
            <w:shd w:fill="auto"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197" w:type="dxa"/>
            <w:tcBorders/>
            <w:shd w:fill="auto"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7" w:type="dxa"/>
            <w:tcBorders/>
            <w:shd w:fill="auto"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1,021</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revenues of reportable segments </w:t>
            </w:r>
          </w:p>
        </w:tc>
        <w:tc>
          <w:tcPr>
            <w:tcW w:w="197"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1,111</w:t>
            </w:r>
          </w:p>
        </w:tc>
        <w:tc>
          <w:tcPr>
            <w:tcW w:w="197" w:type="dxa"/>
            <w:tcBorders/>
            <w:shd w:fill="CCEEFF" w:val="clear"/>
            <w:vAlign w:val="bottom"/>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983</w:t>
            </w:r>
          </w:p>
        </w:tc>
        <w:tc>
          <w:tcPr>
            <w:tcW w:w="197"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30,544</w:t>
            </w:r>
          </w:p>
        </w:tc>
        <w:tc>
          <w:tcPr>
            <w:tcW w:w="197"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32,638</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Equity earnings in unconsolidated entities </w:t>
            </w:r>
          </w:p>
        </w:tc>
        <w:tc>
          <w:tcPr>
            <w:tcW w:w="19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97" w:type="dxa"/>
            <w:tcBorders/>
            <w:shd w:fill="auto" w:val="clear"/>
            <w:vAlign w:val="bottom"/>
          </w:tcPr>
          <w:p>
            <w:pPr>
              <w:pStyle w:val="TableContents"/>
              <w:spacing w:before="0" w:after="0"/>
              <w:ind w:left="0" w:right="0" w:hanging="0"/>
              <w:rPr/>
            </w:pPr>
            <w:r>
              <w:rPr/>
              <w:t> </w:t>
            </w:r>
          </w:p>
        </w:tc>
        <w:tc>
          <w:tcPr>
            <w:tcW w:w="17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tcPr>
          <w:p>
            <w:pPr>
              <w:pStyle w:val="TableContents"/>
              <w:spacing w:before="0" w:after="0"/>
              <w:ind w:left="0" w:right="0" w:hanging="0"/>
              <w:rPr/>
            </w:pPr>
            <w:r>
              <w:rPr>
                <w:rFonts w:ascii="Times New Roman" w:hAnsi="Times New Roman"/>
                <w:sz w:val="17"/>
              </w:rPr>
              <w:t xml:space="preserve">Segment profit </w:t>
            </w:r>
            <w:r>
              <w:rPr>
                <w:sz w:val="11"/>
              </w:rPr>
              <w:t xml:space="preserve">(2) (3) </w:t>
            </w:r>
          </w:p>
        </w:tc>
        <w:tc>
          <w:tcPr>
            <w:tcW w:w="197"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197" w:type="dxa"/>
            <w:tcBorders/>
            <w:shd w:fill="CCEEFF" w:val="clear"/>
            <w:vAlign w:val="bottom"/>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97"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673</w:t>
            </w:r>
          </w:p>
        </w:tc>
        <w:tc>
          <w:tcPr>
            <w:tcW w:w="197"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1,640</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w:t>
            </w:r>
          </w:p>
        </w:tc>
        <w:tc>
          <w:tcPr>
            <w:tcW w:w="19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97" w:type="dxa"/>
            <w:tcBorders/>
            <w:shd w:fill="auto" w:val="clear"/>
            <w:vAlign w:val="bottom"/>
          </w:tcPr>
          <w:p>
            <w:pPr>
              <w:pStyle w:val="TableContents"/>
              <w:spacing w:before="0" w:after="0"/>
              <w:ind w:left="0" w:right="0" w:hanging="0"/>
              <w:rPr/>
            </w:pPr>
            <w:r>
              <w:rPr/>
              <w:t> </w:t>
            </w:r>
          </w:p>
        </w:tc>
        <w:tc>
          <w:tcPr>
            <w:tcW w:w="17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7"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Nine Months Ended September 30, 2012</w:t>
            </w:r>
          </w:p>
        </w:tc>
        <w:tc>
          <w:tcPr>
            <w:tcW w:w="197"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7"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9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197"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w:t>
            </w:r>
          </w:p>
        </w:tc>
        <w:tc>
          <w:tcPr>
            <w:tcW w:w="1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27,367</w:t>
            </w:r>
          </w:p>
        </w:tc>
        <w:tc>
          <w:tcPr>
            <w:tcW w:w="197"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28,358</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 xml:space="preserve">(1) </w:t>
            </w:r>
          </w:p>
        </w:tc>
        <w:tc>
          <w:tcPr>
            <w:tcW w:w="197" w:type="dxa"/>
            <w:tcBorders/>
            <w:shd w:fill="CCEEFF" w:val="clear"/>
            <w:vAlign w:val="bottom"/>
          </w:tcPr>
          <w:p>
            <w:pPr>
              <w:pStyle w:val="TableContents"/>
              <w:spacing w:before="0" w:after="0"/>
              <w:ind w:left="0" w:right="0" w:hanging="0"/>
              <w:rPr/>
            </w:pPr>
            <w:r>
              <w:rPr/>
              <w:t> </w:t>
            </w:r>
          </w:p>
        </w:tc>
        <w:tc>
          <w:tcPr>
            <w:tcW w:w="14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w:t>
            </w:r>
          </w:p>
        </w:tc>
        <w:tc>
          <w:tcPr>
            <w:tcW w:w="197" w:type="dxa"/>
            <w:tcBorders/>
            <w:shd w:fill="CCEEFF"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197" w:type="dxa"/>
            <w:tcBorders/>
            <w:shd w:fill="CCEEFF"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CCEEFF"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838</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revenues of reportable segments </w:t>
            </w:r>
          </w:p>
        </w:tc>
        <w:tc>
          <w:tcPr>
            <w:tcW w:w="19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197" w:type="dxa"/>
            <w:tcBorders/>
            <w:shd w:fill="auto" w:val="clear"/>
            <w:vAlign w:val="bottom"/>
          </w:tcPr>
          <w:p>
            <w:pPr>
              <w:pStyle w:val="TableContents"/>
              <w:spacing w:before="0" w:after="0"/>
              <w:ind w:left="0" w:right="0" w:hanging="0"/>
              <w:rPr/>
            </w:pPr>
            <w:r>
              <w:rPr/>
              <w:t> </w:t>
            </w:r>
          </w:p>
        </w:tc>
        <w:tc>
          <w:tcPr>
            <w:tcW w:w="17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27,368</w:t>
            </w:r>
          </w:p>
        </w:tc>
        <w:tc>
          <w:tcPr>
            <w:tcW w:w="197"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29,196</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Equity earnings in unconsolidated entities </w:t>
            </w:r>
          </w:p>
        </w:tc>
        <w:tc>
          <w:tcPr>
            <w:tcW w:w="197"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97" w:type="dxa"/>
            <w:tcBorders/>
            <w:shd w:fill="CCEEFF" w:val="clear"/>
            <w:vAlign w:val="bottom"/>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tcPr>
          <w:p>
            <w:pPr>
              <w:pStyle w:val="TableContents"/>
              <w:spacing w:before="0" w:after="0"/>
              <w:ind w:left="0" w:right="0" w:hanging="0"/>
              <w:rPr/>
            </w:pPr>
            <w:r>
              <w:rPr>
                <w:rFonts w:ascii="Times New Roman" w:hAnsi="Times New Roman"/>
                <w:sz w:val="17"/>
              </w:rPr>
              <w:t xml:space="preserve">Segment profit </w:t>
            </w:r>
            <w:r>
              <w:rPr>
                <w:sz w:val="11"/>
              </w:rPr>
              <w:t xml:space="preserve">(2) (3) </w:t>
            </w:r>
          </w:p>
        </w:tc>
        <w:tc>
          <w:tcPr>
            <w:tcW w:w="19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97" w:type="dxa"/>
            <w:tcBorders/>
            <w:shd w:fill="auto" w:val="clear"/>
            <w:vAlign w:val="bottom"/>
          </w:tcPr>
          <w:p>
            <w:pPr>
              <w:pStyle w:val="TableContents"/>
              <w:spacing w:before="0" w:after="0"/>
              <w:ind w:left="0" w:right="0" w:hanging="0"/>
              <w:rPr/>
            </w:pPr>
            <w:r>
              <w:rPr/>
              <w:t> </w:t>
            </w:r>
          </w:p>
        </w:tc>
        <w:tc>
          <w:tcPr>
            <w:tcW w:w="17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97"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1,404</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w:t>
            </w:r>
          </w:p>
        </w:tc>
        <w:tc>
          <w:tcPr>
            <w:tcW w:w="197"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97" w:type="dxa"/>
            <w:tcBorders/>
            <w:shd w:fill="CCEEFF" w:val="clear"/>
            <w:vAlign w:val="bottom"/>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97"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7"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2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Segment revenues and purchases and related costs include intersegment amounts. Intersegment sales are conducted at posted tariff rates, rates similar to those charged to third parties or rates that we believe approximate market.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Supply and Logistics segment profit includes interest expense (related to hedged inventory) of approximately $8 million and $3 million for the three months ended September 30, 2013 and 2012, respectively, and approximately $21 million and $9 million for the nine months ended September 30, 2013 and 2012,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following table reconciles segment profit to net income attributable to GP LLC (in millions):</w:t>
      </w:r>
    </w:p>
    <w:p>
      <w:pPr>
        <w:pStyle w:val="TextBody"/>
        <w:spacing w:before="0" w:after="0"/>
        <w:ind w:left="0" w:right="0" w:hanging="0"/>
        <w:rPr/>
      </w:pPr>
      <w:r>
        <w:rPr/>
        <w:t> </w:t>
      </w:r>
    </w:p>
    <w:tbl>
      <w:tblPr>
        <w:tblW w:w="4700" w:type="pct"/>
        <w:jc w:val="left"/>
        <w:tblInd w:w="0" w:type="dxa"/>
        <w:tblCellMar>
          <w:top w:w="0" w:type="dxa"/>
          <w:left w:w="0" w:type="dxa"/>
          <w:bottom w:w="0" w:type="dxa"/>
          <w:right w:w="0" w:type="dxa"/>
        </w:tblCellMar>
      </w:tblPr>
      <w:tblGrid>
        <w:gridCol w:w="3926"/>
        <w:gridCol w:w="195"/>
        <w:gridCol w:w="153"/>
        <w:gridCol w:w="1023"/>
        <w:gridCol w:w="218"/>
        <w:gridCol w:w="153"/>
        <w:gridCol w:w="1024"/>
        <w:gridCol w:w="204"/>
        <w:gridCol w:w="136"/>
        <w:gridCol w:w="1045"/>
        <w:gridCol w:w="206"/>
        <w:gridCol w:w="135"/>
        <w:gridCol w:w="1047"/>
        <w:gridCol w:w="127"/>
      </w:tblGrid>
      <w:tr>
        <w:trPr/>
        <w:tc>
          <w:tcPr>
            <w:tcW w:w="392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257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4" w:type="dxa"/>
            <w:tcBorders/>
            <w:shd w:fill="auto" w:val="clear"/>
            <w:vAlign w:val="bottom"/>
          </w:tcPr>
          <w:p>
            <w:pPr>
              <w:pStyle w:val="TableContents"/>
              <w:spacing w:before="0" w:after="0"/>
              <w:ind w:left="0" w:right="0" w:hanging="0"/>
              <w:jc w:val="center"/>
              <w:rPr/>
            </w:pPr>
            <w:r>
              <w:rPr/>
              <w:t> </w:t>
            </w:r>
          </w:p>
        </w:tc>
        <w:tc>
          <w:tcPr>
            <w:tcW w:w="256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27" w:type="dxa"/>
            <w:tcBorders/>
            <w:shd w:fill="auto" w:val="clear"/>
            <w:vAlign w:val="bottom"/>
          </w:tcPr>
          <w:p>
            <w:pPr>
              <w:pStyle w:val="TableContents"/>
              <w:spacing w:before="0" w:after="0"/>
              <w:ind w:left="0" w:right="0" w:hanging="0"/>
              <w:jc w:val="center"/>
              <w:rPr/>
            </w:pPr>
            <w:r>
              <w:rPr/>
              <w:t> </w:t>
            </w:r>
          </w:p>
        </w:tc>
      </w:tr>
      <w:tr>
        <w:trPr/>
        <w:tc>
          <w:tcPr>
            <w:tcW w:w="392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257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4" w:type="dxa"/>
            <w:tcBorders/>
            <w:shd w:fill="auto" w:val="clear"/>
            <w:vAlign w:val="bottom"/>
          </w:tcPr>
          <w:p>
            <w:pPr>
              <w:pStyle w:val="TableContents"/>
              <w:spacing w:before="0" w:after="0"/>
              <w:ind w:left="0" w:right="0" w:hanging="0"/>
              <w:jc w:val="center"/>
              <w:rPr/>
            </w:pPr>
            <w:r>
              <w:rPr/>
              <w:t> </w:t>
            </w:r>
          </w:p>
        </w:tc>
        <w:tc>
          <w:tcPr>
            <w:tcW w:w="256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27" w:type="dxa"/>
            <w:tcBorders/>
            <w:shd w:fill="auto" w:val="clear"/>
            <w:vAlign w:val="bottom"/>
          </w:tcPr>
          <w:p>
            <w:pPr>
              <w:pStyle w:val="TableContents"/>
              <w:spacing w:before="0" w:after="0"/>
              <w:ind w:left="0" w:right="0" w:hanging="0"/>
              <w:jc w:val="center"/>
              <w:rPr/>
            </w:pPr>
            <w:r>
              <w:rPr/>
              <w:t> </w:t>
            </w:r>
          </w:p>
        </w:tc>
      </w:tr>
      <w:tr>
        <w:trPr/>
        <w:tc>
          <w:tcPr>
            <w:tcW w:w="392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1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8" w:type="dxa"/>
            <w:tcBorders/>
            <w:shd w:fill="auto" w:val="clear"/>
            <w:vAlign w:val="bottom"/>
          </w:tcPr>
          <w:p>
            <w:pPr>
              <w:pStyle w:val="TableContents"/>
              <w:spacing w:before="0" w:after="0"/>
              <w:ind w:left="0" w:right="0" w:hanging="0"/>
              <w:jc w:val="center"/>
              <w:rPr/>
            </w:pPr>
            <w:r>
              <w:rPr/>
              <w:t> </w:t>
            </w:r>
          </w:p>
        </w:tc>
        <w:tc>
          <w:tcPr>
            <w:tcW w:w="117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4" w:type="dxa"/>
            <w:tcBorders/>
            <w:shd w:fill="auto" w:val="clear"/>
            <w:vAlign w:val="bottom"/>
          </w:tcPr>
          <w:p>
            <w:pPr>
              <w:pStyle w:val="TableContents"/>
              <w:spacing w:before="0" w:after="0"/>
              <w:ind w:left="0" w:right="0" w:hanging="0"/>
              <w:jc w:val="center"/>
              <w:rPr/>
            </w:pPr>
            <w:r>
              <w:rPr/>
              <w:t> </w:t>
            </w:r>
          </w:p>
        </w:tc>
        <w:tc>
          <w:tcPr>
            <w:tcW w:w="11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6" w:type="dxa"/>
            <w:tcBorders/>
            <w:shd w:fill="auto" w:val="clear"/>
            <w:vAlign w:val="bottom"/>
          </w:tcPr>
          <w:p>
            <w:pPr>
              <w:pStyle w:val="TableContents"/>
              <w:spacing w:before="0" w:after="0"/>
              <w:ind w:left="0" w:right="0" w:hanging="0"/>
              <w:jc w:val="center"/>
              <w:rPr/>
            </w:pPr>
            <w:r>
              <w:rPr/>
              <w:t> </w:t>
            </w:r>
          </w:p>
        </w:tc>
        <w:tc>
          <w:tcPr>
            <w:tcW w:w="11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7" w:type="dxa"/>
            <w:tcBorders/>
            <w:shd w:fill="auto" w:val="clear"/>
            <w:vAlign w:val="bottom"/>
          </w:tcPr>
          <w:p>
            <w:pPr>
              <w:pStyle w:val="TableContents"/>
              <w:spacing w:before="0" w:after="0"/>
              <w:ind w:left="0" w:right="0" w:hanging="0"/>
              <w:jc w:val="center"/>
              <w:rPr/>
            </w:pPr>
            <w:r>
              <w:rPr/>
              <w:t> </w:t>
            </w:r>
          </w:p>
        </w:tc>
      </w:tr>
      <w:tr>
        <w:trPr/>
        <w:tc>
          <w:tcPr>
            <w:tcW w:w="39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95"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218"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04"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1,640</w:t>
            </w:r>
          </w:p>
        </w:tc>
        <w:tc>
          <w:tcPr>
            <w:tcW w:w="206"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1,404</w:t>
            </w:r>
          </w:p>
        </w:tc>
        <w:tc>
          <w:tcPr>
            <w:tcW w:w="127" w:type="dxa"/>
            <w:tcBorders/>
            <w:shd w:fill="CCEEFF" w:val="clear"/>
            <w:vAlign w:val="bottom"/>
          </w:tcPr>
          <w:p>
            <w:pPr>
              <w:pStyle w:val="TableContents"/>
              <w:spacing w:before="0" w:after="0"/>
              <w:ind w:left="0" w:right="0" w:hanging="0"/>
              <w:rPr/>
            </w:pPr>
            <w:r>
              <w:rPr/>
              <w:t> </w:t>
            </w:r>
          </w:p>
        </w:tc>
      </w:tr>
      <w:tr>
        <w:trPr/>
        <w:tc>
          <w:tcPr>
            <w:tcW w:w="39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95" w:type="dxa"/>
            <w:tcBorders/>
            <w:shd w:fill="auto" w:val="clear"/>
            <w:vAlign w:val="bottom"/>
          </w:tcPr>
          <w:p>
            <w:pPr>
              <w:pStyle w:val="TableContents"/>
              <w:spacing w:before="0" w:after="0"/>
              <w:ind w:left="0" w:right="0" w:hanging="0"/>
              <w:rPr/>
            </w:pPr>
            <w:r>
              <w:rPr/>
              <w:t> </w:t>
            </w:r>
          </w:p>
        </w:tc>
        <w:tc>
          <w:tcPr>
            <w:tcW w:w="11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95" w:type="dxa"/>
            <w:tcBorders/>
            <w:shd w:fill="CCEEFF" w:val="clear"/>
            <w:vAlign w:val="bottom"/>
          </w:tcPr>
          <w:p>
            <w:pPr>
              <w:pStyle w:val="TableContents"/>
              <w:spacing w:before="0" w:after="0"/>
              <w:ind w:left="0" w:right="0" w:hanging="0"/>
              <w:rPr/>
            </w:pPr>
            <w:r>
              <w:rPr/>
              <w:t> </w:t>
            </w:r>
          </w:p>
        </w:tc>
        <w:tc>
          <w:tcPr>
            <w:tcW w:w="11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95" w:type="dxa"/>
            <w:tcBorders/>
            <w:shd w:fill="auto" w:val="clear"/>
            <w:vAlign w:val="bottom"/>
          </w:tcPr>
          <w:p>
            <w:pPr>
              <w:pStyle w:val="TableContents"/>
              <w:spacing w:before="0" w:after="0"/>
              <w:ind w:left="0" w:right="0" w:hanging="0"/>
              <w:rPr/>
            </w:pPr>
            <w:r>
              <w:rPr/>
              <w:t> </w:t>
            </w:r>
          </w:p>
        </w:tc>
        <w:tc>
          <w:tcPr>
            <w:tcW w:w="11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8" w:type="dxa"/>
            <w:tcBorders/>
            <w:shd w:fill="auto" w:val="clear"/>
            <w:vAlign w:val="bottom"/>
          </w:tcPr>
          <w:p>
            <w:pPr>
              <w:pStyle w:val="TableContents"/>
              <w:spacing w:before="0" w:after="0"/>
              <w:ind w:left="0" w:right="0" w:hanging="0"/>
              <w:rPr/>
            </w:pPr>
            <w:r>
              <w:rPr/>
              <w:t> </w:t>
            </w:r>
          </w:p>
        </w:tc>
        <w:tc>
          <w:tcPr>
            <w:tcW w:w="11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4" w:type="dxa"/>
            <w:tcBorders/>
            <w:shd w:fill="auto" w:val="clear"/>
            <w:vAlign w:val="bottom"/>
          </w:tcPr>
          <w:p>
            <w:pPr>
              <w:pStyle w:val="TableContents"/>
              <w:spacing w:before="0" w:after="0"/>
              <w:ind w:left="0" w:right="0" w:hanging="0"/>
              <w:rPr/>
            </w:pPr>
            <w:r>
              <w:rPr/>
              <w:t> </w:t>
            </w:r>
          </w:p>
        </w:tc>
        <w:tc>
          <w:tcPr>
            <w:tcW w:w="11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6" w:type="dxa"/>
            <w:tcBorders/>
            <w:shd w:fill="auto" w:val="clear"/>
            <w:vAlign w:val="bottom"/>
          </w:tcPr>
          <w:p>
            <w:pPr>
              <w:pStyle w:val="TableContents"/>
              <w:spacing w:before="0" w:after="0"/>
              <w:ind w:left="0" w:right="0" w:hanging="0"/>
              <w:rPr/>
            </w:pPr>
            <w:r>
              <w:rPr/>
              <w:t> </w:t>
            </w:r>
          </w:p>
        </w:tc>
        <w:tc>
          <w:tcPr>
            <w:tcW w:w="11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7" w:type="dxa"/>
            <w:tcBorders/>
            <w:shd w:fill="auto" w:val="clear"/>
            <w:vAlign w:val="bottom"/>
          </w:tcPr>
          <w:p>
            <w:pPr>
              <w:pStyle w:val="TableContents"/>
              <w:spacing w:before="0" w:after="0"/>
              <w:ind w:left="0" w:right="0" w:hanging="0"/>
              <w:rPr/>
            </w:pPr>
            <w:r>
              <w:rPr/>
              <w:t> </w:t>
            </w:r>
          </w:p>
        </w:tc>
      </w:tr>
      <w:tr>
        <w:trPr/>
        <w:tc>
          <w:tcPr>
            <w:tcW w:w="39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95" w:type="dxa"/>
            <w:tcBorders/>
            <w:shd w:fill="CCEEFF" w:val="clear"/>
            <w:vAlign w:val="bottom"/>
          </w:tcPr>
          <w:p>
            <w:pPr>
              <w:pStyle w:val="TableContents"/>
              <w:spacing w:before="0" w:after="0"/>
              <w:ind w:left="0" w:right="0" w:hanging="0"/>
              <w:rPr/>
            </w:pPr>
            <w:r>
              <w:rPr/>
              <w:t> </w:t>
            </w:r>
          </w:p>
        </w:tc>
        <w:tc>
          <w:tcPr>
            <w:tcW w:w="11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195" w:type="dxa"/>
            <w:tcBorders/>
            <w:shd w:fill="auto" w:val="clear"/>
            <w:vAlign w:val="bottom"/>
          </w:tcPr>
          <w:p>
            <w:pPr>
              <w:pStyle w:val="TableContents"/>
              <w:spacing w:before="0" w:after="0"/>
              <w:ind w:left="0" w:right="0" w:hanging="0"/>
              <w:rPr/>
            </w:pPr>
            <w:r>
              <w:rPr/>
              <w:t> </w:t>
            </w:r>
          </w:p>
        </w:tc>
        <w:tc>
          <w:tcPr>
            <w:tcW w:w="11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8" w:type="dxa"/>
            <w:tcBorders/>
            <w:shd w:fill="auto" w:val="clear"/>
            <w:vAlign w:val="bottom"/>
          </w:tcPr>
          <w:p>
            <w:pPr>
              <w:pStyle w:val="TableContents"/>
              <w:spacing w:before="0" w:after="0"/>
              <w:ind w:left="0" w:right="0" w:hanging="0"/>
              <w:rPr/>
            </w:pPr>
            <w:r>
              <w:rPr/>
              <w:t> </w:t>
            </w:r>
          </w:p>
        </w:tc>
        <w:tc>
          <w:tcPr>
            <w:tcW w:w="11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04" w:type="dxa"/>
            <w:tcBorders/>
            <w:shd w:fill="auto" w:val="clear"/>
            <w:vAlign w:val="bottom"/>
          </w:tcPr>
          <w:p>
            <w:pPr>
              <w:pStyle w:val="TableContents"/>
              <w:spacing w:before="0" w:after="0"/>
              <w:ind w:left="0" w:right="0" w:hanging="0"/>
              <w:rPr/>
            </w:pPr>
            <w:r>
              <w:rPr/>
              <w:t> </w:t>
            </w:r>
          </w:p>
        </w:tc>
        <w:tc>
          <w:tcPr>
            <w:tcW w:w="11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1,070</w:t>
            </w:r>
          </w:p>
        </w:tc>
        <w:tc>
          <w:tcPr>
            <w:tcW w:w="206" w:type="dxa"/>
            <w:tcBorders/>
            <w:shd w:fill="auto" w:val="clear"/>
            <w:vAlign w:val="bottom"/>
          </w:tcPr>
          <w:p>
            <w:pPr>
              <w:pStyle w:val="TableContents"/>
              <w:spacing w:before="0" w:after="0"/>
              <w:ind w:left="0" w:right="0" w:hanging="0"/>
              <w:rPr/>
            </w:pPr>
            <w:r>
              <w:rPr/>
              <w:t> </w:t>
            </w:r>
          </w:p>
        </w:tc>
        <w:tc>
          <w:tcPr>
            <w:tcW w:w="11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790</w:t>
            </w:r>
          </w:p>
        </w:tc>
        <w:tc>
          <w:tcPr>
            <w:tcW w:w="127" w:type="dxa"/>
            <w:tcBorders/>
            <w:shd w:fill="auto" w:val="clear"/>
            <w:vAlign w:val="bottom"/>
          </w:tcPr>
          <w:p>
            <w:pPr>
              <w:pStyle w:val="TableContents"/>
              <w:spacing w:before="0" w:after="0"/>
              <w:ind w:left="0" w:right="0" w:hanging="0"/>
              <w:rPr/>
            </w:pPr>
            <w:r>
              <w:rPr/>
              <w:t> </w:t>
            </w:r>
          </w:p>
        </w:tc>
      </w:tr>
      <w:tr>
        <w:trPr/>
        <w:tc>
          <w:tcPr>
            <w:tcW w:w="39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195" w:type="dxa"/>
            <w:tcBorders/>
            <w:shd w:fill="CCEEFF" w:val="clear"/>
            <w:vAlign w:val="bottom"/>
          </w:tcPr>
          <w:p>
            <w:pPr>
              <w:pStyle w:val="TableContents"/>
              <w:spacing w:before="0" w:after="0"/>
              <w:ind w:left="0" w:right="0" w:hanging="0"/>
              <w:rPr/>
            </w:pPr>
            <w:r>
              <w:rPr/>
              <w:t> </w:t>
            </w:r>
          </w:p>
        </w:tc>
        <w:tc>
          <w:tcPr>
            <w:tcW w:w="11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(788</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GP LLC</w:t>
            </w:r>
          </w:p>
        </w:tc>
        <w:tc>
          <w:tcPr>
            <w:tcW w:w="195"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4"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6" w:type="dxa"/>
            <w:tcBorders/>
            <w:shd w:fill="auto" w:val="clear"/>
            <w:vAlign w:val="bottom"/>
          </w:tcPr>
          <w:p>
            <w:pPr>
              <w:pStyle w:val="TableContents"/>
              <w:spacing w:before="0" w:after="0"/>
              <w:ind w:left="0" w:right="0" w:hanging="0"/>
              <w:rPr/>
            </w:pPr>
            <w:r>
              <w:rPr/>
              <w:t> </w:t>
            </w:r>
          </w:p>
        </w:tc>
        <w:tc>
          <w:tcPr>
            <w:tcW w:w="1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51" w:name="PB_29_154544_3020"/>
      <w:bookmarkEnd w:id="5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13Related Party Transactions</w:t>
      </w:r>
      <w:bookmarkStart w:id="52" w:name="Note13relatedPartyTransactions_154246"/>
      <w:bookmarkEnd w:id="5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complete discussion of our related party transactions, please read Note 13 to our 2012 Consolidated Financial Statements included in the Final Prospectus.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Occidental Petroleum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2013, a subsidiary of Occidental Petroleum Corporation (Oxy) owned approximately 35% of our member interest and had a representative on our board of directors. In October 2013, in conjunction with PAGPs IPO, Oxy sold a portion of its interest, decreasing its ownership to approximately 25%. See Note 15 for further discussion of PAGPs IPO. During the three and nine months ended September 30, 2013 and 2012, we recognized sales and transportation revenues and purchased petroleum products from companies affiliated with Oxy. These transactions were conducted at posted tariff rates or prices that we believe approximate market. See detail below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3620"/>
        <w:gridCol w:w="201"/>
        <w:gridCol w:w="162"/>
        <w:gridCol w:w="1152"/>
        <w:gridCol w:w="214"/>
        <w:gridCol w:w="162"/>
        <w:gridCol w:w="1154"/>
        <w:gridCol w:w="201"/>
        <w:gridCol w:w="140"/>
        <w:gridCol w:w="1162"/>
        <w:gridCol w:w="202"/>
        <w:gridCol w:w="140"/>
        <w:gridCol w:w="1163"/>
        <w:gridCol w:w="123"/>
      </w:tblGrid>
      <w:tr>
        <w:trPr/>
        <w:tc>
          <w:tcPr>
            <w:tcW w:w="3620"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284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1" w:type="dxa"/>
            <w:tcBorders/>
            <w:shd w:fill="auto" w:val="clear"/>
            <w:vAlign w:val="bottom"/>
          </w:tcPr>
          <w:p>
            <w:pPr>
              <w:pStyle w:val="TableContents"/>
              <w:spacing w:before="0" w:after="0"/>
              <w:ind w:left="0" w:right="0" w:hanging="0"/>
              <w:jc w:val="center"/>
              <w:rPr/>
            </w:pPr>
            <w:r>
              <w:rPr/>
              <w:t> </w:t>
            </w:r>
          </w:p>
        </w:tc>
        <w:tc>
          <w:tcPr>
            <w:tcW w:w="280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3" w:type="dxa"/>
            <w:tcBorders/>
            <w:shd w:fill="auto" w:val="clear"/>
            <w:vAlign w:val="bottom"/>
          </w:tcPr>
          <w:p>
            <w:pPr>
              <w:pStyle w:val="TableContents"/>
              <w:spacing w:before="0" w:after="0"/>
              <w:ind w:left="0" w:right="0" w:hanging="0"/>
              <w:jc w:val="center"/>
              <w:rPr/>
            </w:pPr>
            <w:r>
              <w:rPr/>
              <w:t> </w:t>
            </w:r>
          </w:p>
        </w:tc>
      </w:tr>
      <w:tr>
        <w:trPr/>
        <w:tc>
          <w:tcPr>
            <w:tcW w:w="3620"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284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1" w:type="dxa"/>
            <w:tcBorders/>
            <w:shd w:fill="auto" w:val="clear"/>
            <w:vAlign w:val="bottom"/>
          </w:tcPr>
          <w:p>
            <w:pPr>
              <w:pStyle w:val="TableContents"/>
              <w:spacing w:before="0" w:after="0"/>
              <w:ind w:left="0" w:right="0" w:hanging="0"/>
              <w:jc w:val="center"/>
              <w:rPr/>
            </w:pPr>
            <w:r>
              <w:rPr/>
              <w:t> </w:t>
            </w:r>
          </w:p>
        </w:tc>
        <w:tc>
          <w:tcPr>
            <w:tcW w:w="280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3" w:type="dxa"/>
            <w:tcBorders/>
            <w:shd w:fill="auto" w:val="clear"/>
            <w:vAlign w:val="bottom"/>
          </w:tcPr>
          <w:p>
            <w:pPr>
              <w:pStyle w:val="TableContents"/>
              <w:spacing w:before="0" w:after="0"/>
              <w:ind w:left="0" w:right="0" w:hanging="0"/>
              <w:jc w:val="center"/>
              <w:rPr/>
            </w:pPr>
            <w:r>
              <w:rPr/>
              <w:t> </w:t>
            </w:r>
          </w:p>
        </w:tc>
      </w:tr>
      <w:tr>
        <w:trPr/>
        <w:tc>
          <w:tcPr>
            <w:tcW w:w="3620"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13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4" w:type="dxa"/>
            <w:tcBorders/>
            <w:shd w:fill="auto" w:val="clear"/>
            <w:vAlign w:val="bottom"/>
          </w:tcPr>
          <w:p>
            <w:pPr>
              <w:pStyle w:val="TableContents"/>
              <w:spacing w:before="0" w:after="0"/>
              <w:ind w:left="0" w:right="0" w:hanging="0"/>
              <w:jc w:val="center"/>
              <w:rPr/>
            </w:pPr>
            <w:r>
              <w:rPr/>
              <w:t> </w:t>
            </w:r>
          </w:p>
        </w:tc>
        <w:tc>
          <w:tcPr>
            <w:tcW w:w="131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1" w:type="dxa"/>
            <w:tcBorders/>
            <w:shd w:fill="auto" w:val="clear"/>
            <w:vAlign w:val="bottom"/>
          </w:tcPr>
          <w:p>
            <w:pPr>
              <w:pStyle w:val="TableContents"/>
              <w:spacing w:before="0" w:after="0"/>
              <w:ind w:left="0" w:right="0" w:hanging="0"/>
              <w:jc w:val="center"/>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0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3" w:type="dxa"/>
            <w:tcBorders/>
            <w:shd w:fill="auto" w:val="clear"/>
            <w:vAlign w:val="bottom"/>
          </w:tcPr>
          <w:p>
            <w:pPr>
              <w:pStyle w:val="TableContents"/>
              <w:spacing w:before="0" w:after="0"/>
              <w:ind w:left="0" w:right="0" w:hanging="0"/>
              <w:jc w:val="center"/>
              <w:rPr/>
            </w:pPr>
            <w:r>
              <w:rPr/>
              <w:t> </w:t>
            </w:r>
          </w:p>
        </w:tc>
      </w:tr>
      <w:tr>
        <w:trPr/>
        <w:tc>
          <w:tcPr>
            <w:tcW w:w="36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Revenues </w:t>
            </w:r>
          </w:p>
        </w:tc>
        <w:tc>
          <w:tcPr>
            <w:tcW w:w="201"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w:t>
            </w:r>
          </w:p>
        </w:tc>
        <w:tc>
          <w:tcPr>
            <w:tcW w:w="214"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201"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1,135</w:t>
            </w:r>
          </w:p>
        </w:tc>
        <w:tc>
          <w:tcPr>
            <w:tcW w:w="202"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1,435</w:t>
            </w:r>
          </w:p>
        </w:tc>
        <w:tc>
          <w:tcPr>
            <w:tcW w:w="123" w:type="dxa"/>
            <w:tcBorders/>
            <w:shd w:fill="CCEEFF" w:val="clear"/>
            <w:vAlign w:val="bottom"/>
          </w:tcPr>
          <w:p>
            <w:pPr>
              <w:pStyle w:val="TableContents"/>
              <w:spacing w:before="0" w:after="0"/>
              <w:ind w:left="0" w:right="0" w:hanging="0"/>
              <w:rPr/>
            </w:pPr>
            <w:r>
              <w:rPr/>
              <w:t> </w:t>
            </w:r>
          </w:p>
        </w:tc>
      </w:tr>
      <w:tr>
        <w:trPr/>
        <w:tc>
          <w:tcPr>
            <w:tcW w:w="3620"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rPr/>
            </w:pPr>
            <w:r>
              <w:rPr/>
              <w:t> </w:t>
            </w:r>
          </w:p>
        </w:tc>
        <w:tc>
          <w:tcPr>
            <w:tcW w:w="131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16" w:type="dxa"/>
            <w:gridSpan w:val="2"/>
            <w:tcBorders/>
            <w:shd w:fill="auto" w:val="clear"/>
            <w:vAlign w:val="bottom"/>
          </w:tcPr>
          <w:p>
            <w:pPr>
              <w:pStyle w:val="TableContents"/>
              <w:spacing w:before="0" w:after="0"/>
              <w:ind w:left="0" w:right="0" w:hanging="0"/>
              <w:jc w:val="right"/>
              <w:rPr/>
            </w:pPr>
            <w:r>
              <w:rPr/>
              <w:t> </w:t>
            </w:r>
          </w:p>
        </w:tc>
        <w:tc>
          <w:tcPr>
            <w:tcW w:w="201"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36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Purchases and related costs </w:t>
            </w:r>
          </w:p>
        </w:tc>
        <w:tc>
          <w:tcPr>
            <w:tcW w:w="201"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214"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01"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604</w:t>
            </w:r>
          </w:p>
        </w:tc>
        <w:tc>
          <w:tcPr>
            <w:tcW w:w="202"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12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have a netting arrangement with Oxy. Our gross receivable and payable amounts with affiliates of Oxy were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714"/>
        <w:gridCol w:w="214"/>
        <w:gridCol w:w="226"/>
        <w:gridCol w:w="1254"/>
        <w:gridCol w:w="214"/>
        <w:gridCol w:w="218"/>
        <w:gridCol w:w="1234"/>
        <w:gridCol w:w="131"/>
      </w:tblGrid>
      <w:tr>
        <w:trPr/>
        <w:tc>
          <w:tcPr>
            <w:tcW w:w="671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48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4" w:type="dxa"/>
            <w:tcBorders/>
            <w:shd w:fill="auto" w:val="clear"/>
            <w:vAlign w:val="bottom"/>
          </w:tcPr>
          <w:p>
            <w:pPr>
              <w:pStyle w:val="TableContents"/>
              <w:spacing w:before="0" w:after="0"/>
              <w:ind w:left="0" w:right="0" w:hanging="0"/>
              <w:jc w:val="center"/>
              <w:rPr/>
            </w:pPr>
            <w:r>
              <w:rPr/>
              <w:t> </w:t>
            </w:r>
          </w:p>
        </w:tc>
        <w:tc>
          <w:tcPr>
            <w:tcW w:w="14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1" w:type="dxa"/>
            <w:tcBorders/>
            <w:shd w:fill="auto" w:val="clear"/>
            <w:vAlign w:val="bottom"/>
          </w:tcPr>
          <w:p>
            <w:pPr>
              <w:pStyle w:val="TableContents"/>
              <w:spacing w:before="0" w:after="0"/>
              <w:ind w:left="0" w:right="0" w:hanging="0"/>
              <w:jc w:val="center"/>
              <w:rPr/>
            </w:pPr>
            <w:r>
              <w:rPr/>
              <w:t> </w:t>
            </w:r>
          </w:p>
        </w:tc>
      </w:tr>
      <w:tr>
        <w:trPr/>
        <w:tc>
          <w:tcPr>
            <w:tcW w:w="671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4" w:type="dxa"/>
            <w:tcBorders/>
            <w:shd w:fill="auto" w:val="clear"/>
            <w:vAlign w:val="bottom"/>
          </w:tcPr>
          <w:p>
            <w:pPr>
              <w:pStyle w:val="TableContents"/>
              <w:spacing w:before="0" w:after="0"/>
              <w:ind w:left="0" w:right="0" w:hanging="0"/>
              <w:jc w:val="center"/>
              <w:rPr/>
            </w:pPr>
            <w:r>
              <w:rPr/>
              <w:t> </w:t>
            </w:r>
          </w:p>
        </w:tc>
        <w:tc>
          <w:tcPr>
            <w:tcW w:w="14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1" w:type="dxa"/>
            <w:tcBorders/>
            <w:shd w:fill="auto" w:val="clear"/>
            <w:vAlign w:val="bottom"/>
          </w:tcPr>
          <w:p>
            <w:pPr>
              <w:pStyle w:val="TableContents"/>
              <w:spacing w:before="0" w:after="0"/>
              <w:ind w:left="0" w:right="0" w:hanging="0"/>
              <w:jc w:val="center"/>
              <w:rPr/>
            </w:pPr>
            <w:r>
              <w:rPr/>
              <w:t> </w:t>
            </w:r>
          </w:p>
        </w:tc>
      </w:tr>
      <w:tr>
        <w:trPr/>
        <w:tc>
          <w:tcPr>
            <w:tcW w:w="67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Trade accounts receivable and other receivables </w:t>
            </w:r>
          </w:p>
        </w:tc>
        <w:tc>
          <w:tcPr>
            <w:tcW w:w="214" w:type="dxa"/>
            <w:tcBorders/>
            <w:shd w:fill="CCEEFF" w:val="clear"/>
            <w:vAlign w:val="bottom"/>
          </w:tcPr>
          <w:p>
            <w:pPr>
              <w:pStyle w:val="TableContents"/>
              <w:spacing w:before="0" w:after="0"/>
              <w:ind w:left="0" w:right="0" w:hanging="0"/>
              <w:rPr/>
            </w:pPr>
            <w:r>
              <w:rPr/>
              <w:t> </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w:t>
            </w:r>
          </w:p>
        </w:tc>
        <w:tc>
          <w:tcPr>
            <w:tcW w:w="214"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31" w:type="dxa"/>
            <w:tcBorders/>
            <w:shd w:fill="CCEEFF" w:val="clear"/>
            <w:vAlign w:val="bottom"/>
          </w:tcPr>
          <w:p>
            <w:pPr>
              <w:pStyle w:val="TableContents"/>
              <w:spacing w:before="0" w:after="0"/>
              <w:ind w:left="0" w:right="0" w:hanging="0"/>
              <w:rPr/>
            </w:pPr>
            <w:r>
              <w:rPr/>
              <w:t> </w:t>
            </w:r>
          </w:p>
        </w:tc>
      </w:tr>
      <w:tr>
        <w:trPr/>
        <w:tc>
          <w:tcPr>
            <w:tcW w:w="671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48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218" w:type="dxa"/>
            <w:tcBorders/>
            <w:shd w:fill="auto" w:val="clear"/>
            <w:vAlign w:val="bottom"/>
          </w:tcPr>
          <w:p>
            <w:pPr>
              <w:pStyle w:val="TableContents"/>
              <w:spacing w:before="0" w:after="0"/>
              <w:ind w:left="0" w:right="0" w:hanging="0"/>
              <w:rPr/>
            </w:pPr>
            <w:r>
              <w:rPr/>
              <w:t> </w:t>
            </w:r>
          </w:p>
        </w:tc>
        <w:tc>
          <w:tcPr>
            <w:tcW w:w="1234" w:type="dxa"/>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67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Accounts payable </w:t>
            </w:r>
          </w:p>
        </w:tc>
        <w:tc>
          <w:tcPr>
            <w:tcW w:w="214" w:type="dxa"/>
            <w:tcBorders/>
            <w:shd w:fill="CCEEFF" w:val="clear"/>
            <w:vAlign w:val="bottom"/>
          </w:tcPr>
          <w:p>
            <w:pPr>
              <w:pStyle w:val="TableContents"/>
              <w:spacing w:before="0" w:after="0"/>
              <w:ind w:left="0" w:right="0" w:hanging="0"/>
              <w:rPr/>
            </w:pPr>
            <w:r>
              <w:rPr/>
              <w:t> </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w:t>
            </w:r>
          </w:p>
        </w:tc>
        <w:tc>
          <w:tcPr>
            <w:tcW w:w="214"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14Impairments</w:t>
      </w:r>
      <w:bookmarkStart w:id="53" w:name="Note14impairments_154250"/>
      <w:bookmarkEnd w:id="5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third quarter of 2012, we recognized losses on impairments of long-lived assets of approximately $125 million, primarily related to our Pier 400 terminal project, which is reflected in Depreciation and amortization on our condensed consolidated statement of operations. This project, which we acquired in late 2006 by virtue of our merger with Pacific Energy Partners, L.P., was to develop a deepwater petroleum import terminal at Pier 400 and Terminal Island in the Port of Los Angeles to handle marine receipts of crude oil and refinery feedstock.  During the third quarter of 2012, we decided not to proceed with the development of this project.  A number of factors contributed to the uncertainties with respect to financial returns and the determination not to proceed with the project, including project delays, the economic downturn, regulatory and permitting hurdles, a challenging refining environment in California and an industry shift in the outlook for availability of domestic crude oil.  We assessed the recoverability of these long-lived assets and, where necessary, performed further analysis based on a projected discounted cash flow methodology.  As a result of this impairment review, we wrote off a substantial portion of the carrying amount of these long-lived assets, except for the portion that we anticipate we will recover.  These project assets were included in our 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and nine months ended September 30, 2013, we recognized impairments of approximately $8 million and $15 million, respectively, related predominantly to assets taken out of service and canceled projects.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15Subsequent Events</w:t>
      </w:r>
      <w:bookmarkStart w:id="54" w:name="Note15subsequentEvents_171354"/>
      <w:bookmarkEnd w:id="54"/>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Initial Public Offering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Through a series of transactions with PAGPs general partner and the owners of GP LLC prior to the closing of the IPO in October 2013, PAGP</w:t>
      </w:r>
      <w:r>
        <w:rPr>
          <w:rFonts w:ascii="Times New Roman" w:hAnsi="Times New Roman"/>
        </w:rPr>
        <w:t xml:space="preserve"> </w:t>
      </w:r>
      <w:r>
        <w:rPr>
          <w:rFonts w:ascii="Times New Roman" w:hAnsi="Times New Roman"/>
          <w:sz w:val="17"/>
        </w:rPr>
        <w:t>issued 473,647,679 Class B Shares to such owners and received a 100% managing member interest in GP LLC. Also prior to the IPO, certain owners of AAP (the Selling Owners) sold a portion of their interests in AAP to PAGP in exchange for the right to receive an amount equal to the net proceeds of the IPO, resulting in PAGPs ownership of an approximate 21.8% limited partnership interest in AAP.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October 2013, PAGP completed its IPO of 132,382,094 Class A Shares representing limited partner interests (including 4,382,094 Class A Shares issued in connection with the partial exercise of the underwriters overallotment option),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55" w:name="PB_30_152407_7056"/>
      <w:bookmarkEnd w:id="5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at a price of $22.00 per Class A Share, generating net proceeds, after deducting underwriting discounts and commissions and direct offering expenses, of approximately $2.8 billion. The net proceeds of the offering were distributed to the Selling Owners. The Class A Shares are listed on the New York Stock Exchange under the symbol PAGP. PAGP has elected to be treated as a corporation for U.S. federal income tax purposes.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Administrative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PAGPs IPO in October 2013, PAGP entered into an administrative agreement with PAA and certain of its affiliates, pursuant to which PAGP agreed upon certain aspects of its relationship with them, including, among other things (i) that if any business opportunity is presented to the parties to the agreement, PAA will have the first right to pursue such business opportunity, (ii) that GP LLC will employ such personnel as may be necessary to manage and operate the business, properties and assets of PAGP, its general partner and AAP, and AAP will pay GP LLC an annual fee (initially, $1.5 million per year, subject to adjustment as specified in the agreement) for such general and administrative services, (iii) that any direct expenses incurred by PAGP, its general partner or AAP (other than income taxes payable by PAGP), will be borne by AAP, (iv) that AAP will reimburse GP LLC for any additional expenses incurred by GP LLC and certain of its affiliates, and (v) that PAA has granted PAGP use of the name PAA and Plains and any associated or related marks.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Plains GP Holdings, L.P. Long-Term Incentive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PAGPs IPO in October 2013, its general partner adopted the Plains GP Holdings, L.P. Long-Term Incentive Plan (the PAGP Plan), which is intended to align the interests of PAGPs employees and directors with those of its shareholders by providing such employees and directors incentive compensation awards that reward achievement of targeted distribution levels and other business objectives. The PAGP Plan provides for awards of options, restricted shares, phantom shares and share appreciation rights. Certain awards may also include distribution equivalent rights, which, subject to applicable vesting criteria, entitle the grantee to a cash payment equal to the cash distribution paid on an outstanding Class A Share. The PAGP Plan authorizes the issuance of up to 10 million Class A Shares deliverable upon vesting. As of the date of this report, no awards had been granted under the PAGP Plan.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56" w:name="PB_31_152427_5335"/>
      <w:bookmarkEnd w:id="5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   </w:t>
      </w:r>
      <w:r>
        <w:rPr>
          <w:rFonts w:ascii="Times New Roman" w:hAnsi="Times New Roman"/>
          <w:b/>
          <w:i/>
          <w:sz w:val="17"/>
        </w:rPr>
        <w:t>Managements Discussion and Analysis of Financial Condition and Results of Operations</w:t>
      </w:r>
      <w:bookmarkStart w:id="57" w:name="Item2_managementsDiscussionAndAna_152436"/>
      <w:bookmarkEnd w:id="57"/>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Introduction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historical condensed consolidated financial statements included in this Quarterly Report on Form 10-Q are those of Plains All American GP LLC (GP LLC or the Predecessor), a Delaware limited liability company formed on May 2, 2001 that serves as the managing general partner of Plains All American Pipeline, L.P. (PAA), a publicly traded Delaware limited partnership. PAA engages in the transportation, storage, terminalling and marketing of crude oil and refined products, as well as in the processing, transportation, fractionation, storage and marketing of NGL. Through PAAs general partner interest and majority equity ownership position in PAA Natural Gas Storage, L.P. (NYSE: PNG), it also owns and operates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Through a series of transactions with the owners of GP LLC prior to the IPO of Plains GP Holdings, L.P. (PAGP) on October 21, 2013, PAGP owns a 100% managing member interest in GP LLC. For further discussion regarding PAGPs IPO, please see Notes 1 and 15 to our condensed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discussion analyzes the financial condition and results of operations of GP LLC. Such analysis should be read in conjunction with GP LLCs historical audited financial statements, and the notes thereto, included in the final prospectus dated October 15, 2013 (the Final Prospectus) included in its Registration Statement on Form S-1, as amended (SEC File No. 333-190227). For ease of reference, we refer to the historical financial results of GP LLC as being our historical financial results. Unless the context otherwise requires, references to we, us, our, and PAGP are intended to mean the business and operations of PAGP and its consolidated subsidiaries since October 21, 2013. When used in the historical context (i.e. prior to October 21, 2013), these terms are intended to mean the business and operations of GP LLC and its consolidated subsidiaries. Our business activities are conducted through three operating segments: (i) Transportation, (ii) Facilities and (iii) Supply and Logistics.  See Note 12 for further discussion of our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discussion and analysis includes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nine months of 2013, net income was approximately $1.070 billion, as compared to net income of approximately $790 million recognized during the first nine months of 2012. Major items impacting the favorable performance between periods include contributions from the USD Rail Terminal and BP NGL Acquisitions, which were completed in December 2012 and April 2012, respectively, contributions from recently completed organic growth projects and favorable unit margins in our 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favorable unit margins in the Supply and Logistics segment were primarily driven by our NGL marketing operations, which benefited from improved market conditions and additional sales volumes related to the BP NGL Acquisition noted above. However, such results were partially offset by the impact of less favorable crude oil market conditions during 2013, particularly narrower crude oil differentials.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58" w:name="PB_32_152442_5796"/>
      <w:bookmarkEnd w:id="5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Other significant items during the period were: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Decreased depreciation and amortization expense resulting from one-time asset impairment charges recognized during the comparative 2012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income tax expense resulting from an increased proportion of earnings subject to Canadian federal and provincial taxes, primarily driven by the BP NGL Acquisition and the stronger performance from existing operations;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receipt of net proceeds of approximately $1.1 billion from PAAs issuance of senior notes in August 2013 and the sale of approximately 7.2 million common units under PAAs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capital expenditures for acquisitions, internal growth projects and maintenance capital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67"/>
        <w:gridCol w:w="212"/>
        <w:gridCol w:w="118"/>
        <w:gridCol w:w="1082"/>
        <w:gridCol w:w="212"/>
        <w:gridCol w:w="118"/>
        <w:gridCol w:w="1083"/>
        <w:gridCol w:w="113"/>
      </w:tblGrid>
      <w:tr>
        <w:trPr/>
        <w:tc>
          <w:tcPr>
            <w:tcW w:w="726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1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13" w:type="dxa"/>
            <w:tcBorders/>
            <w:shd w:fill="auto" w:val="clear"/>
            <w:vAlign w:val="bottom"/>
          </w:tcPr>
          <w:p>
            <w:pPr>
              <w:pStyle w:val="TableContents"/>
              <w:spacing w:before="0" w:after="0"/>
              <w:ind w:left="0" w:right="0" w:hanging="0"/>
              <w:jc w:val="center"/>
              <w:rPr/>
            </w:pPr>
            <w:r>
              <w:rPr/>
              <w:t> </w:t>
            </w:r>
          </w:p>
        </w:tc>
      </w:tr>
      <w:tr>
        <w:trPr/>
        <w:tc>
          <w:tcPr>
            <w:tcW w:w="726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1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3" w:type="dxa"/>
            <w:tcBorders/>
            <w:shd w:fill="auto" w:val="clear"/>
            <w:vAlign w:val="bottom"/>
          </w:tcPr>
          <w:p>
            <w:pPr>
              <w:pStyle w:val="TableContents"/>
              <w:spacing w:before="0" w:after="0"/>
              <w:ind w:left="0" w:right="0" w:hanging="0"/>
              <w:jc w:val="center"/>
              <w:rPr/>
            </w:pPr>
            <w:r>
              <w:rPr/>
              <w:t> </w:t>
            </w:r>
          </w:p>
        </w:tc>
      </w:tr>
      <w:tr>
        <w:trPr/>
        <w:tc>
          <w:tcPr>
            <w:tcW w:w="726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2" w:type="dxa"/>
            <w:tcBorders/>
            <w:shd w:fill="auto" w:val="clear"/>
            <w:vAlign w:val="bottom"/>
          </w:tcPr>
          <w:p>
            <w:pPr>
              <w:pStyle w:val="TableContents"/>
              <w:spacing w:before="0" w:after="0"/>
              <w:ind w:left="0" w:right="0" w:hanging="0"/>
              <w:jc w:val="center"/>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3" w:type="dxa"/>
            <w:tcBorders/>
            <w:shd w:fill="auto" w:val="clear"/>
            <w:vAlign w:val="bottom"/>
          </w:tcPr>
          <w:p>
            <w:pPr>
              <w:pStyle w:val="TableContents"/>
              <w:spacing w:before="0" w:after="0"/>
              <w:ind w:left="0" w:right="0" w:hanging="0"/>
              <w:jc w:val="center"/>
              <w:rPr/>
            </w:pPr>
            <w:r>
              <w:rPr/>
              <w:t> </w:t>
            </w:r>
          </w:p>
        </w:tc>
      </w:tr>
      <w:tr>
        <w:trPr/>
        <w:tc>
          <w:tcPr>
            <w:tcW w:w="726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Acquisition capital </w:t>
            </w:r>
          </w:p>
        </w:tc>
        <w:tc>
          <w:tcPr>
            <w:tcW w:w="212"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2"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1,657</w:t>
            </w:r>
          </w:p>
        </w:tc>
        <w:tc>
          <w:tcPr>
            <w:tcW w:w="113" w:type="dxa"/>
            <w:tcBorders/>
            <w:shd w:fill="CCEEFF" w:val="clear"/>
            <w:vAlign w:val="bottom"/>
          </w:tcPr>
          <w:p>
            <w:pPr>
              <w:pStyle w:val="TableContents"/>
              <w:spacing w:before="0" w:after="0"/>
              <w:ind w:left="0" w:right="0" w:hanging="0"/>
              <w:rPr/>
            </w:pPr>
            <w:r>
              <w:rPr/>
              <w:t> </w:t>
            </w:r>
          </w:p>
        </w:tc>
      </w:tr>
      <w:tr>
        <w:trPr/>
        <w:tc>
          <w:tcPr>
            <w:tcW w:w="72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Internal growth projects </w:t>
            </w:r>
          </w:p>
        </w:tc>
        <w:tc>
          <w:tcPr>
            <w:tcW w:w="212" w:type="dxa"/>
            <w:tcBorders/>
            <w:shd w:fill="auto" w:val="clear"/>
            <w:vAlign w:val="bottom"/>
          </w:tcPr>
          <w:p>
            <w:pPr>
              <w:pStyle w:val="TableContents"/>
              <w:spacing w:before="0" w:after="0"/>
              <w:ind w:left="0" w:right="0" w:hanging="0"/>
              <w:rPr/>
            </w:pPr>
            <w:r>
              <w:rPr/>
              <w:t> </w:t>
            </w:r>
          </w:p>
        </w:tc>
        <w:tc>
          <w:tcPr>
            <w:tcW w:w="12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1,253</w:t>
            </w:r>
          </w:p>
        </w:tc>
        <w:tc>
          <w:tcPr>
            <w:tcW w:w="212"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831</w:t>
            </w:r>
          </w:p>
        </w:tc>
        <w:tc>
          <w:tcPr>
            <w:tcW w:w="113" w:type="dxa"/>
            <w:tcBorders/>
            <w:shd w:fill="auto" w:val="clear"/>
            <w:vAlign w:val="bottom"/>
          </w:tcPr>
          <w:p>
            <w:pPr>
              <w:pStyle w:val="TableContents"/>
              <w:spacing w:before="0" w:after="0"/>
              <w:ind w:left="0" w:right="0" w:hanging="0"/>
              <w:rPr/>
            </w:pPr>
            <w:r>
              <w:rPr/>
              <w:t> </w:t>
            </w:r>
          </w:p>
        </w:tc>
      </w:tr>
      <w:tr>
        <w:trPr/>
        <w:tc>
          <w:tcPr>
            <w:tcW w:w="726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w:t>
            </w:r>
          </w:p>
        </w:tc>
        <w:tc>
          <w:tcPr>
            <w:tcW w:w="212" w:type="dxa"/>
            <w:tcBorders/>
            <w:shd w:fill="CCEEFF" w:val="clear"/>
            <w:vAlign w:val="bottom"/>
          </w:tcPr>
          <w:p>
            <w:pPr>
              <w:pStyle w:val="TableContents"/>
              <w:spacing w:before="0" w:after="0"/>
              <w:ind w:left="0" w:right="0" w:hanging="0"/>
              <w:rPr/>
            </w:pPr>
            <w:r>
              <w:rPr/>
              <w:t> </w:t>
            </w:r>
          </w:p>
        </w:tc>
        <w:tc>
          <w:tcPr>
            <w:tcW w:w="12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2" w:type="dxa"/>
            <w:tcBorders/>
            <w:shd w:fill="CCEEFF"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13" w:type="dxa"/>
            <w:tcBorders/>
            <w:shd w:fill="CCEEFF" w:val="clear"/>
            <w:vAlign w:val="bottom"/>
          </w:tcPr>
          <w:p>
            <w:pPr>
              <w:pStyle w:val="TableContents"/>
              <w:spacing w:before="0" w:after="0"/>
              <w:ind w:left="0" w:right="0" w:hanging="0"/>
              <w:rPr/>
            </w:pPr>
            <w:r>
              <w:rPr/>
              <w:t> </w:t>
            </w:r>
          </w:p>
        </w:tc>
      </w:tr>
      <w:tr>
        <w:trPr/>
        <w:tc>
          <w:tcPr>
            <w:tcW w:w="72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w:t>
            </w:r>
          </w:p>
        </w:tc>
        <w:tc>
          <w:tcPr>
            <w:tcW w:w="212"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1,396</w:t>
            </w:r>
          </w:p>
        </w:tc>
        <w:tc>
          <w:tcPr>
            <w:tcW w:w="212"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2,611</w:t>
            </w:r>
          </w:p>
        </w:tc>
        <w:tc>
          <w:tcPr>
            <w:tcW w:w="11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more notable projects in progress during 2013 and the forecasted expenditures for the year ending December 31, 2013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353"/>
        <w:gridCol w:w="205"/>
        <w:gridCol w:w="1545"/>
        <w:gridCol w:w="102"/>
      </w:tblGrid>
      <w:tr>
        <w:trPr/>
        <w:tc>
          <w:tcPr>
            <w:tcW w:w="835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Projects</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154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2" w:type="dxa"/>
            <w:tcBorders/>
            <w:shd w:fill="auto" w:val="clear"/>
            <w:tcMar>
              <w:bottom w:w="0" w:type="dxa"/>
            </w:tcMar>
            <w:vAlign w:val="bottom"/>
          </w:tcPr>
          <w:p>
            <w:pPr>
              <w:pStyle w:val="TableContents"/>
              <w:spacing w:before="0" w:after="0"/>
              <w:ind w:left="0" w:right="0" w:hanging="0"/>
              <w:jc w:val="center"/>
              <w:rPr/>
            </w:pPr>
            <w:r>
              <w:rPr/>
              <w:t> </w:t>
            </w:r>
          </w:p>
        </w:tc>
      </w:tr>
      <w:tr>
        <w:trPr/>
        <w:tc>
          <w:tcPr>
            <w:tcW w:w="83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Mississippian Lime Pipeline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$175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Rainbow II Pipeline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Gulf Coast Pipeline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Yorktown Terminal Projects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110</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Eagle Ford Area Pipeline Projects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3"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Rail Terminal Projects </w:t>
            </w:r>
            <w:r>
              <w:rPr>
                <w:sz w:val="11"/>
              </w:rPr>
              <w:t xml:space="preserve">(1)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85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White Cliffs Expansion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Cactus Pipeline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70</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Eagle Ford JV Project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Fort Saskatchewan Facility Expansions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St. James Terminal Projects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Western Oklahoma Extension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Spraberry Area Pipeline Projects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PAA Natural Gas Storage (Multiple Projects)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44</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Cushing Terminal Projects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3"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Gulf Coast Gas Processing Facility Enhancements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Shafter Expansion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3"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Other Projects </w:t>
            </w:r>
            <w:r>
              <w:rPr>
                <w:sz w:val="11"/>
              </w:rPr>
              <w:t xml:space="preserve">(2)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376</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3" w:type="dxa"/>
            <w:tcBorders/>
            <w:shd w:fill="CCEEFF" w:val="clear"/>
            <w:tcMar>
              <w:bottom w:w="0" w:type="dxa"/>
            </w:tcMar>
            <w:vAlign w:val="bottom"/>
          </w:tcPr>
          <w:p>
            <w:pPr>
              <w:pStyle w:val="TableContents"/>
              <w:spacing w:before="0" w:after="0"/>
              <w:ind w:left="0" w:right="0" w:hanging="0"/>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$1,650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353"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Potential Adjustments for Timing/Scope Refinement </w:t>
            </w:r>
            <w:r>
              <w:rPr>
                <w:sz w:val="11"/>
              </w:rPr>
              <w:t xml:space="preserve">(3)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5"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 + $75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35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Projected Expansion Capital Expenditures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5" w:type="dxa"/>
            <w:tcBorders>
              <w:bottom w:val="double" w:sz="6" w:space="0" w:color="000000"/>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$1,600 - $1,725</w:t>
            </w:r>
          </w:p>
        </w:tc>
        <w:tc>
          <w:tcPr>
            <w:tcW w:w="102"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projects located at or near Tampa, CO, Bakersfield, CA and Van Hook, 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Primarily multiple, smaller projects comprised of pipeline connections, upgrades and truck stations, new tank construction and refurbishing, pipeline linefill purchases and carry-over of capital from prior year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59" w:name="PB_33_153208_2897"/>
      <w:bookmarkEnd w:id="5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17 to our 2012 Consolidated Financial Statements included in the Final Prospectus for further discussion of how we evaluate segment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an overview of our consolidated financial results calculated in accordance with GAAP (in millions, except for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030"/>
        <w:gridCol w:w="183"/>
        <w:gridCol w:w="163"/>
        <w:gridCol w:w="681"/>
        <w:gridCol w:w="213"/>
        <w:gridCol w:w="163"/>
        <w:gridCol w:w="682"/>
        <w:gridCol w:w="195"/>
        <w:gridCol w:w="154"/>
        <w:gridCol w:w="592"/>
        <w:gridCol w:w="206"/>
        <w:gridCol w:w="638"/>
        <w:gridCol w:w="313"/>
        <w:gridCol w:w="109"/>
        <w:gridCol w:w="163"/>
        <w:gridCol w:w="681"/>
        <w:gridCol w:w="213"/>
        <w:gridCol w:w="163"/>
        <w:gridCol w:w="682"/>
        <w:gridCol w:w="195"/>
        <w:gridCol w:w="176"/>
        <w:gridCol w:w="474"/>
        <w:gridCol w:w="216"/>
        <w:gridCol w:w="667"/>
        <w:gridCol w:w="253"/>
      </w:tblGrid>
      <w:tr>
        <w:trPr/>
        <w:tc>
          <w:tcPr>
            <w:tcW w:w="2030"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190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5" w:type="dxa"/>
            <w:tcBorders/>
            <w:shd w:fill="auto" w:val="clear"/>
            <w:vAlign w:val="bottom"/>
          </w:tcPr>
          <w:p>
            <w:pPr>
              <w:pStyle w:val="TableContents"/>
              <w:spacing w:before="0" w:after="0"/>
              <w:ind w:left="0" w:right="0" w:hanging="0"/>
              <w:jc w:val="center"/>
              <w:rPr/>
            </w:pPr>
            <w:r>
              <w:rPr/>
              <w:t> </w:t>
            </w:r>
          </w:p>
        </w:tc>
        <w:tc>
          <w:tcPr>
            <w:tcW w:w="159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422" w:type="dxa"/>
            <w:gridSpan w:val="2"/>
            <w:tcBorders/>
            <w:shd w:fill="auto" w:val="clear"/>
            <w:vAlign w:val="bottom"/>
          </w:tcPr>
          <w:p>
            <w:pPr>
              <w:pStyle w:val="TableContents"/>
              <w:spacing w:before="0" w:after="0"/>
              <w:ind w:left="0" w:right="0" w:hanging="0"/>
              <w:jc w:val="center"/>
              <w:rPr/>
            </w:pPr>
            <w:r>
              <w:rPr/>
              <w:t> </w:t>
            </w:r>
          </w:p>
        </w:tc>
        <w:tc>
          <w:tcPr>
            <w:tcW w:w="190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95" w:type="dxa"/>
            <w:tcBorders/>
            <w:shd w:fill="auto" w:val="clear"/>
            <w:vAlign w:val="bottom"/>
          </w:tcPr>
          <w:p>
            <w:pPr>
              <w:pStyle w:val="TableContents"/>
              <w:spacing w:before="0" w:after="0"/>
              <w:ind w:left="0" w:right="0" w:hanging="0"/>
              <w:jc w:val="center"/>
              <w:rPr/>
            </w:pPr>
            <w:r>
              <w:rPr/>
              <w:t> </w:t>
            </w:r>
          </w:p>
        </w:tc>
        <w:tc>
          <w:tcPr>
            <w:tcW w:w="153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253" w:type="dxa"/>
            <w:tcBorders/>
            <w:shd w:fill="auto" w:val="clear"/>
            <w:vAlign w:val="bottom"/>
          </w:tcPr>
          <w:p>
            <w:pPr>
              <w:pStyle w:val="TableContents"/>
              <w:spacing w:before="0" w:after="0"/>
              <w:ind w:left="0" w:right="0" w:hanging="0"/>
              <w:jc w:val="center"/>
              <w:rPr/>
            </w:pPr>
            <w:r>
              <w:rPr/>
              <w:t> </w:t>
            </w:r>
          </w:p>
        </w:tc>
      </w:tr>
      <w:tr>
        <w:trPr/>
        <w:tc>
          <w:tcPr>
            <w:tcW w:w="2030"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190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5" w:type="dxa"/>
            <w:tcBorders/>
            <w:shd w:fill="auto" w:val="clear"/>
            <w:vAlign w:val="bottom"/>
          </w:tcPr>
          <w:p>
            <w:pPr>
              <w:pStyle w:val="TableContents"/>
              <w:spacing w:before="0" w:after="0"/>
              <w:ind w:left="0" w:right="0" w:hanging="0"/>
              <w:jc w:val="center"/>
              <w:rPr/>
            </w:pPr>
            <w:r>
              <w:rPr/>
              <w:t> </w:t>
            </w:r>
          </w:p>
        </w:tc>
        <w:tc>
          <w:tcPr>
            <w:tcW w:w="159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422" w:type="dxa"/>
            <w:gridSpan w:val="2"/>
            <w:tcBorders/>
            <w:shd w:fill="auto" w:val="clear"/>
            <w:vAlign w:val="bottom"/>
          </w:tcPr>
          <w:p>
            <w:pPr>
              <w:pStyle w:val="TableContents"/>
              <w:spacing w:before="0" w:after="0"/>
              <w:ind w:left="0" w:right="0" w:hanging="0"/>
              <w:jc w:val="center"/>
              <w:rPr/>
            </w:pPr>
            <w:r>
              <w:rPr/>
              <w:t> </w:t>
            </w:r>
          </w:p>
        </w:tc>
        <w:tc>
          <w:tcPr>
            <w:tcW w:w="190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5" w:type="dxa"/>
            <w:tcBorders/>
            <w:shd w:fill="auto" w:val="clear"/>
            <w:vAlign w:val="bottom"/>
          </w:tcPr>
          <w:p>
            <w:pPr>
              <w:pStyle w:val="TableContents"/>
              <w:spacing w:before="0" w:after="0"/>
              <w:ind w:left="0" w:right="0" w:hanging="0"/>
              <w:jc w:val="center"/>
              <w:rPr/>
            </w:pPr>
            <w:r>
              <w:rPr/>
              <w:t> </w:t>
            </w:r>
          </w:p>
        </w:tc>
        <w:tc>
          <w:tcPr>
            <w:tcW w:w="153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53" w:type="dxa"/>
            <w:tcBorders/>
            <w:shd w:fill="auto" w:val="clear"/>
            <w:vAlign w:val="bottom"/>
          </w:tcPr>
          <w:p>
            <w:pPr>
              <w:pStyle w:val="TableContents"/>
              <w:spacing w:before="0" w:after="0"/>
              <w:ind w:left="0" w:right="0" w:hanging="0"/>
              <w:jc w:val="center"/>
              <w:rPr/>
            </w:pPr>
            <w:r>
              <w:rPr/>
              <w:t> </w:t>
            </w:r>
          </w:p>
        </w:tc>
      </w:tr>
      <w:tr>
        <w:trPr/>
        <w:tc>
          <w:tcPr>
            <w:tcW w:w="2030"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8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4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5" w:type="dxa"/>
            <w:tcBorders/>
            <w:shd w:fill="auto" w:val="clear"/>
            <w:vAlign w:val="bottom"/>
          </w:tcPr>
          <w:p>
            <w:pPr>
              <w:pStyle w:val="TableContents"/>
              <w:spacing w:before="0" w:after="0"/>
              <w:ind w:left="0" w:right="0" w:hanging="0"/>
              <w:jc w:val="center"/>
              <w:rPr/>
            </w:pPr>
            <w:r>
              <w:rPr/>
              <w:t> </w:t>
            </w:r>
          </w:p>
        </w:tc>
        <w:tc>
          <w:tcPr>
            <w:tcW w:w="7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422" w:type="dxa"/>
            <w:gridSpan w:val="2"/>
            <w:tcBorders/>
            <w:shd w:fill="auto" w:val="clear"/>
            <w:vAlign w:val="bottom"/>
          </w:tcPr>
          <w:p>
            <w:pPr>
              <w:pStyle w:val="TableContents"/>
              <w:spacing w:before="0" w:after="0"/>
              <w:ind w:left="0" w:right="0" w:hanging="0"/>
              <w:jc w:val="center"/>
              <w:rPr/>
            </w:pPr>
            <w:r>
              <w:rPr/>
              <w:t> </w:t>
            </w:r>
          </w:p>
        </w:tc>
        <w:tc>
          <w:tcPr>
            <w:tcW w:w="8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4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5" w:type="dxa"/>
            <w:tcBorders/>
            <w:shd w:fill="auto" w:val="clear"/>
            <w:vAlign w:val="bottom"/>
          </w:tcPr>
          <w:p>
            <w:pPr>
              <w:pStyle w:val="TableContents"/>
              <w:spacing w:before="0" w:after="0"/>
              <w:ind w:left="0" w:right="0" w:hanging="0"/>
              <w:jc w:val="center"/>
              <w:rPr/>
            </w:pPr>
            <w:r>
              <w:rPr/>
              <w:t> </w:t>
            </w:r>
          </w:p>
        </w:tc>
        <w:tc>
          <w:tcPr>
            <w:tcW w:w="6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53" w:type="dxa"/>
            <w:tcBorders/>
            <w:shd w:fill="auto" w:val="clear"/>
            <w:vAlign w:val="bottom"/>
          </w:tcPr>
          <w:p>
            <w:pPr>
              <w:pStyle w:val="TableContents"/>
              <w:spacing w:before="0" w:after="0"/>
              <w:ind w:left="0" w:right="0" w:hanging="0"/>
              <w:jc w:val="center"/>
              <w:rPr/>
            </w:pPr>
            <w:r>
              <w:rPr/>
              <w:t> </w:t>
            </w:r>
          </w:p>
        </w:tc>
      </w:tr>
      <w:tr>
        <w:trPr/>
        <w:tc>
          <w:tcPr>
            <w:tcW w:w="20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segment profit </w:t>
            </w:r>
          </w:p>
        </w:tc>
        <w:tc>
          <w:tcPr>
            <w:tcW w:w="183"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213"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95"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6" w:type="dxa"/>
            <w:tcBorders/>
            <w:shd w:fill="CCEEFF" w:val="clear"/>
            <w:vAlign w:val="bottom"/>
          </w:tcPr>
          <w:p>
            <w:pPr>
              <w:pStyle w:val="TableContents"/>
              <w:spacing w:before="0" w:after="0"/>
              <w:ind w:left="0" w:right="0" w:hanging="0"/>
              <w:rPr/>
            </w:pPr>
            <w:r>
              <w:rPr/>
              <w:t> </w:t>
            </w:r>
          </w:p>
        </w:tc>
        <w:tc>
          <w:tcPr>
            <w:tcW w:w="6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1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213"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95"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CCEEFF" w:val="clear"/>
            <w:vAlign w:val="bottom"/>
          </w:tcPr>
          <w:p>
            <w:pPr>
              <w:pStyle w:val="TableContents"/>
              <w:spacing w:before="0" w:after="0"/>
              <w:ind w:left="0" w:right="0" w:hanging="0"/>
              <w:rPr/>
            </w:pPr>
            <w:r>
              <w:rPr/>
              <w:t> </w:t>
            </w:r>
          </w:p>
        </w:tc>
        <w:tc>
          <w:tcPr>
            <w:tcW w:w="6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segment profit </w:t>
            </w:r>
          </w:p>
        </w:tc>
        <w:tc>
          <w:tcPr>
            <w:tcW w:w="183" w:type="dxa"/>
            <w:tcBorders/>
            <w:shd w:fill="auto" w:val="clear"/>
            <w:vAlign w:val="bottom"/>
          </w:tcPr>
          <w:p>
            <w:pPr>
              <w:pStyle w:val="TableContents"/>
              <w:spacing w:before="0" w:after="0"/>
              <w:ind w:left="0" w:right="0" w:hanging="0"/>
              <w:rPr/>
            </w:pPr>
            <w:r>
              <w:rPr/>
              <w:t> </w:t>
            </w:r>
          </w:p>
        </w:tc>
        <w:tc>
          <w:tcPr>
            <w:tcW w:w="8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13"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95" w:type="dxa"/>
            <w:tcBorders/>
            <w:shd w:fill="auto" w:val="clear"/>
            <w:vAlign w:val="bottom"/>
          </w:tcPr>
          <w:p>
            <w:pPr>
              <w:pStyle w:val="TableContents"/>
              <w:spacing w:before="0" w:after="0"/>
              <w:ind w:left="0" w:right="0" w:hanging="0"/>
              <w:rPr/>
            </w:pPr>
            <w:r>
              <w:rPr/>
              <w:t> </w:t>
            </w:r>
          </w:p>
        </w:tc>
        <w:tc>
          <w:tcPr>
            <w:tcW w:w="7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6" w:type="dxa"/>
            <w:tcBorders/>
            <w:shd w:fill="auto" w:val="clear"/>
            <w:vAlign w:val="bottom"/>
          </w:tcPr>
          <w:p>
            <w:pPr>
              <w:pStyle w:val="TableContents"/>
              <w:spacing w:before="0" w:after="0"/>
              <w:ind w:left="0" w:right="0" w:hanging="0"/>
              <w:rPr/>
            </w:pPr>
            <w:r>
              <w:rPr/>
              <w:t> </w:t>
            </w:r>
          </w:p>
        </w:tc>
        <w:tc>
          <w:tcPr>
            <w:tcW w:w="6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1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8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213"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95" w:type="dxa"/>
            <w:tcBorders/>
            <w:shd w:fill="auto" w:val="clear"/>
            <w:vAlign w:val="bottom"/>
          </w:tcPr>
          <w:p>
            <w:pPr>
              <w:pStyle w:val="TableContents"/>
              <w:spacing w:before="0" w:after="0"/>
              <w:ind w:left="0" w:right="0" w:hanging="0"/>
              <w:rPr/>
            </w:pPr>
            <w:r>
              <w:rPr/>
              <w:t> </w:t>
            </w:r>
          </w:p>
        </w:tc>
        <w:tc>
          <w:tcPr>
            <w:tcW w:w="6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16" w:type="dxa"/>
            <w:tcBorders/>
            <w:shd w:fill="auto" w:val="clear"/>
            <w:vAlign w:val="bottom"/>
          </w:tcPr>
          <w:p>
            <w:pPr>
              <w:pStyle w:val="TableContents"/>
              <w:spacing w:before="0" w:after="0"/>
              <w:ind w:left="0" w:right="0" w:hanging="0"/>
              <w:rPr/>
            </w:pPr>
            <w:r>
              <w:rPr/>
              <w:t> </w:t>
            </w:r>
          </w:p>
        </w:tc>
        <w:tc>
          <w:tcPr>
            <w:tcW w:w="6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Supply and Logistics segment profit </w:t>
            </w:r>
          </w:p>
        </w:tc>
        <w:tc>
          <w:tcPr>
            <w:tcW w:w="183" w:type="dxa"/>
            <w:tcBorders/>
            <w:shd w:fill="CCEEFF" w:val="clear"/>
            <w:vAlign w:val="bottom"/>
          </w:tcPr>
          <w:p>
            <w:pPr>
              <w:pStyle w:val="TableContents"/>
              <w:spacing w:before="0" w:after="0"/>
              <w:ind w:left="0" w:right="0" w:hanging="0"/>
              <w:rPr/>
            </w:pPr>
            <w:r>
              <w:rPr/>
              <w:t> </w:t>
            </w:r>
          </w:p>
        </w:tc>
        <w:tc>
          <w:tcPr>
            <w:tcW w:w="8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13" w:type="dxa"/>
            <w:tcBorders/>
            <w:shd w:fill="CCEEFF"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95" w:type="dxa"/>
            <w:tcBorders/>
            <w:shd w:fill="CCEEFF" w:val="clear"/>
            <w:vAlign w:val="bottom"/>
          </w:tcPr>
          <w:p>
            <w:pPr>
              <w:pStyle w:val="TableContents"/>
              <w:spacing w:before="0" w:after="0"/>
              <w:ind w:left="0" w:right="0" w:hanging="0"/>
              <w:rPr/>
            </w:pPr>
            <w:r>
              <w:rPr/>
              <w:t> </w:t>
            </w:r>
          </w:p>
        </w:tc>
        <w:tc>
          <w:tcPr>
            <w:tcW w:w="7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31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8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673</w:t>
            </w:r>
          </w:p>
        </w:tc>
        <w:tc>
          <w:tcPr>
            <w:tcW w:w="213" w:type="dxa"/>
            <w:tcBorders/>
            <w:shd w:fill="CCEEFF" w:val="clear"/>
            <w:vAlign w:val="bottom"/>
          </w:tcPr>
          <w:p>
            <w:pPr>
              <w:pStyle w:val="TableContents"/>
              <w:spacing w:before="0" w:after="0"/>
              <w:ind w:left="0" w:right="0" w:hanging="0"/>
              <w:rPr/>
            </w:pPr>
            <w:r>
              <w:rPr/>
              <w:t> </w:t>
            </w:r>
          </w:p>
        </w:tc>
        <w:tc>
          <w:tcPr>
            <w:tcW w:w="8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95" w:type="dxa"/>
            <w:tcBorders/>
            <w:shd w:fill="CCEEFF" w:val="clear"/>
            <w:vAlign w:val="bottom"/>
          </w:tcPr>
          <w:p>
            <w:pPr>
              <w:pStyle w:val="TableContents"/>
              <w:spacing w:before="0" w:after="0"/>
              <w:ind w:left="0" w:right="0" w:hanging="0"/>
              <w:rPr/>
            </w:pPr>
            <w:r>
              <w:rPr/>
              <w:t> </w:t>
            </w:r>
          </w:p>
        </w:tc>
        <w:tc>
          <w:tcPr>
            <w:tcW w:w="6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16" w:type="dxa"/>
            <w:tcBorders/>
            <w:shd w:fill="CCEEFF" w:val="clear"/>
            <w:vAlign w:val="bottom"/>
          </w:tcPr>
          <w:p>
            <w:pPr>
              <w:pStyle w:val="TableContents"/>
              <w:spacing w:before="0" w:after="0"/>
              <w:ind w:left="0" w:right="0" w:hanging="0"/>
              <w:rPr/>
            </w:pPr>
            <w:r>
              <w:rPr/>
              <w:t> </w:t>
            </w:r>
          </w:p>
        </w:tc>
        <w:tc>
          <w:tcPr>
            <w:tcW w:w="66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segment profit </w:t>
            </w:r>
          </w:p>
        </w:tc>
        <w:tc>
          <w:tcPr>
            <w:tcW w:w="183" w:type="dxa"/>
            <w:tcBorders/>
            <w:shd w:fill="auto" w:val="clear"/>
            <w:vAlign w:val="bottom"/>
          </w:tcPr>
          <w:p>
            <w:pPr>
              <w:pStyle w:val="TableContents"/>
              <w:spacing w:before="0" w:after="0"/>
              <w:ind w:left="0" w:right="0" w:hanging="0"/>
              <w:rPr/>
            </w:pPr>
            <w:r>
              <w:rPr/>
              <w:t> </w:t>
            </w:r>
          </w:p>
        </w:tc>
        <w:tc>
          <w:tcPr>
            <w:tcW w:w="8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213"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195" w:type="dxa"/>
            <w:tcBorders/>
            <w:shd w:fill="auto" w:val="clear"/>
            <w:vAlign w:val="bottom"/>
          </w:tcPr>
          <w:p>
            <w:pPr>
              <w:pStyle w:val="TableContents"/>
              <w:spacing w:before="0" w:after="0"/>
              <w:ind w:left="0" w:right="0" w:hanging="0"/>
              <w:rPr/>
            </w:pPr>
            <w:r>
              <w:rPr/>
              <w:t> </w:t>
            </w:r>
          </w:p>
        </w:tc>
        <w:tc>
          <w:tcPr>
            <w:tcW w:w="7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31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8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1,640</w:t>
            </w:r>
          </w:p>
        </w:tc>
        <w:tc>
          <w:tcPr>
            <w:tcW w:w="213" w:type="dxa"/>
            <w:tcBorders/>
            <w:shd w:fill="auto" w:val="clear"/>
            <w:vAlign w:val="bottom"/>
          </w:tcPr>
          <w:p>
            <w:pPr>
              <w:pStyle w:val="TableContents"/>
              <w:spacing w:before="0" w:after="0"/>
              <w:ind w:left="0" w:right="0" w:hanging="0"/>
              <w:rPr/>
            </w:pPr>
            <w:r>
              <w:rPr/>
              <w:t> </w:t>
            </w:r>
          </w:p>
        </w:tc>
        <w:tc>
          <w:tcPr>
            <w:tcW w:w="8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1,404</w:t>
            </w:r>
          </w:p>
        </w:tc>
        <w:tc>
          <w:tcPr>
            <w:tcW w:w="195" w:type="dxa"/>
            <w:tcBorders/>
            <w:shd w:fill="auto" w:val="clear"/>
            <w:vAlign w:val="bottom"/>
          </w:tcPr>
          <w:p>
            <w:pPr>
              <w:pStyle w:val="TableContents"/>
              <w:spacing w:before="0" w:after="0"/>
              <w:ind w:left="0" w:right="0" w:hanging="0"/>
              <w:rPr/>
            </w:pPr>
            <w:r>
              <w:rPr/>
              <w:t> </w:t>
            </w:r>
          </w:p>
        </w:tc>
        <w:tc>
          <w:tcPr>
            <w:tcW w:w="6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6" w:type="dxa"/>
            <w:tcBorders/>
            <w:shd w:fill="auto" w:val="clear"/>
            <w:vAlign w:val="bottom"/>
          </w:tcPr>
          <w:p>
            <w:pPr>
              <w:pStyle w:val="TableContents"/>
              <w:spacing w:before="0" w:after="0"/>
              <w:ind w:left="0" w:right="0" w:hanging="0"/>
              <w:rPr/>
            </w:pPr>
            <w:r>
              <w:rPr/>
              <w:t> </w:t>
            </w:r>
          </w:p>
        </w:tc>
        <w:tc>
          <w:tcPr>
            <w:tcW w:w="6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83" w:type="dxa"/>
            <w:tcBorders/>
            <w:shd w:fill="CCEEFF" w:val="clear"/>
            <w:vAlign w:val="bottom"/>
          </w:tcPr>
          <w:p>
            <w:pPr>
              <w:pStyle w:val="TableContents"/>
              <w:spacing w:before="0" w:after="0"/>
              <w:ind w:left="0" w:right="0" w:hanging="0"/>
              <w:rPr/>
            </w:pPr>
            <w:r>
              <w:rPr/>
              <w:t> </w:t>
            </w:r>
          </w:p>
        </w:tc>
        <w:tc>
          <w:tcPr>
            <w:tcW w:w="8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06" w:type="dxa"/>
            <w:tcBorders/>
            <w:shd w:fill="CCEEFF" w:val="clear"/>
            <w:vAlign w:val="bottom"/>
          </w:tcPr>
          <w:p>
            <w:pPr>
              <w:pStyle w:val="TableContents"/>
              <w:spacing w:before="0" w:after="0"/>
              <w:ind w:left="0" w:right="0" w:hanging="0"/>
              <w:rPr/>
            </w:pPr>
            <w:r>
              <w:rPr/>
              <w:t> </w:t>
            </w:r>
          </w:p>
        </w:tc>
        <w:tc>
          <w:tcPr>
            <w:tcW w:w="6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31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8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16" w:type="dxa"/>
            <w:tcBorders/>
            <w:shd w:fill="CCEEFF" w:val="clear"/>
            <w:vAlign w:val="bottom"/>
          </w:tcPr>
          <w:p>
            <w:pPr>
              <w:pStyle w:val="TableContents"/>
              <w:spacing w:before="0" w:after="0"/>
              <w:ind w:left="0" w:right="0" w:hanging="0"/>
              <w:rPr/>
            </w:pPr>
            <w:r>
              <w:rPr/>
              <w:t> </w:t>
            </w:r>
          </w:p>
        </w:tc>
        <w:tc>
          <w:tcPr>
            <w:tcW w:w="6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183" w:type="dxa"/>
            <w:tcBorders/>
            <w:shd w:fill="auto" w:val="clear"/>
            <w:vAlign w:val="bottom"/>
          </w:tcPr>
          <w:p>
            <w:pPr>
              <w:pStyle w:val="TableContents"/>
              <w:spacing w:before="0" w:after="0"/>
              <w:ind w:left="0" w:right="0" w:hanging="0"/>
              <w:rPr/>
            </w:pPr>
            <w:r>
              <w:rPr/>
              <w:t> </w:t>
            </w:r>
          </w:p>
        </w:tc>
        <w:tc>
          <w:tcPr>
            <w:tcW w:w="8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6" w:type="dxa"/>
            <w:tcBorders/>
            <w:shd w:fill="auto" w:val="clear"/>
            <w:vAlign w:val="bottom"/>
          </w:tcPr>
          <w:p>
            <w:pPr>
              <w:pStyle w:val="TableContents"/>
              <w:spacing w:before="0" w:after="0"/>
              <w:ind w:left="0" w:right="0" w:hanging="0"/>
              <w:rPr/>
            </w:pPr>
            <w:r>
              <w:rPr/>
              <w:t> </w:t>
            </w:r>
          </w:p>
        </w:tc>
        <w:tc>
          <w:tcPr>
            <w:tcW w:w="6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1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8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83" w:type="dxa"/>
            <w:tcBorders/>
            <w:shd w:fill="CCEEFF" w:val="clear"/>
            <w:vAlign w:val="bottom"/>
          </w:tcPr>
          <w:p>
            <w:pPr>
              <w:pStyle w:val="TableContents"/>
              <w:spacing w:before="0" w:after="0"/>
              <w:ind w:left="0" w:right="0" w:hanging="0"/>
              <w:rPr/>
            </w:pPr>
            <w:r>
              <w:rPr/>
              <w:t> </w:t>
            </w:r>
          </w:p>
        </w:tc>
        <w:tc>
          <w:tcPr>
            <w:tcW w:w="8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3"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5" w:type="dxa"/>
            <w:tcBorders/>
            <w:shd w:fill="CCEEFF" w:val="clear"/>
            <w:vAlign w:val="bottom"/>
          </w:tcPr>
          <w:p>
            <w:pPr>
              <w:pStyle w:val="TableContents"/>
              <w:spacing w:before="0" w:after="0"/>
              <w:ind w:left="0" w:right="0" w:hanging="0"/>
              <w:rPr/>
            </w:pPr>
            <w:r>
              <w:rPr/>
              <w:t> </w:t>
            </w:r>
          </w:p>
        </w:tc>
        <w:tc>
          <w:tcPr>
            <w:tcW w:w="7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31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8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5" w:type="dxa"/>
            <w:tcBorders/>
            <w:shd w:fill="CCEEFF" w:val="clear"/>
            <w:vAlign w:val="bottom"/>
          </w:tcPr>
          <w:p>
            <w:pPr>
              <w:pStyle w:val="TableContents"/>
              <w:spacing w:before="0" w:after="0"/>
              <w:ind w:left="0" w:right="0" w:hanging="0"/>
              <w:rPr/>
            </w:pPr>
            <w:r>
              <w:rPr/>
              <w:t> </w:t>
            </w:r>
          </w:p>
        </w:tc>
        <w:tc>
          <w:tcPr>
            <w:tcW w:w="6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83" w:type="dxa"/>
            <w:tcBorders/>
            <w:shd w:fill="auto" w:val="clear"/>
            <w:vAlign w:val="bottom"/>
          </w:tcPr>
          <w:p>
            <w:pPr>
              <w:pStyle w:val="TableContents"/>
              <w:spacing w:before="0" w:after="0"/>
              <w:ind w:left="0" w:right="0" w:hanging="0"/>
              <w:rPr/>
            </w:pPr>
            <w:r>
              <w:rPr/>
              <w:t> </w:t>
            </w:r>
          </w:p>
        </w:tc>
        <w:tc>
          <w:tcPr>
            <w:tcW w:w="8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6" w:type="dxa"/>
            <w:tcBorders/>
            <w:shd w:fill="auto" w:val="clear"/>
            <w:vAlign w:val="bottom"/>
          </w:tcPr>
          <w:p>
            <w:pPr>
              <w:pStyle w:val="TableContents"/>
              <w:spacing w:before="0" w:after="0"/>
              <w:ind w:left="0" w:right="0" w:hanging="0"/>
              <w:rPr/>
            </w:pPr>
            <w:r>
              <w:rPr/>
              <w:t> </w:t>
            </w:r>
          </w:p>
        </w:tc>
        <w:tc>
          <w:tcPr>
            <w:tcW w:w="63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31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8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83" w:type="dxa"/>
            <w:tcBorders/>
            <w:shd w:fill="CCEEFF" w:val="clear"/>
            <w:vAlign w:val="bottom"/>
          </w:tcPr>
          <w:p>
            <w:pPr>
              <w:pStyle w:val="TableContents"/>
              <w:spacing w:before="0" w:after="0"/>
              <w:ind w:left="0" w:right="0" w:hanging="0"/>
              <w:rPr/>
            </w:pPr>
            <w:r>
              <w:rPr/>
              <w:t> </w:t>
            </w:r>
          </w:p>
        </w:tc>
        <w:tc>
          <w:tcPr>
            <w:tcW w:w="8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3"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195" w:type="dxa"/>
            <w:tcBorders/>
            <w:shd w:fill="CCEEFF" w:val="clear"/>
            <w:vAlign w:val="bottom"/>
          </w:tcPr>
          <w:p>
            <w:pPr>
              <w:pStyle w:val="TableContents"/>
              <w:spacing w:before="0" w:after="0"/>
              <w:ind w:left="0" w:right="0" w:hanging="0"/>
              <w:rPr/>
            </w:pPr>
            <w:r>
              <w:rPr/>
              <w:t> </w:t>
            </w:r>
          </w:p>
        </w:tc>
        <w:tc>
          <w:tcPr>
            <w:tcW w:w="7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06" w:type="dxa"/>
            <w:tcBorders/>
            <w:shd w:fill="CCEEFF" w:val="clear"/>
            <w:vAlign w:val="bottom"/>
          </w:tcPr>
          <w:p>
            <w:pPr>
              <w:pStyle w:val="TableContents"/>
              <w:spacing w:before="0" w:after="0"/>
              <w:ind w:left="0" w:right="0" w:hanging="0"/>
              <w:rPr/>
            </w:pPr>
            <w:r>
              <w:rPr/>
              <w:t> </w:t>
            </w:r>
          </w:p>
        </w:tc>
        <w:tc>
          <w:tcPr>
            <w:tcW w:w="6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31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8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1,070</w:t>
            </w:r>
          </w:p>
        </w:tc>
        <w:tc>
          <w:tcPr>
            <w:tcW w:w="213" w:type="dxa"/>
            <w:tcBorders/>
            <w:shd w:fill="CCEEFF" w:val="clear"/>
            <w:vAlign w:val="bottom"/>
          </w:tcPr>
          <w:p>
            <w:pPr>
              <w:pStyle w:val="TableContents"/>
              <w:spacing w:before="0" w:after="0"/>
              <w:ind w:left="0" w:right="0" w:hanging="0"/>
              <w:rPr/>
            </w:pPr>
            <w:r>
              <w:rPr/>
              <w:t> </w:t>
            </w:r>
          </w:p>
        </w:tc>
        <w:tc>
          <w:tcPr>
            <w:tcW w:w="8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790</w:t>
            </w:r>
          </w:p>
        </w:tc>
        <w:tc>
          <w:tcPr>
            <w:tcW w:w="195" w:type="dxa"/>
            <w:tcBorders/>
            <w:shd w:fill="CCEEFF" w:val="clear"/>
            <w:vAlign w:val="bottom"/>
          </w:tcPr>
          <w:p>
            <w:pPr>
              <w:pStyle w:val="TableContents"/>
              <w:spacing w:before="0" w:after="0"/>
              <w:ind w:left="0" w:right="0" w:hanging="0"/>
              <w:rPr/>
            </w:pPr>
            <w:r>
              <w:rPr/>
              <w:t> </w:t>
            </w:r>
          </w:p>
        </w:tc>
        <w:tc>
          <w:tcPr>
            <w:tcW w:w="6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216" w:type="dxa"/>
            <w:tcBorders/>
            <w:shd w:fill="CCEEFF" w:val="clear"/>
            <w:vAlign w:val="bottom"/>
          </w:tcPr>
          <w:p>
            <w:pPr>
              <w:pStyle w:val="TableContents"/>
              <w:spacing w:before="0" w:after="0"/>
              <w:ind w:left="0" w:right="0" w:hanging="0"/>
              <w:rPr/>
            </w:pPr>
            <w:r>
              <w:rPr/>
              <w:t> </w:t>
            </w:r>
          </w:p>
        </w:tc>
        <w:tc>
          <w:tcPr>
            <w:tcW w:w="6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183" w:type="dxa"/>
            <w:tcBorders/>
            <w:shd w:fill="auto" w:val="clear"/>
            <w:vAlign w:val="bottom"/>
          </w:tcPr>
          <w:p>
            <w:pPr>
              <w:pStyle w:val="TableContents"/>
              <w:spacing w:before="0" w:after="0"/>
              <w:ind w:left="0" w:right="0" w:hanging="0"/>
              <w:rPr/>
            </w:pPr>
            <w:r>
              <w:rPr/>
              <w:t> </w:t>
            </w:r>
          </w:p>
        </w:tc>
        <w:tc>
          <w:tcPr>
            <w:tcW w:w="8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31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8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(788</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0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GP LLC</w:t>
            </w:r>
          </w:p>
        </w:tc>
        <w:tc>
          <w:tcPr>
            <w:tcW w:w="183" w:type="dxa"/>
            <w:tcBorders/>
            <w:shd w:fill="CCEEFF" w:val="clear"/>
            <w:vAlign w:val="bottom"/>
          </w:tcPr>
          <w:p>
            <w:pPr>
              <w:pStyle w:val="TableContents"/>
              <w:spacing w:before="0" w:after="0"/>
              <w:ind w:left="0" w:right="0" w:hanging="0"/>
              <w:rPr/>
            </w:pPr>
            <w:r>
              <w:rPr/>
              <w:t> </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pPr>
            <w:r>
              <w:rPr/>
              <w:t> </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6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1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3" w:type="dxa"/>
            <w:tcBorders/>
            <w:shd w:fill="CCEEFF" w:val="clear"/>
            <w:vAlign w:val="bottom"/>
          </w:tcPr>
          <w:p>
            <w:pPr>
              <w:pStyle w:val="TableContents"/>
              <w:spacing w:before="0" w:after="0"/>
              <w:ind w:left="0" w:right="0" w:hanging="0"/>
              <w:rPr/>
            </w:pPr>
            <w:r>
              <w:rPr/>
              <w:t> </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5" w:type="dxa"/>
            <w:tcBorders/>
            <w:shd w:fill="CCEEFF" w:val="clear"/>
            <w:vAlign w:val="bottom"/>
          </w:tcPr>
          <w:p>
            <w:pPr>
              <w:pStyle w:val="TableContents"/>
              <w:spacing w:before="0" w:after="0"/>
              <w:ind w:left="0" w:right="0" w:hanging="0"/>
              <w:rPr/>
            </w:pPr>
            <w:r>
              <w:rPr/>
              <w:t> </w:t>
            </w:r>
          </w:p>
        </w:tc>
        <w:tc>
          <w:tcPr>
            <w:tcW w:w="17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pPr>
            <w:r>
              <w:rPr/>
              <w:t> </w:t>
            </w:r>
          </w:p>
        </w:tc>
        <w:tc>
          <w:tcPr>
            <w:tcW w:w="6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other transportation fees.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Transportation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32"/>
        <w:gridCol w:w="104"/>
        <w:gridCol w:w="139"/>
        <w:gridCol w:w="654"/>
        <w:gridCol w:w="122"/>
        <w:gridCol w:w="139"/>
        <w:gridCol w:w="655"/>
        <w:gridCol w:w="191"/>
        <w:gridCol w:w="126"/>
        <w:gridCol w:w="460"/>
        <w:gridCol w:w="113"/>
        <w:gridCol w:w="517"/>
        <w:gridCol w:w="302"/>
        <w:gridCol w:w="182"/>
        <w:gridCol w:w="139"/>
        <w:gridCol w:w="654"/>
        <w:gridCol w:w="200"/>
        <w:gridCol w:w="139"/>
        <w:gridCol w:w="655"/>
        <w:gridCol w:w="113"/>
        <w:gridCol w:w="126"/>
        <w:gridCol w:w="487"/>
        <w:gridCol w:w="113"/>
        <w:gridCol w:w="505"/>
        <w:gridCol w:w="238"/>
      </w:tblGrid>
      <w:tr>
        <w:trPr/>
        <w:tc>
          <w:tcPr>
            <w:tcW w:w="3132"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709" w:type="dxa"/>
            <w:gridSpan w:val="5"/>
            <w:tcBorders/>
            <w:shd w:fill="auto" w:val="clear"/>
            <w:vAlign w:val="bottom"/>
          </w:tcPr>
          <w:p>
            <w:pPr>
              <w:pStyle w:val="TableContents"/>
              <w:spacing w:before="0" w:after="0"/>
              <w:ind w:left="0" w:right="0" w:hanging="0"/>
              <w:jc w:val="center"/>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216"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484" w:type="dxa"/>
            <w:gridSpan w:val="2"/>
            <w:tcBorders/>
            <w:shd w:fill="auto" w:val="clear"/>
            <w:vAlign w:val="bottom"/>
          </w:tcPr>
          <w:p>
            <w:pPr>
              <w:pStyle w:val="TableContents"/>
              <w:spacing w:before="0" w:after="0"/>
              <w:ind w:left="0" w:right="0" w:hanging="0"/>
              <w:jc w:val="center"/>
              <w:rPr/>
            </w:pPr>
            <w:r>
              <w:rPr/>
              <w:t> </w:t>
            </w:r>
          </w:p>
        </w:tc>
        <w:tc>
          <w:tcPr>
            <w:tcW w:w="1787" w:type="dxa"/>
            <w:gridSpan w:val="5"/>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0"/>
              <w:ind w:left="0" w:right="0" w:hanging="0"/>
              <w:jc w:val="center"/>
              <w:rPr/>
            </w:pPr>
            <w:r>
              <w:rPr/>
              <w:t> </w:t>
            </w:r>
          </w:p>
        </w:tc>
        <w:tc>
          <w:tcPr>
            <w:tcW w:w="123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8" w:type="dxa"/>
            <w:tcBorders/>
            <w:shd w:fill="auto" w:val="clear"/>
            <w:vAlign w:val="bottom"/>
          </w:tcPr>
          <w:p>
            <w:pPr>
              <w:pStyle w:val="TableContents"/>
              <w:spacing w:before="0" w:after="0"/>
              <w:ind w:left="0" w:right="0" w:hanging="0"/>
              <w:jc w:val="center"/>
              <w:rPr/>
            </w:pPr>
            <w:r>
              <w:rPr/>
              <w:t> </w:t>
            </w:r>
          </w:p>
        </w:tc>
      </w:tr>
      <w:tr>
        <w:trPr/>
        <w:tc>
          <w:tcPr>
            <w:tcW w:w="3132"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70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1" w:type="dxa"/>
            <w:tcBorders/>
            <w:shd w:fill="auto" w:val="clear"/>
            <w:vAlign w:val="bottom"/>
          </w:tcPr>
          <w:p>
            <w:pPr>
              <w:pStyle w:val="TableContents"/>
              <w:spacing w:before="0" w:after="0"/>
              <w:ind w:left="0" w:right="0" w:hanging="0"/>
              <w:jc w:val="center"/>
              <w:rPr/>
            </w:pPr>
            <w:r>
              <w:rPr/>
              <w:t> </w:t>
            </w:r>
          </w:p>
        </w:tc>
        <w:tc>
          <w:tcPr>
            <w:tcW w:w="1216"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484" w:type="dxa"/>
            <w:gridSpan w:val="2"/>
            <w:tcBorders/>
            <w:shd w:fill="auto" w:val="clear"/>
            <w:vAlign w:val="bottom"/>
          </w:tcPr>
          <w:p>
            <w:pPr>
              <w:pStyle w:val="TableContents"/>
              <w:spacing w:before="0" w:after="0"/>
              <w:ind w:left="0" w:right="0" w:hanging="0"/>
              <w:jc w:val="center"/>
              <w:rPr/>
            </w:pPr>
            <w:r>
              <w:rPr/>
              <w:t> </w:t>
            </w:r>
          </w:p>
        </w:tc>
        <w:tc>
          <w:tcPr>
            <w:tcW w:w="178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13" w:type="dxa"/>
            <w:tcBorders/>
            <w:shd w:fill="auto" w:val="clear"/>
            <w:vAlign w:val="bottom"/>
          </w:tcPr>
          <w:p>
            <w:pPr>
              <w:pStyle w:val="TableContents"/>
              <w:spacing w:before="0" w:after="0"/>
              <w:ind w:left="0" w:right="0" w:hanging="0"/>
              <w:jc w:val="center"/>
              <w:rPr/>
            </w:pPr>
            <w:r>
              <w:rPr/>
              <w:t> </w:t>
            </w:r>
          </w:p>
        </w:tc>
        <w:tc>
          <w:tcPr>
            <w:tcW w:w="123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8" w:type="dxa"/>
            <w:tcBorders/>
            <w:shd w:fill="auto" w:val="clear"/>
            <w:vAlign w:val="bottom"/>
          </w:tcPr>
          <w:p>
            <w:pPr>
              <w:pStyle w:val="TableContents"/>
              <w:spacing w:before="0" w:after="0"/>
              <w:ind w:left="0" w:right="0" w:hanging="0"/>
              <w:jc w:val="center"/>
              <w:rPr/>
            </w:pPr>
            <w:r>
              <w:rPr/>
              <w:t> </w:t>
            </w:r>
          </w:p>
        </w:tc>
      </w:tr>
      <w:tr>
        <w:trPr/>
        <w:tc>
          <w:tcPr>
            <w:tcW w:w="3132"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r>
              <w:rPr/>
              <w:t>  </w:t>
            </w:r>
          </w:p>
        </w:tc>
        <w:tc>
          <w:tcPr>
            <w:tcW w:w="104" w:type="dxa"/>
            <w:tcBorders/>
            <w:shd w:fill="auto" w:val="clear"/>
            <w:vAlign w:val="bottom"/>
          </w:tcPr>
          <w:p>
            <w:pPr>
              <w:pStyle w:val="TableContents"/>
              <w:spacing w:before="0" w:after="0"/>
              <w:ind w:left="0" w:right="0" w:hanging="0"/>
              <w:jc w:val="center"/>
              <w:rPr/>
            </w:pPr>
            <w:r>
              <w:rPr/>
              <w:t> </w:t>
            </w:r>
          </w:p>
        </w:tc>
        <w:tc>
          <w:tcPr>
            <w:tcW w:w="170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1" w:type="dxa"/>
            <w:tcBorders/>
            <w:shd w:fill="auto" w:val="clear"/>
            <w:vAlign w:val="bottom"/>
          </w:tcPr>
          <w:p>
            <w:pPr>
              <w:pStyle w:val="TableContents"/>
              <w:spacing w:before="0" w:after="0"/>
              <w:ind w:left="0" w:right="0" w:hanging="0"/>
              <w:jc w:val="center"/>
              <w:rPr/>
            </w:pPr>
            <w:r>
              <w:rPr/>
              <w:t> </w:t>
            </w:r>
          </w:p>
        </w:tc>
        <w:tc>
          <w:tcPr>
            <w:tcW w:w="121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484" w:type="dxa"/>
            <w:gridSpan w:val="2"/>
            <w:tcBorders/>
            <w:shd w:fill="auto" w:val="clear"/>
            <w:vAlign w:val="bottom"/>
          </w:tcPr>
          <w:p>
            <w:pPr>
              <w:pStyle w:val="TableContents"/>
              <w:spacing w:before="0" w:after="0"/>
              <w:ind w:left="0" w:right="0" w:hanging="0"/>
              <w:jc w:val="center"/>
              <w:rPr/>
            </w:pPr>
            <w:r>
              <w:rPr/>
              <w:t> </w:t>
            </w:r>
          </w:p>
        </w:tc>
        <w:tc>
          <w:tcPr>
            <w:tcW w:w="178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3" w:type="dxa"/>
            <w:tcBorders/>
            <w:shd w:fill="auto" w:val="clear"/>
            <w:vAlign w:val="bottom"/>
          </w:tcPr>
          <w:p>
            <w:pPr>
              <w:pStyle w:val="TableContents"/>
              <w:spacing w:before="0" w:after="0"/>
              <w:ind w:left="0" w:right="0" w:hanging="0"/>
              <w:jc w:val="center"/>
              <w:rPr/>
            </w:pPr>
            <w:r>
              <w:rPr/>
              <w:t> </w:t>
            </w:r>
          </w:p>
        </w:tc>
        <w:tc>
          <w:tcPr>
            <w:tcW w:w="123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8" w:type="dxa"/>
            <w:tcBorders/>
            <w:shd w:fill="auto" w:val="clear"/>
            <w:vAlign w:val="bottom"/>
          </w:tcPr>
          <w:p>
            <w:pPr>
              <w:pStyle w:val="TableContents"/>
              <w:spacing w:before="0" w:after="0"/>
              <w:ind w:left="0" w:right="0" w:hanging="0"/>
              <w:jc w:val="center"/>
              <w:rPr/>
            </w:pPr>
            <w:r>
              <w:rPr/>
              <w:t> </w:t>
            </w:r>
          </w:p>
        </w:tc>
      </w:tr>
      <w:tr>
        <w:trPr/>
        <w:tc>
          <w:tcPr>
            <w:tcW w:w="313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04" w:type="dxa"/>
            <w:tcBorders/>
            <w:shd w:fill="auto" w:val="clear"/>
            <w:vAlign w:val="bottom"/>
          </w:tcPr>
          <w:p>
            <w:pPr>
              <w:pStyle w:val="TableContents"/>
              <w:spacing w:before="0" w:after="0"/>
              <w:ind w:left="0" w:right="0" w:hanging="0"/>
              <w:jc w:val="center"/>
              <w:rPr/>
            </w:pPr>
            <w:r>
              <w:rPr/>
              <w:t> </w:t>
            </w:r>
          </w:p>
        </w:tc>
        <w:tc>
          <w:tcPr>
            <w:tcW w:w="7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9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1" w:type="dxa"/>
            <w:tcBorders/>
            <w:shd w:fill="auto" w:val="clear"/>
            <w:vAlign w:val="bottom"/>
          </w:tcPr>
          <w:p>
            <w:pPr>
              <w:pStyle w:val="TableContents"/>
              <w:spacing w:before="0" w:after="0"/>
              <w:ind w:left="0" w:right="0" w:hanging="0"/>
              <w:jc w:val="center"/>
              <w:rPr/>
            </w:pPr>
            <w:r>
              <w:rPr/>
              <w:t> </w:t>
            </w:r>
          </w:p>
        </w:tc>
        <w:tc>
          <w:tcPr>
            <w:tcW w:w="5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1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484" w:type="dxa"/>
            <w:gridSpan w:val="2"/>
            <w:tcBorders/>
            <w:shd w:fill="auto" w:val="clear"/>
            <w:vAlign w:val="bottom"/>
          </w:tcPr>
          <w:p>
            <w:pPr>
              <w:pStyle w:val="TableContents"/>
              <w:spacing w:before="0" w:after="0"/>
              <w:ind w:left="0" w:right="0" w:hanging="0"/>
              <w:jc w:val="center"/>
              <w:rPr/>
            </w:pPr>
            <w:r>
              <w:rPr/>
              <w:t> </w:t>
            </w:r>
          </w:p>
        </w:tc>
        <w:tc>
          <w:tcPr>
            <w:tcW w:w="7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9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3" w:type="dxa"/>
            <w:tcBorders/>
            <w:shd w:fill="auto" w:val="clear"/>
            <w:vAlign w:val="bottom"/>
          </w:tcPr>
          <w:p>
            <w:pPr>
              <w:pStyle w:val="TableContents"/>
              <w:spacing w:before="0" w:after="0"/>
              <w:ind w:left="0" w:right="0" w:hanging="0"/>
              <w:jc w:val="center"/>
              <w:rPr/>
            </w:pPr>
            <w:r>
              <w:rPr/>
              <w:t> </w:t>
            </w:r>
          </w:p>
        </w:tc>
        <w:tc>
          <w:tcPr>
            <w:tcW w:w="6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0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8" w:type="dxa"/>
            <w:tcBorders/>
            <w:shd w:fill="auto" w:val="clear"/>
            <w:vAlign w:val="bottom"/>
          </w:tcPr>
          <w:p>
            <w:pPr>
              <w:pStyle w:val="TableContents"/>
              <w:spacing w:before="0" w:after="0"/>
              <w:ind w:left="0" w:right="0" w:hanging="0"/>
              <w:jc w:val="center"/>
              <w:rPr/>
            </w:pPr>
            <w:r>
              <w:rPr/>
              <w:t> </w:t>
            </w:r>
          </w:p>
        </w:tc>
      </w:tr>
      <w:tr>
        <w:trPr/>
        <w:tc>
          <w:tcPr>
            <w:tcW w:w="3132"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r>
              <w:rPr/>
              <w:t> </w:t>
            </w:r>
          </w:p>
        </w:tc>
        <w:tc>
          <w:tcPr>
            <w:tcW w:w="104"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58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517" w:type="dxa"/>
            <w:tcBorders/>
            <w:shd w:fill="CCEEFF" w:val="clear"/>
            <w:vAlign w:val="bottom"/>
          </w:tcPr>
          <w:p>
            <w:pPr>
              <w:pStyle w:val="TableContents"/>
              <w:spacing w:before="0" w:after="0"/>
              <w:ind w:left="0" w:right="0" w:hanging="0"/>
              <w:jc w:val="right"/>
              <w:rPr/>
            </w:pPr>
            <w:r>
              <w:rPr/>
              <w:t> </w:t>
            </w:r>
          </w:p>
        </w:tc>
        <w:tc>
          <w:tcPr>
            <w:tcW w:w="30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613"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505" w:type="dxa"/>
            <w:tcBorders/>
            <w:shd w:fill="CCEEFF" w:val="clear"/>
            <w:vAlign w:val="bottom"/>
          </w:tcPr>
          <w:p>
            <w:pPr>
              <w:pStyle w:val="TableContents"/>
              <w:spacing w:before="0" w:after="0"/>
              <w:ind w:left="0" w:right="0" w:hanging="0"/>
              <w:jc w:val="right"/>
              <w:rPr/>
            </w:pPr>
            <w:r>
              <w:rPr/>
              <w:t> </w:t>
            </w:r>
          </w:p>
        </w:tc>
        <w:tc>
          <w:tcPr>
            <w:tcW w:w="238" w:type="dxa"/>
            <w:tcBorders/>
            <w:shd w:fill="CCEEFF" w:val="clear"/>
            <w:vAlign w:val="bottom"/>
          </w:tcPr>
          <w:p>
            <w:pPr>
              <w:pStyle w:val="TableContents"/>
              <w:spacing w:before="0" w:after="0"/>
              <w:ind w:left="0" w:right="0" w:hanging="0"/>
              <w:rPr/>
            </w:pPr>
            <w:r>
              <w:rPr/>
              <w:t> </w:t>
            </w:r>
          </w:p>
        </w:tc>
      </w:tr>
      <w:tr>
        <w:trPr/>
        <w:tc>
          <w:tcPr>
            <w:tcW w:w="3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Tariff activities </w:t>
            </w:r>
          </w:p>
        </w:tc>
        <w:tc>
          <w:tcPr>
            <w:tcW w:w="10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122"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191"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3" w:type="dxa"/>
            <w:tcBorders/>
            <w:shd w:fill="auto" w:val="clear"/>
            <w:vAlign w:val="bottom"/>
          </w:tcPr>
          <w:p>
            <w:pPr>
              <w:pStyle w:val="TableContents"/>
              <w:spacing w:before="0" w:after="0"/>
              <w:ind w:left="0" w:right="0" w:hanging="0"/>
              <w:rPr/>
            </w:pPr>
            <w:r>
              <w:rPr/>
              <w:t> </w:t>
            </w:r>
          </w:p>
        </w:tc>
        <w:tc>
          <w:tcPr>
            <w:tcW w:w="5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0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959</w:t>
            </w:r>
          </w:p>
        </w:tc>
        <w:tc>
          <w:tcPr>
            <w:tcW w:w="200"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907</w:t>
            </w:r>
          </w:p>
        </w:tc>
        <w:tc>
          <w:tcPr>
            <w:tcW w:w="113"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13" w:type="dxa"/>
            <w:tcBorders/>
            <w:shd w:fill="auto" w:val="clear"/>
            <w:vAlign w:val="bottom"/>
          </w:tcPr>
          <w:p>
            <w:pPr>
              <w:pStyle w:val="TableContents"/>
              <w:spacing w:before="0" w:after="0"/>
              <w:ind w:left="0" w:right="0" w:hanging="0"/>
              <w:rPr/>
            </w:pPr>
            <w:r>
              <w:rPr/>
              <w:t> </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104" w:type="dxa"/>
            <w:tcBorders/>
            <w:shd w:fill="CCEEFF" w:val="clear"/>
            <w:vAlign w:val="bottom"/>
          </w:tcPr>
          <w:p>
            <w:pPr>
              <w:pStyle w:val="TableContents"/>
              <w:spacing w:before="0" w:after="0"/>
              <w:ind w:left="0" w:right="0" w:hanging="0"/>
              <w:rPr/>
            </w:pPr>
            <w:r>
              <w:rPr/>
              <w:t> </w:t>
            </w:r>
          </w:p>
        </w:tc>
        <w:tc>
          <w:tcPr>
            <w:tcW w:w="7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22" w:type="dxa"/>
            <w:tcBorders/>
            <w:shd w:fill="CCEEFF" w:val="clear"/>
            <w:vAlign w:val="bottom"/>
          </w:tcPr>
          <w:p>
            <w:pPr>
              <w:pStyle w:val="TableContents"/>
              <w:spacing w:before="0" w:after="0"/>
              <w:ind w:left="0" w:right="0" w:hanging="0"/>
              <w:rPr/>
            </w:pPr>
            <w:r>
              <w:rPr/>
              <w:t> </w:t>
            </w:r>
          </w:p>
        </w:tc>
        <w:tc>
          <w:tcPr>
            <w:tcW w:w="7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91" w:type="dxa"/>
            <w:tcBorders/>
            <w:shd w:fill="CCEEFF" w:val="clear"/>
            <w:vAlign w:val="bottom"/>
          </w:tcPr>
          <w:p>
            <w:pPr>
              <w:pStyle w:val="TableContents"/>
              <w:spacing w:before="0" w:after="0"/>
              <w:ind w:left="0" w:right="0" w:hanging="0"/>
              <w:rPr/>
            </w:pPr>
            <w:r>
              <w:rPr/>
              <w:t> </w:t>
            </w:r>
          </w:p>
        </w:tc>
        <w:tc>
          <w:tcPr>
            <w:tcW w:w="5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51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79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0" w:type="dxa"/>
            <w:tcBorders/>
            <w:shd w:fill="CCEEFF" w:val="clear"/>
            <w:vAlign w:val="bottom"/>
          </w:tcPr>
          <w:p>
            <w:pPr>
              <w:pStyle w:val="TableContents"/>
              <w:spacing w:before="0" w:after="0"/>
              <w:ind w:left="0" w:right="0" w:hanging="0"/>
              <w:rPr/>
            </w:pPr>
            <w:r>
              <w:rPr/>
              <w:t> </w:t>
            </w:r>
          </w:p>
        </w:tc>
        <w:tc>
          <w:tcPr>
            <w:tcW w:w="79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13" w:type="dxa"/>
            <w:tcBorders/>
            <w:shd w:fill="CCEEFF" w:val="clear"/>
            <w:vAlign w:val="bottom"/>
          </w:tcPr>
          <w:p>
            <w:pPr>
              <w:pStyle w:val="TableContents"/>
              <w:spacing w:before="0" w:after="0"/>
              <w:ind w:left="0" w:right="0" w:hanging="0"/>
              <w:rPr/>
            </w:pPr>
            <w:r>
              <w:rPr/>
              <w:t> </w:t>
            </w:r>
          </w:p>
        </w:tc>
        <w:tc>
          <w:tcPr>
            <w:tcW w:w="6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3" w:type="dxa"/>
            <w:tcBorders/>
            <w:shd w:fill="CCEEFF" w:val="clear"/>
            <w:vAlign w:val="bottom"/>
          </w:tcPr>
          <w:p>
            <w:pPr>
              <w:pStyle w:val="TableContents"/>
              <w:spacing w:before="0" w:after="0"/>
              <w:ind w:left="0" w:right="0" w:hanging="0"/>
              <w:rPr/>
            </w:pPr>
            <w:r>
              <w:rPr/>
              <w:t> </w:t>
            </w:r>
          </w:p>
        </w:tc>
        <w:tc>
          <w:tcPr>
            <w:tcW w:w="50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transportation revenues </w:t>
            </w:r>
          </w:p>
        </w:tc>
        <w:tc>
          <w:tcPr>
            <w:tcW w:w="104"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2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91" w:type="dxa"/>
            <w:tcBorders/>
            <w:shd w:fill="auto" w:val="clear"/>
            <w:vAlign w:val="bottom"/>
          </w:tcPr>
          <w:p>
            <w:pPr>
              <w:pStyle w:val="TableContents"/>
              <w:spacing w:before="0" w:after="0"/>
              <w:ind w:left="0" w:right="0" w:hanging="0"/>
              <w:rPr/>
            </w:pPr>
            <w:r>
              <w:rPr/>
              <w:t> </w:t>
            </w:r>
          </w:p>
        </w:tc>
        <w:tc>
          <w:tcPr>
            <w:tcW w:w="5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3" w:type="dxa"/>
            <w:tcBorders/>
            <w:shd w:fill="auto" w:val="clear"/>
            <w:vAlign w:val="bottom"/>
          </w:tcPr>
          <w:p>
            <w:pPr>
              <w:pStyle w:val="TableContents"/>
              <w:spacing w:before="0" w:after="0"/>
              <w:ind w:left="0" w:right="0" w:hanging="0"/>
              <w:rPr/>
            </w:pPr>
            <w:r>
              <w:rPr/>
              <w:t> </w:t>
            </w:r>
          </w:p>
        </w:tc>
        <w:tc>
          <w:tcPr>
            <w:tcW w:w="5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0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1,111</w:t>
            </w:r>
          </w:p>
        </w:tc>
        <w:tc>
          <w:tcPr>
            <w:tcW w:w="200"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113" w:type="dxa"/>
            <w:tcBorders/>
            <w:shd w:fill="auto" w:val="clear"/>
            <w:vAlign w:val="bottom"/>
          </w:tcPr>
          <w:p>
            <w:pPr>
              <w:pStyle w:val="TableContents"/>
              <w:spacing w:before="0" w:after="0"/>
              <w:ind w:left="0" w:right="0" w:hanging="0"/>
              <w:rPr/>
            </w:pPr>
            <w:r>
              <w:rPr/>
              <w:t> </w:t>
            </w:r>
          </w:p>
        </w:tc>
        <w:tc>
          <w:tcPr>
            <w:tcW w:w="6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13" w:type="dxa"/>
            <w:tcBorders/>
            <w:shd w:fill="auto" w:val="clear"/>
            <w:vAlign w:val="bottom"/>
          </w:tcPr>
          <w:p>
            <w:pPr>
              <w:pStyle w:val="TableContents"/>
              <w:spacing w:before="0" w:after="0"/>
              <w:ind w:left="0" w:right="0" w:hanging="0"/>
              <w:rPr/>
            </w:pPr>
            <w:r>
              <w:rPr/>
              <w:t> </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2" w:type="dxa"/>
            <w:tcBorders/>
            <w:shd w:fill="CCEEFF" w:val="clear"/>
            <w:vAlign w:val="bottom"/>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586"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517" w:type="dxa"/>
            <w:tcBorders/>
            <w:shd w:fill="CCEEFF" w:val="clear"/>
            <w:vAlign w:val="bottom"/>
          </w:tcPr>
          <w:p>
            <w:pPr>
              <w:pStyle w:val="TableContents"/>
              <w:spacing w:before="0" w:after="0"/>
              <w:ind w:left="0" w:right="0" w:hanging="0"/>
              <w:jc w:val="right"/>
              <w:rPr/>
            </w:pPr>
            <w:r>
              <w:rPr/>
              <w:t> </w:t>
            </w:r>
          </w:p>
        </w:tc>
        <w:tc>
          <w:tcPr>
            <w:tcW w:w="302"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613"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c>
          <w:tcPr>
            <w:tcW w:w="505" w:type="dxa"/>
            <w:tcBorders/>
            <w:shd w:fill="CCEEFF" w:val="clear"/>
            <w:vAlign w:val="bottom"/>
          </w:tcPr>
          <w:p>
            <w:pPr>
              <w:pStyle w:val="TableContents"/>
              <w:spacing w:before="0" w:after="0"/>
              <w:ind w:left="0" w:right="0" w:hanging="0"/>
              <w:jc w:val="right"/>
              <w:rPr/>
            </w:pPr>
            <w:r>
              <w:rPr/>
              <w:t> </w:t>
            </w:r>
          </w:p>
        </w:tc>
        <w:tc>
          <w:tcPr>
            <w:tcW w:w="238" w:type="dxa"/>
            <w:tcBorders/>
            <w:shd w:fill="CCEEFF" w:val="clear"/>
            <w:vAlign w:val="bottom"/>
          </w:tcPr>
          <w:p>
            <w:pPr>
              <w:pStyle w:val="TableContents"/>
              <w:spacing w:before="0" w:after="0"/>
              <w:ind w:left="0" w:right="0" w:hanging="0"/>
              <w:rPr/>
            </w:pPr>
            <w:r>
              <w:rPr/>
              <w:t> </w:t>
            </w:r>
          </w:p>
        </w:tc>
      </w:tr>
      <w:tr>
        <w:trPr/>
        <w:tc>
          <w:tcPr>
            <w:tcW w:w="3132" w:type="dxa"/>
            <w:tcBorders/>
            <w:shd w:fill="auto" w:val="clear"/>
            <w:vAlign w:val="bottom"/>
          </w:tcPr>
          <w:p>
            <w:pPr>
              <w:pStyle w:val="TableContents"/>
              <w:spacing w:before="0" w:after="0"/>
              <w:ind w:left="0" w:right="0" w:hanging="0"/>
              <w:rPr/>
            </w:pPr>
            <w:r>
              <w:rPr>
                <w:rFonts w:ascii="Times New Roman" w:hAnsi="Times New Roman"/>
                <w:sz w:val="17"/>
              </w:rPr>
              <w:t xml:space="preserve">Costs and Expenses </w:t>
            </w:r>
            <w:r>
              <w:rPr>
                <w:sz w:val="11"/>
              </w:rPr>
              <w:t>(1)</w:t>
            </w:r>
            <w:r>
              <w:rPr/>
              <w:t> </w:t>
            </w:r>
          </w:p>
        </w:tc>
        <w:tc>
          <w:tcPr>
            <w:tcW w:w="104"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586"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517" w:type="dxa"/>
            <w:tcBorders/>
            <w:shd w:fill="auto" w:val="clear"/>
            <w:vAlign w:val="bottom"/>
          </w:tcPr>
          <w:p>
            <w:pPr>
              <w:pStyle w:val="TableContents"/>
              <w:spacing w:before="0" w:after="0"/>
              <w:ind w:left="0" w:right="0" w:hanging="0"/>
              <w:jc w:val="right"/>
              <w:rPr/>
            </w:pPr>
            <w:r>
              <w:rPr/>
              <w:t> </w:t>
            </w:r>
          </w:p>
        </w:tc>
        <w:tc>
          <w:tcPr>
            <w:tcW w:w="302"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13"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505" w:type="dxa"/>
            <w:tcBorders/>
            <w:shd w:fill="auto" w:val="clear"/>
            <w:vAlign w:val="bottom"/>
          </w:tcPr>
          <w:p>
            <w:pPr>
              <w:pStyle w:val="TableContents"/>
              <w:spacing w:before="0" w:after="0"/>
              <w:ind w:left="0" w:right="0" w:hanging="0"/>
              <w:jc w:val="right"/>
              <w:rPr/>
            </w:pPr>
            <w:r>
              <w:rPr/>
              <w:t> </w:t>
            </w:r>
          </w:p>
        </w:tc>
        <w:tc>
          <w:tcPr>
            <w:tcW w:w="238" w:type="dxa"/>
            <w:tcBorders/>
            <w:shd w:fill="auto" w:val="clear"/>
            <w:vAlign w:val="bottom"/>
          </w:tcPr>
          <w:p>
            <w:pPr>
              <w:pStyle w:val="TableContents"/>
              <w:spacing w:before="0" w:after="0"/>
              <w:ind w:left="0" w:right="0" w:hanging="0"/>
              <w:rPr/>
            </w:pPr>
            <w:r>
              <w:rPr/>
              <w:t> </w:t>
            </w:r>
          </w:p>
        </w:tc>
      </w:tr>
      <w:tr>
        <w:trPr/>
        <w:tc>
          <w:tcPr>
            <w:tcW w:w="3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Trucking costs </w:t>
            </w:r>
          </w:p>
        </w:tc>
        <w:tc>
          <w:tcPr>
            <w:tcW w:w="104"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3" w:type="dxa"/>
            <w:tcBorders/>
            <w:shd w:fill="CCEEFF" w:val="clear"/>
            <w:vAlign w:val="bottom"/>
          </w:tcPr>
          <w:p>
            <w:pPr>
              <w:pStyle w:val="TableContents"/>
              <w:spacing w:before="0" w:after="0"/>
              <w:ind w:left="0" w:right="0" w:hanging="0"/>
              <w:rPr/>
            </w:pPr>
            <w:r>
              <w:rPr/>
              <w:t> </w:t>
            </w:r>
          </w:p>
        </w:tc>
        <w:tc>
          <w:tcPr>
            <w:tcW w:w="5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0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(excluding equity- indexed compensation expense) </w:t>
            </w:r>
          </w:p>
        </w:tc>
        <w:tc>
          <w:tcPr>
            <w:tcW w:w="104"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30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2" w:type="dxa"/>
            <w:tcBorders/>
            <w:shd w:fill="CCEEFF" w:val="clear"/>
            <w:vAlign w:val="bottom"/>
          </w:tcPr>
          <w:p>
            <w:pPr>
              <w:pStyle w:val="TableContents"/>
              <w:spacing w:before="0" w:after="0"/>
              <w:ind w:left="0" w:right="0" w:hanging="0"/>
              <w:rPr/>
            </w:pPr>
            <w:r>
              <w:rPr>
                <w:rFonts w:ascii="Times New Roman" w:hAnsi="Times New Roman"/>
                <w:sz w:val="17"/>
              </w:rPr>
              <w:t xml:space="preserve">Equity-indexed compensation expense - operations </w:t>
            </w:r>
            <w:r>
              <w:rPr>
                <w:sz w:val="11"/>
              </w:rPr>
              <w:t xml:space="preserve">(2) </w:t>
            </w:r>
          </w:p>
        </w:tc>
        <w:tc>
          <w:tcPr>
            <w:tcW w:w="104"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5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0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2" w:type="dxa"/>
            <w:tcBorders/>
            <w:shd w:fill="auto" w:val="clear"/>
            <w:vAlign w:val="bottom"/>
          </w:tcPr>
          <w:p>
            <w:pPr>
              <w:pStyle w:val="TableContents"/>
              <w:spacing w:before="0" w:after="0"/>
              <w:ind w:left="0" w:right="0" w:hanging="0"/>
              <w:rPr/>
            </w:pPr>
            <w:r>
              <w:rPr>
                <w:rFonts w:ascii="Times New Roman" w:hAnsi="Times New Roman"/>
                <w:sz w:val="17"/>
              </w:rPr>
              <w:t>Segment general and administrative expenses </w:t>
            </w:r>
            <w:r>
              <w:rPr>
                <w:sz w:val="11"/>
              </w:rPr>
              <w:t>(3)</w:t>
            </w:r>
            <w:r>
              <w:rPr/>
              <w:t> </w:t>
            </w:r>
            <w:r>
              <w:rPr>
                <w:sz w:val="17"/>
              </w:rPr>
              <w:t xml:space="preserve">(excluding equity-indexed compensation expense) </w:t>
            </w:r>
          </w:p>
        </w:tc>
        <w:tc>
          <w:tcPr>
            <w:tcW w:w="104"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30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2" w:type="dxa"/>
            <w:tcBorders/>
            <w:shd w:fill="CCEEFF" w:val="clear"/>
            <w:vAlign w:val="bottom"/>
          </w:tcPr>
          <w:p>
            <w:pPr>
              <w:pStyle w:val="TableContents"/>
              <w:spacing w:before="0" w:after="0"/>
              <w:ind w:left="0" w:right="0" w:hanging="0"/>
              <w:rPr/>
            </w:pPr>
            <w:r>
              <w:rPr>
                <w:rFonts w:ascii="Times New Roman" w:hAnsi="Times New Roman"/>
                <w:sz w:val="17"/>
              </w:rPr>
              <w:t xml:space="preserve">Equity-indexed compensation expense - general and administrative </w:t>
            </w:r>
            <w:r>
              <w:rPr>
                <w:sz w:val="11"/>
              </w:rPr>
              <w:t xml:space="preserve">(2) </w:t>
            </w:r>
          </w:p>
        </w:tc>
        <w:tc>
          <w:tcPr>
            <w:tcW w:w="104"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3" w:type="dxa"/>
            <w:tcBorders/>
            <w:shd w:fill="CCEEFF" w:val="clear"/>
            <w:vAlign w:val="bottom"/>
          </w:tcPr>
          <w:p>
            <w:pPr>
              <w:pStyle w:val="TableContents"/>
              <w:spacing w:before="0" w:after="0"/>
              <w:ind w:left="0" w:right="0" w:hanging="0"/>
              <w:rPr/>
            </w:pPr>
            <w:r>
              <w:rPr/>
              <w:t> </w:t>
            </w:r>
          </w:p>
        </w:tc>
        <w:tc>
          <w:tcPr>
            <w:tcW w:w="5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30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Equity earnings in unconsolidated entities </w:t>
            </w:r>
          </w:p>
        </w:tc>
        <w:tc>
          <w:tcPr>
            <w:tcW w:w="104" w:type="dxa"/>
            <w:tcBorders/>
            <w:shd w:fill="auto" w:val="clear"/>
            <w:vAlign w:val="bottom"/>
          </w:tcPr>
          <w:p>
            <w:pPr>
              <w:pStyle w:val="TableContents"/>
              <w:spacing w:before="0" w:after="0"/>
              <w:ind w:left="0" w:right="0" w:hanging="0"/>
              <w:rPr/>
            </w:pPr>
            <w:r>
              <w:rPr/>
              <w:t> </w:t>
            </w:r>
          </w:p>
        </w:tc>
        <w:tc>
          <w:tcPr>
            <w:tcW w:w="7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2" w:type="dxa"/>
            <w:tcBorders/>
            <w:shd w:fill="auto" w:val="clear"/>
            <w:vAlign w:val="bottom"/>
          </w:tcPr>
          <w:p>
            <w:pPr>
              <w:pStyle w:val="TableContents"/>
              <w:spacing w:before="0" w:after="0"/>
              <w:ind w:left="0" w:right="0" w:hanging="0"/>
              <w:rPr/>
            </w:pPr>
            <w:r>
              <w:rPr/>
              <w:t> </w:t>
            </w:r>
          </w:p>
        </w:tc>
        <w:tc>
          <w:tcPr>
            <w:tcW w:w="7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1" w:type="dxa"/>
            <w:tcBorders/>
            <w:shd w:fill="auto" w:val="clear"/>
            <w:vAlign w:val="bottom"/>
          </w:tcPr>
          <w:p>
            <w:pPr>
              <w:pStyle w:val="TableContents"/>
              <w:spacing w:before="0" w:after="0"/>
              <w:ind w:left="0" w:right="0" w:hanging="0"/>
              <w:rPr/>
            </w:pPr>
            <w:r>
              <w:rPr/>
              <w:t> </w:t>
            </w:r>
          </w:p>
        </w:tc>
        <w:tc>
          <w:tcPr>
            <w:tcW w:w="5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3" w:type="dxa"/>
            <w:tcBorders/>
            <w:shd w:fill="auto" w:val="clear"/>
            <w:vAlign w:val="bottom"/>
          </w:tcPr>
          <w:p>
            <w:pPr>
              <w:pStyle w:val="TableContents"/>
              <w:spacing w:before="0" w:after="0"/>
              <w:ind w:left="0" w:right="0" w:hanging="0"/>
              <w:rPr/>
            </w:pPr>
            <w:r>
              <w:rPr/>
              <w:t> </w:t>
            </w:r>
          </w:p>
        </w:tc>
        <w:tc>
          <w:tcPr>
            <w:tcW w:w="51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30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7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00" w:type="dxa"/>
            <w:tcBorders/>
            <w:shd w:fill="auto" w:val="clear"/>
            <w:vAlign w:val="bottom"/>
          </w:tcPr>
          <w:p>
            <w:pPr>
              <w:pStyle w:val="TableContents"/>
              <w:spacing w:before="0" w:after="0"/>
              <w:ind w:left="0" w:right="0" w:hanging="0"/>
              <w:rPr/>
            </w:pPr>
            <w:r>
              <w:rPr/>
              <w:t> </w:t>
            </w:r>
          </w:p>
        </w:tc>
        <w:tc>
          <w:tcPr>
            <w:tcW w:w="7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3" w:type="dxa"/>
            <w:tcBorders/>
            <w:shd w:fill="auto" w:val="clear"/>
            <w:vAlign w:val="bottom"/>
          </w:tcPr>
          <w:p>
            <w:pPr>
              <w:pStyle w:val="TableContents"/>
              <w:spacing w:before="0" w:after="0"/>
              <w:ind w:left="0" w:right="0" w:hanging="0"/>
              <w:rPr/>
            </w:pPr>
            <w:r>
              <w:rPr/>
              <w:t> </w:t>
            </w:r>
          </w:p>
        </w:tc>
        <w:tc>
          <w:tcPr>
            <w:tcW w:w="6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3" w:type="dxa"/>
            <w:tcBorders/>
            <w:shd w:fill="auto" w:val="clear"/>
            <w:vAlign w:val="bottom"/>
          </w:tcPr>
          <w:p>
            <w:pPr>
              <w:pStyle w:val="TableContents"/>
              <w:spacing w:before="0" w:after="0"/>
              <w:ind w:left="0" w:right="0" w:hanging="0"/>
              <w:rPr/>
            </w:pPr>
            <w:r>
              <w:rPr/>
              <w:t> </w:t>
            </w:r>
          </w:p>
        </w:tc>
        <w:tc>
          <w:tcPr>
            <w:tcW w:w="50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w:t>
            </w:r>
          </w:p>
        </w:tc>
        <w:tc>
          <w:tcPr>
            <w:tcW w:w="104"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22"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91"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3" w:type="dxa"/>
            <w:tcBorders/>
            <w:shd w:fill="CCEEFF" w:val="clear"/>
            <w:vAlign w:val="bottom"/>
          </w:tcPr>
          <w:p>
            <w:pPr>
              <w:pStyle w:val="TableContents"/>
              <w:spacing w:before="0" w:after="0"/>
              <w:ind w:left="0" w:right="0" w:hanging="0"/>
              <w:rPr/>
            </w:pPr>
            <w:r>
              <w:rPr/>
              <w:t> </w:t>
            </w:r>
          </w:p>
        </w:tc>
        <w:tc>
          <w:tcPr>
            <w:tcW w:w="5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0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20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13"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3" w:type="dxa"/>
            <w:tcBorders/>
            <w:shd w:fill="CCEEFF" w:val="clear"/>
            <w:vAlign w:val="bottom"/>
          </w:tcPr>
          <w:p>
            <w:pPr>
              <w:pStyle w:val="TableContents"/>
              <w:spacing w:before="0" w:after="0"/>
              <w:ind w:left="0" w:right="0" w:hanging="0"/>
              <w:rPr/>
            </w:pPr>
            <w:r>
              <w:rPr/>
              <w:t> </w:t>
            </w:r>
          </w:p>
        </w:tc>
        <w:tc>
          <w:tcPr>
            <w:tcW w:w="5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w:t>
            </w:r>
          </w:p>
        </w:tc>
        <w:tc>
          <w:tcPr>
            <w:tcW w:w="104"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22"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91"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30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0"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13"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104"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122"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w:t>
            </w:r>
          </w:p>
        </w:tc>
        <w:tc>
          <w:tcPr>
            <w:tcW w:w="191"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113" w:type="dxa"/>
            <w:tcBorders/>
            <w:shd w:fill="CCEEFF" w:val="clear"/>
            <w:vAlign w:val="bottom"/>
          </w:tcPr>
          <w:p>
            <w:pPr>
              <w:pStyle w:val="TableContents"/>
              <w:spacing w:before="0" w:after="0"/>
              <w:ind w:left="0" w:right="0" w:hanging="0"/>
              <w:rPr/>
            </w:pPr>
            <w:r>
              <w:rPr/>
              <w:t> </w:t>
            </w:r>
          </w:p>
        </w:tc>
        <w:tc>
          <w:tcPr>
            <w:tcW w:w="5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30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20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0.55</w:t>
            </w:r>
          </w:p>
        </w:tc>
        <w:tc>
          <w:tcPr>
            <w:tcW w:w="113"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60" w:name="PB_34_153903_3020"/>
      <w:bookmarkEnd w:id="6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75"/>
        <w:gridCol w:w="110"/>
        <w:gridCol w:w="777"/>
        <w:gridCol w:w="110"/>
        <w:gridCol w:w="778"/>
        <w:gridCol w:w="110"/>
        <w:gridCol w:w="887"/>
        <w:gridCol w:w="110"/>
        <w:gridCol w:w="555"/>
        <w:gridCol w:w="333"/>
        <w:gridCol w:w="221"/>
        <w:gridCol w:w="778"/>
        <w:gridCol w:w="110"/>
        <w:gridCol w:w="777"/>
        <w:gridCol w:w="110"/>
        <w:gridCol w:w="778"/>
        <w:gridCol w:w="110"/>
        <w:gridCol w:w="554"/>
        <w:gridCol w:w="222"/>
      </w:tblGrid>
      <w:tr>
        <w:trPr/>
        <w:tc>
          <w:tcPr>
            <w:tcW w:w="277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center"/>
              <w:rPr/>
            </w:pPr>
            <w:r>
              <w:rPr/>
              <w:t> </w:t>
            </w:r>
          </w:p>
        </w:tc>
        <w:tc>
          <w:tcPr>
            <w:tcW w:w="1665" w:type="dxa"/>
            <w:gridSpan w:val="3"/>
            <w:tcBorders/>
            <w:shd w:fill="auto" w:val="cle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jc w:val="center"/>
              <w:rPr/>
            </w:pPr>
            <w:r>
              <w:rPr/>
              <w:t> </w:t>
            </w:r>
          </w:p>
        </w:tc>
        <w:tc>
          <w:tcPr>
            <w:tcW w:w="155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554" w:type="dxa"/>
            <w:gridSpan w:val="2"/>
            <w:tcBorders/>
            <w:shd w:fill="auto" w:val="clear"/>
            <w:vAlign w:val="bottom"/>
          </w:tcPr>
          <w:p>
            <w:pPr>
              <w:pStyle w:val="TableContents"/>
              <w:spacing w:before="0" w:after="0"/>
              <w:ind w:left="0" w:right="0" w:hanging="0"/>
              <w:jc w:val="center"/>
              <w:rPr/>
            </w:pPr>
            <w:r>
              <w:rPr/>
              <w:t> </w:t>
            </w:r>
          </w:p>
        </w:tc>
        <w:tc>
          <w:tcPr>
            <w:tcW w:w="1665" w:type="dxa"/>
            <w:gridSpan w:val="3"/>
            <w:tcBorders/>
            <w:shd w:fill="auto" w:val="cle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jc w:val="center"/>
              <w:rPr/>
            </w:pPr>
            <w:r>
              <w:rPr/>
              <w:t> </w:t>
            </w:r>
          </w:p>
        </w:tc>
        <w:tc>
          <w:tcPr>
            <w:tcW w:w="144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2" w:type="dxa"/>
            <w:tcBorders/>
            <w:shd w:fill="auto" w:val="clear"/>
            <w:vAlign w:val="bottom"/>
          </w:tcPr>
          <w:p>
            <w:pPr>
              <w:pStyle w:val="TableContents"/>
              <w:spacing w:before="0" w:after="0"/>
              <w:ind w:left="0" w:right="0" w:hanging="0"/>
              <w:jc w:val="center"/>
              <w:rPr/>
            </w:pPr>
            <w:r>
              <w:rPr/>
              <w:t> </w:t>
            </w:r>
          </w:p>
        </w:tc>
      </w:tr>
      <w:tr>
        <w:trPr/>
        <w:tc>
          <w:tcPr>
            <w:tcW w:w="277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center"/>
              <w:rPr/>
            </w:pPr>
            <w:r>
              <w:rPr/>
              <w:t> </w:t>
            </w:r>
          </w:p>
        </w:tc>
        <w:tc>
          <w:tcPr>
            <w:tcW w:w="1665"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10" w:type="dxa"/>
            <w:tcBorders/>
            <w:shd w:fill="auto" w:val="clear"/>
            <w:vAlign w:val="bottom"/>
          </w:tcPr>
          <w:p>
            <w:pPr>
              <w:pStyle w:val="TableContents"/>
              <w:spacing w:before="0" w:after="0"/>
              <w:ind w:left="0" w:right="0" w:hanging="0"/>
              <w:jc w:val="center"/>
              <w:rPr/>
            </w:pPr>
            <w:r>
              <w:rPr/>
              <w:t> </w:t>
            </w:r>
          </w:p>
        </w:tc>
        <w:tc>
          <w:tcPr>
            <w:tcW w:w="155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554" w:type="dxa"/>
            <w:gridSpan w:val="2"/>
            <w:tcBorders/>
            <w:shd w:fill="auto" w:val="clear"/>
            <w:vAlign w:val="bottom"/>
          </w:tcPr>
          <w:p>
            <w:pPr>
              <w:pStyle w:val="TableContents"/>
              <w:spacing w:before="0" w:after="0"/>
              <w:ind w:left="0" w:right="0" w:hanging="0"/>
              <w:jc w:val="center"/>
              <w:rPr/>
            </w:pPr>
            <w:r>
              <w:rPr/>
              <w:t> </w:t>
            </w:r>
          </w:p>
        </w:tc>
        <w:tc>
          <w:tcPr>
            <w:tcW w:w="1665"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10" w:type="dxa"/>
            <w:tcBorders/>
            <w:shd w:fill="auto" w:val="clear"/>
            <w:vAlign w:val="bottom"/>
          </w:tcPr>
          <w:p>
            <w:pPr>
              <w:pStyle w:val="TableContents"/>
              <w:spacing w:before="0" w:after="0"/>
              <w:ind w:left="0" w:right="0" w:hanging="0"/>
              <w:jc w:val="center"/>
              <w:rPr/>
            </w:pPr>
            <w:r>
              <w:rPr/>
              <w:t> </w:t>
            </w:r>
          </w:p>
        </w:tc>
        <w:tc>
          <w:tcPr>
            <w:tcW w:w="144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2" w:type="dxa"/>
            <w:tcBorders/>
            <w:shd w:fill="auto" w:val="clear"/>
            <w:vAlign w:val="bottom"/>
          </w:tcPr>
          <w:p>
            <w:pPr>
              <w:pStyle w:val="TableContents"/>
              <w:spacing w:before="0" w:after="0"/>
              <w:ind w:left="0" w:right="0" w:hanging="0"/>
              <w:jc w:val="center"/>
              <w:rPr/>
            </w:pPr>
            <w:r>
              <w:rPr/>
              <w:t> </w:t>
            </w:r>
          </w:p>
        </w:tc>
      </w:tr>
      <w:tr>
        <w:trPr/>
        <w:tc>
          <w:tcPr>
            <w:tcW w:w="2775"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110" w:type="dxa"/>
            <w:tcBorders/>
            <w:shd w:fill="auto" w:val="clear"/>
            <w:vAlign w:val="bottom"/>
          </w:tcPr>
          <w:p>
            <w:pPr>
              <w:pStyle w:val="TableContents"/>
              <w:spacing w:before="0" w:after="0"/>
              <w:ind w:left="0" w:right="0" w:hanging="0"/>
              <w:jc w:val="center"/>
              <w:rPr/>
            </w:pPr>
            <w:r>
              <w:rPr/>
              <w:t> </w:t>
            </w:r>
          </w:p>
        </w:tc>
        <w:tc>
          <w:tcPr>
            <w:tcW w:w="1665"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0" w:type="dxa"/>
            <w:tcBorders/>
            <w:shd w:fill="auto" w:val="clear"/>
            <w:vAlign w:val="bottom"/>
          </w:tcPr>
          <w:p>
            <w:pPr>
              <w:pStyle w:val="TableContents"/>
              <w:spacing w:before="0" w:after="0"/>
              <w:ind w:left="0" w:right="0" w:hanging="0"/>
              <w:jc w:val="center"/>
              <w:rPr/>
            </w:pPr>
            <w:r>
              <w:rPr/>
              <w:t> </w:t>
            </w:r>
          </w:p>
        </w:tc>
        <w:tc>
          <w:tcPr>
            <w:tcW w:w="1552"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554" w:type="dxa"/>
            <w:gridSpan w:val="2"/>
            <w:tcBorders/>
            <w:shd w:fill="auto" w:val="clear"/>
            <w:vAlign w:val="bottom"/>
          </w:tcPr>
          <w:p>
            <w:pPr>
              <w:pStyle w:val="TableContents"/>
              <w:spacing w:before="0" w:after="0"/>
              <w:ind w:left="0" w:right="0" w:hanging="0"/>
              <w:jc w:val="center"/>
              <w:rPr/>
            </w:pPr>
            <w:r>
              <w:rPr/>
              <w:t> </w:t>
            </w:r>
          </w:p>
        </w:tc>
        <w:tc>
          <w:tcPr>
            <w:tcW w:w="1665"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0" w:type="dxa"/>
            <w:tcBorders/>
            <w:shd w:fill="auto" w:val="clear"/>
            <w:vAlign w:val="bottom"/>
          </w:tcPr>
          <w:p>
            <w:pPr>
              <w:pStyle w:val="TableContents"/>
              <w:spacing w:before="0" w:after="0"/>
              <w:ind w:left="0" w:right="0" w:hanging="0"/>
              <w:jc w:val="center"/>
              <w:rPr/>
            </w:pPr>
            <w:r>
              <w:rPr/>
              <w:t> </w:t>
            </w:r>
          </w:p>
        </w:tc>
        <w:tc>
          <w:tcPr>
            <w:tcW w:w="1442"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2" w:type="dxa"/>
            <w:tcBorders/>
            <w:shd w:fill="auto" w:val="clear"/>
            <w:vAlign w:val="bottom"/>
          </w:tcPr>
          <w:p>
            <w:pPr>
              <w:pStyle w:val="TableContents"/>
              <w:spacing w:before="0" w:after="0"/>
              <w:ind w:left="0" w:right="0" w:hanging="0"/>
              <w:jc w:val="center"/>
              <w:rPr/>
            </w:pPr>
            <w:r>
              <w:rPr/>
              <w:t> </w:t>
            </w:r>
          </w:p>
        </w:tc>
      </w:tr>
      <w:tr>
        <w:trPr/>
        <w:tc>
          <w:tcPr>
            <w:tcW w:w="2775"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(in thousands of barrels per day) </w:t>
            </w:r>
            <w:r>
              <w:rPr>
                <w:b/>
                <w:sz w:val="8"/>
              </w:rPr>
              <w:t>(4)</w:t>
            </w:r>
          </w:p>
        </w:tc>
        <w:tc>
          <w:tcPr>
            <w:tcW w:w="110" w:type="dxa"/>
            <w:tcBorders/>
            <w:shd w:fill="auto" w:val="clear"/>
            <w:vAlign w:val="bottom"/>
          </w:tcPr>
          <w:p>
            <w:pPr>
              <w:pStyle w:val="TableContents"/>
              <w:spacing w:before="0" w:after="0"/>
              <w:ind w:left="0" w:right="0" w:hanging="0"/>
              <w:jc w:val="center"/>
              <w:rPr/>
            </w:pPr>
            <w:r>
              <w:rPr/>
              <w:t> </w:t>
            </w:r>
          </w:p>
        </w:tc>
        <w:tc>
          <w:tcPr>
            <w:tcW w:w="77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7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0" w:type="dxa"/>
            <w:tcBorders/>
            <w:shd w:fill="auto" w:val="clear"/>
            <w:vAlign w:val="bottom"/>
          </w:tcPr>
          <w:p>
            <w:pPr>
              <w:pStyle w:val="TableContents"/>
              <w:spacing w:before="0" w:after="0"/>
              <w:ind w:left="0" w:right="0" w:hanging="0"/>
              <w:jc w:val="center"/>
              <w:rPr/>
            </w:pPr>
            <w:r>
              <w:rPr/>
              <w:t> </w:t>
            </w:r>
          </w:p>
        </w:tc>
        <w:tc>
          <w:tcPr>
            <w:tcW w:w="88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5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554" w:type="dxa"/>
            <w:gridSpan w:val="2"/>
            <w:tcBorders/>
            <w:shd w:fill="auto" w:val="clear"/>
            <w:vAlign w:val="bottom"/>
          </w:tcPr>
          <w:p>
            <w:pPr>
              <w:pStyle w:val="TableContents"/>
              <w:spacing w:before="0" w:after="0"/>
              <w:ind w:left="0" w:right="0" w:hanging="0"/>
              <w:jc w:val="center"/>
              <w:rPr/>
            </w:pPr>
            <w:r>
              <w:rPr/>
              <w:t> </w:t>
            </w:r>
          </w:p>
        </w:tc>
        <w:tc>
          <w:tcPr>
            <w:tcW w:w="77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7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0" w:type="dxa"/>
            <w:tcBorders/>
            <w:shd w:fill="auto" w:val="clear"/>
            <w:vAlign w:val="bottom"/>
          </w:tcPr>
          <w:p>
            <w:pPr>
              <w:pStyle w:val="TableContents"/>
              <w:spacing w:before="0" w:after="0"/>
              <w:ind w:left="0" w:right="0" w:hanging="0"/>
              <w:jc w:val="center"/>
              <w:rPr/>
            </w:pPr>
            <w:r>
              <w:rPr/>
              <w:t> </w:t>
            </w:r>
          </w:p>
        </w:tc>
        <w:tc>
          <w:tcPr>
            <w:tcW w:w="77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5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2" w:type="dxa"/>
            <w:tcBorders/>
            <w:shd w:fill="auto" w:val="clear"/>
            <w:vAlign w:val="bottom"/>
          </w:tcPr>
          <w:p>
            <w:pPr>
              <w:pStyle w:val="TableContents"/>
              <w:spacing w:before="0" w:after="0"/>
              <w:ind w:left="0" w:right="0" w:hanging="0"/>
              <w:jc w:val="center"/>
              <w:rPr/>
            </w:pPr>
            <w:r>
              <w:rPr/>
              <w:t> </w:t>
            </w:r>
          </w:p>
        </w:tc>
      </w:tr>
      <w:tr>
        <w:trPr/>
        <w:tc>
          <w:tcPr>
            <w:tcW w:w="27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Tariff activities </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887" w:type="dxa"/>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555" w:type="dxa"/>
            <w:tcBorders/>
            <w:shd w:fill="CCEEFF" w:val="clear"/>
            <w:vAlign w:val="bottom"/>
          </w:tcPr>
          <w:p>
            <w:pPr>
              <w:pStyle w:val="TableContents"/>
              <w:spacing w:before="0" w:after="0"/>
              <w:ind w:left="0" w:right="0" w:hanging="0"/>
              <w:jc w:val="right"/>
              <w:rPr/>
            </w:pPr>
            <w:r>
              <w:rPr/>
              <w:t> </w:t>
            </w:r>
          </w:p>
        </w:tc>
        <w:tc>
          <w:tcPr>
            <w:tcW w:w="33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221"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554" w:type="dxa"/>
            <w:tcBorders/>
            <w:shd w:fill="CCEEFF" w:val="clear"/>
            <w:vAlign w:val="bottom"/>
          </w:tcPr>
          <w:p>
            <w:pPr>
              <w:pStyle w:val="TableContents"/>
              <w:spacing w:before="0" w:after="0"/>
              <w:ind w:left="0" w:right="0" w:hanging="0"/>
              <w:jc w:val="right"/>
              <w:rPr/>
            </w:pPr>
            <w:r>
              <w:rPr/>
              <w:t> </w:t>
            </w:r>
          </w:p>
        </w:tc>
        <w:tc>
          <w:tcPr>
            <w:tcW w:w="222" w:type="dxa"/>
            <w:tcBorders/>
            <w:shd w:fill="CCEEFF" w:val="clear"/>
            <w:vAlign w:val="bottom"/>
          </w:tcPr>
          <w:p>
            <w:pPr>
              <w:pStyle w:val="TableContents"/>
              <w:spacing w:before="0" w:after="0"/>
              <w:ind w:left="0" w:right="0" w:hanging="0"/>
              <w:rPr/>
            </w:pPr>
            <w:r>
              <w:rPr/>
              <w:t> </w:t>
            </w:r>
          </w:p>
        </w:tc>
      </w:tr>
      <w:tr>
        <w:trPr/>
        <w:tc>
          <w:tcPr>
            <w:tcW w:w="27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Pipelines </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887"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555" w:type="dxa"/>
            <w:tcBorders/>
            <w:shd w:fill="auto" w:val="clear"/>
            <w:vAlign w:val="bottom"/>
          </w:tcPr>
          <w:p>
            <w:pPr>
              <w:pStyle w:val="TableContents"/>
              <w:spacing w:before="0" w:after="0"/>
              <w:ind w:left="0" w:right="0" w:hanging="0"/>
              <w:jc w:val="right"/>
              <w:rPr/>
            </w:pPr>
            <w:r>
              <w:rPr/>
              <w:t> </w:t>
            </w:r>
          </w:p>
        </w:tc>
        <w:tc>
          <w:tcPr>
            <w:tcW w:w="33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554" w:type="dxa"/>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r>
      <w:tr>
        <w:trPr/>
        <w:tc>
          <w:tcPr>
            <w:tcW w:w="27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10" w:type="dxa"/>
            <w:tcBorders/>
            <w:shd w:fill="CCEEFF" w:val="clear"/>
            <w:vAlign w:val="bottom"/>
          </w:tcPr>
          <w:p>
            <w:pPr>
              <w:pStyle w:val="TableContents"/>
              <w:spacing w:before="0" w:after="0"/>
              <w:ind w:left="0" w:right="0" w:hanging="0"/>
              <w:rPr/>
            </w:pPr>
            <w:r>
              <w:rPr/>
              <w:t> </w:t>
            </w:r>
          </w:p>
        </w:tc>
        <w:tc>
          <w:tcPr>
            <w:tcW w:w="8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0" w:type="dxa"/>
            <w:tcBorders/>
            <w:shd w:fill="CCEEFF" w:val="clear"/>
            <w:vAlign w:val="bottom"/>
          </w:tcPr>
          <w:p>
            <w:pPr>
              <w:pStyle w:val="TableContents"/>
              <w:spacing w:before="0" w:after="0"/>
              <w:ind w:left="0" w:right="0" w:hanging="0"/>
              <w:rPr/>
            </w:pPr>
            <w:r>
              <w:rPr/>
              <w:t> </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0" w:type="dxa"/>
            <w:tcBorders/>
            <w:shd w:fill="CCEEFF" w:val="clear"/>
            <w:vAlign w:val="bottom"/>
          </w:tcPr>
          <w:p>
            <w:pPr>
              <w:pStyle w:val="TableContents"/>
              <w:spacing w:before="0" w:after="0"/>
              <w:ind w:left="0" w:right="0" w:hanging="0"/>
              <w:rPr/>
            </w:pPr>
            <w:r>
              <w:rPr/>
              <w:t> </w:t>
            </w:r>
          </w:p>
        </w:tc>
        <w:tc>
          <w:tcPr>
            <w:tcW w:w="5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Bakken Area Systems </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10" w:type="dxa"/>
            <w:tcBorders/>
            <w:shd w:fill="auto" w:val="clear"/>
            <w:vAlign w:val="bottom"/>
          </w:tcPr>
          <w:p>
            <w:pPr>
              <w:pStyle w:val="TableContents"/>
              <w:spacing w:before="0" w:after="0"/>
              <w:ind w:left="0" w:right="0" w:hanging="0"/>
              <w:rPr/>
            </w:pPr>
            <w:r>
              <w:rPr/>
              <w:t> </w:t>
            </w:r>
          </w:p>
        </w:tc>
        <w:tc>
          <w:tcPr>
            <w:tcW w:w="8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0" w:type="dxa"/>
            <w:tcBorders/>
            <w:shd w:fill="auto" w:val="clear"/>
            <w:vAlign w:val="bottom"/>
          </w:tcPr>
          <w:p>
            <w:pPr>
              <w:pStyle w:val="TableContents"/>
              <w:spacing w:before="0" w:after="0"/>
              <w:ind w:left="0" w:right="0" w:hanging="0"/>
              <w:rPr/>
            </w:pPr>
            <w:r>
              <w:rPr/>
              <w:t> </w:t>
            </w:r>
          </w:p>
        </w:tc>
        <w:tc>
          <w:tcPr>
            <w:tcW w:w="5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33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Basin / Mesa </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731</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678</w:t>
            </w:r>
          </w:p>
        </w:tc>
        <w:tc>
          <w:tcPr>
            <w:tcW w:w="110" w:type="dxa"/>
            <w:tcBorders/>
            <w:shd w:fill="CCEEFF" w:val="clear"/>
            <w:vAlign w:val="bottom"/>
          </w:tcPr>
          <w:p>
            <w:pPr>
              <w:pStyle w:val="TableContents"/>
              <w:spacing w:before="0" w:after="0"/>
              <w:ind w:left="0" w:right="0" w:hanging="0"/>
              <w:rPr/>
            </w:pPr>
            <w:r>
              <w:rPr/>
              <w:t> </w:t>
            </w:r>
          </w:p>
        </w:tc>
        <w:tc>
          <w:tcPr>
            <w:tcW w:w="8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10" w:type="dxa"/>
            <w:tcBorders/>
            <w:shd w:fill="CCEEFF" w:val="clear"/>
            <w:vAlign w:val="bottom"/>
          </w:tcPr>
          <w:p>
            <w:pPr>
              <w:pStyle w:val="TableContents"/>
              <w:spacing w:before="0" w:after="0"/>
              <w:ind w:left="0" w:right="0" w:hanging="0"/>
              <w:rPr/>
            </w:pPr>
            <w:r>
              <w:rPr/>
              <w:t> </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712</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676</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10" w:type="dxa"/>
            <w:tcBorders/>
            <w:shd w:fill="CCEEFF" w:val="clear"/>
            <w:vAlign w:val="bottom"/>
          </w:tcPr>
          <w:p>
            <w:pPr>
              <w:pStyle w:val="TableContents"/>
              <w:spacing w:before="0" w:after="0"/>
              <w:ind w:left="0" w:right="0" w:hanging="0"/>
              <w:rPr/>
            </w:pPr>
            <w:r>
              <w:rPr/>
              <w:t> </w:t>
            </w:r>
          </w:p>
        </w:tc>
        <w:tc>
          <w:tcPr>
            <w:tcW w:w="5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Capline </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10" w:type="dxa"/>
            <w:tcBorders/>
            <w:shd w:fill="auto" w:val="clear"/>
            <w:vAlign w:val="bottom"/>
          </w:tcPr>
          <w:p>
            <w:pPr>
              <w:pStyle w:val="TableContents"/>
              <w:spacing w:before="0" w:after="0"/>
              <w:ind w:left="0" w:right="0" w:hanging="0"/>
              <w:rPr/>
            </w:pPr>
            <w:r>
              <w:rPr/>
              <w:t> </w:t>
            </w:r>
          </w:p>
        </w:tc>
        <w:tc>
          <w:tcPr>
            <w:tcW w:w="8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3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0" w:type="dxa"/>
            <w:tcBorders/>
            <w:shd w:fill="auto" w:val="clear"/>
            <w:vAlign w:val="bottom"/>
          </w:tcPr>
          <w:p>
            <w:pPr>
              <w:pStyle w:val="TableContents"/>
              <w:spacing w:before="0" w:after="0"/>
              <w:ind w:left="0" w:right="0" w:hanging="0"/>
              <w:rPr/>
            </w:pPr>
            <w:r>
              <w:rPr/>
              <w:t> </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Eagle Ford Area Systems </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0" w:type="dxa"/>
            <w:tcBorders/>
            <w:shd w:fill="CCEEFF" w:val="clear"/>
            <w:vAlign w:val="bottom"/>
          </w:tcPr>
          <w:p>
            <w:pPr>
              <w:pStyle w:val="TableContents"/>
              <w:spacing w:before="0" w:after="0"/>
              <w:ind w:left="0" w:right="0" w:hanging="0"/>
              <w:rPr/>
            </w:pPr>
            <w:r>
              <w:rPr/>
              <w:t> </w:t>
            </w:r>
          </w:p>
        </w:tc>
        <w:tc>
          <w:tcPr>
            <w:tcW w:w="8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10" w:type="dxa"/>
            <w:tcBorders/>
            <w:shd w:fill="CCEEFF" w:val="clear"/>
            <w:vAlign w:val="bottom"/>
          </w:tcPr>
          <w:p>
            <w:pPr>
              <w:pStyle w:val="TableContents"/>
              <w:spacing w:before="0" w:after="0"/>
              <w:ind w:left="0" w:right="0" w:hanging="0"/>
              <w:rPr/>
            </w:pPr>
            <w:r>
              <w:rPr/>
              <w:t> </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3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10" w:type="dxa"/>
            <w:tcBorders/>
            <w:shd w:fill="CCEEFF" w:val="clear"/>
            <w:vAlign w:val="bottom"/>
          </w:tcPr>
          <w:p>
            <w:pPr>
              <w:pStyle w:val="TableContents"/>
              <w:spacing w:before="0" w:after="0"/>
              <w:ind w:left="0" w:right="0" w:hanging="0"/>
              <w:rPr/>
            </w:pPr>
            <w:r>
              <w:rPr/>
              <w:t> </w:t>
            </w:r>
          </w:p>
        </w:tc>
        <w:tc>
          <w:tcPr>
            <w:tcW w:w="5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Line 63 / Line 2000 </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10" w:type="dxa"/>
            <w:tcBorders/>
            <w:shd w:fill="auto" w:val="clear"/>
            <w:vAlign w:val="bottom"/>
          </w:tcPr>
          <w:p>
            <w:pPr>
              <w:pStyle w:val="TableContents"/>
              <w:spacing w:before="0" w:after="0"/>
              <w:ind w:left="0" w:right="0" w:hanging="0"/>
              <w:rPr/>
            </w:pPr>
            <w:r>
              <w:rPr/>
              <w:t> </w:t>
            </w:r>
          </w:p>
        </w:tc>
        <w:tc>
          <w:tcPr>
            <w:tcW w:w="8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33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Manito </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10" w:type="dxa"/>
            <w:tcBorders/>
            <w:shd w:fill="CCEEFF" w:val="clear"/>
            <w:vAlign w:val="bottom"/>
          </w:tcPr>
          <w:p>
            <w:pPr>
              <w:pStyle w:val="TableContents"/>
              <w:spacing w:before="0" w:after="0"/>
              <w:ind w:left="0" w:right="0" w:hanging="0"/>
              <w:rPr/>
            </w:pPr>
            <w:r>
              <w:rPr/>
              <w:t> </w:t>
            </w:r>
          </w:p>
        </w:tc>
        <w:tc>
          <w:tcPr>
            <w:tcW w:w="8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Mid-Continent Area Systems </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110" w:type="dxa"/>
            <w:tcBorders/>
            <w:shd w:fill="auto" w:val="clear"/>
            <w:vAlign w:val="bottom"/>
          </w:tcPr>
          <w:p>
            <w:pPr>
              <w:pStyle w:val="TableContents"/>
              <w:spacing w:before="0" w:after="0"/>
              <w:ind w:left="0" w:right="0" w:hanging="0"/>
              <w:rPr/>
            </w:pPr>
            <w:r>
              <w:rPr/>
              <w:t> </w:t>
            </w:r>
          </w:p>
        </w:tc>
        <w:tc>
          <w:tcPr>
            <w:tcW w:w="8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33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0" w:type="dxa"/>
            <w:tcBorders/>
            <w:shd w:fill="auto" w:val="clear"/>
            <w:vAlign w:val="bottom"/>
          </w:tcPr>
          <w:p>
            <w:pPr>
              <w:pStyle w:val="TableContents"/>
              <w:spacing w:before="0" w:after="0"/>
              <w:ind w:left="0" w:right="0" w:hanging="0"/>
              <w:rPr/>
            </w:pPr>
            <w:r>
              <w:rPr/>
              <w:t> </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Permian Basin Area Systems </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593</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w:t>
            </w:r>
          </w:p>
        </w:tc>
        <w:tc>
          <w:tcPr>
            <w:tcW w:w="110" w:type="dxa"/>
            <w:tcBorders/>
            <w:shd w:fill="CCEEFF" w:val="clear"/>
            <w:vAlign w:val="bottom"/>
          </w:tcPr>
          <w:p>
            <w:pPr>
              <w:pStyle w:val="TableContents"/>
              <w:spacing w:before="0" w:after="0"/>
              <w:ind w:left="0" w:right="0" w:hanging="0"/>
              <w:rPr/>
            </w:pPr>
            <w:r>
              <w:rPr/>
              <w:t> </w:t>
            </w:r>
          </w:p>
        </w:tc>
        <w:tc>
          <w:tcPr>
            <w:tcW w:w="8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10" w:type="dxa"/>
            <w:tcBorders/>
            <w:shd w:fill="CCEEFF" w:val="clear"/>
            <w:vAlign w:val="bottom"/>
          </w:tcPr>
          <w:p>
            <w:pPr>
              <w:pStyle w:val="TableContents"/>
              <w:spacing w:before="0" w:after="0"/>
              <w:ind w:left="0" w:right="0" w:hanging="0"/>
              <w:rPr/>
            </w:pPr>
            <w:r>
              <w:rPr/>
              <w:t> </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3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540</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110" w:type="dxa"/>
            <w:tcBorders/>
            <w:shd w:fill="CCEEFF" w:val="clear"/>
            <w:vAlign w:val="bottom"/>
          </w:tcPr>
          <w:p>
            <w:pPr>
              <w:pStyle w:val="TableContents"/>
              <w:spacing w:before="0" w:after="0"/>
              <w:ind w:left="0" w:right="0" w:hanging="0"/>
              <w:rPr/>
            </w:pPr>
            <w:r>
              <w:rPr/>
              <w:t> </w:t>
            </w:r>
          </w:p>
        </w:tc>
        <w:tc>
          <w:tcPr>
            <w:tcW w:w="5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Rainbow </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10" w:type="dxa"/>
            <w:tcBorders/>
            <w:shd w:fill="auto" w:val="clear"/>
            <w:vAlign w:val="bottom"/>
          </w:tcPr>
          <w:p>
            <w:pPr>
              <w:pStyle w:val="TableContents"/>
              <w:spacing w:before="0" w:after="0"/>
              <w:ind w:left="0" w:right="0" w:hanging="0"/>
              <w:rPr/>
            </w:pPr>
            <w:r>
              <w:rPr/>
              <w:t> </w:t>
            </w:r>
          </w:p>
        </w:tc>
        <w:tc>
          <w:tcPr>
            <w:tcW w:w="8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33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Rangeland </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10" w:type="dxa"/>
            <w:tcBorders/>
            <w:shd w:fill="CCEEFF" w:val="clear"/>
            <w:vAlign w:val="bottom"/>
          </w:tcPr>
          <w:p>
            <w:pPr>
              <w:pStyle w:val="TableContents"/>
              <w:spacing w:before="0" w:after="0"/>
              <w:ind w:left="0" w:right="0" w:hanging="0"/>
              <w:rPr/>
            </w:pPr>
            <w:r>
              <w:rPr/>
              <w:t> </w:t>
            </w:r>
          </w:p>
        </w:tc>
        <w:tc>
          <w:tcPr>
            <w:tcW w:w="8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Salt Lake City Area Systems </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110" w:type="dxa"/>
            <w:tcBorders/>
            <w:shd w:fill="auto" w:val="clear"/>
            <w:vAlign w:val="bottom"/>
          </w:tcPr>
          <w:p>
            <w:pPr>
              <w:pStyle w:val="TableContents"/>
              <w:spacing w:before="0" w:after="0"/>
              <w:ind w:left="0" w:right="0" w:hanging="0"/>
              <w:rPr/>
            </w:pPr>
            <w:r>
              <w:rPr/>
              <w:t> </w:t>
            </w:r>
          </w:p>
        </w:tc>
        <w:tc>
          <w:tcPr>
            <w:tcW w:w="8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33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South Saskatchewan </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10" w:type="dxa"/>
            <w:tcBorders/>
            <w:shd w:fill="CCEEFF" w:val="clear"/>
            <w:vAlign w:val="bottom"/>
          </w:tcPr>
          <w:p>
            <w:pPr>
              <w:pStyle w:val="TableContents"/>
              <w:spacing w:before="0" w:after="0"/>
              <w:ind w:left="0" w:right="0" w:hanging="0"/>
              <w:rPr/>
            </w:pPr>
            <w:r>
              <w:rPr/>
              <w:t> </w:t>
            </w:r>
          </w:p>
        </w:tc>
        <w:tc>
          <w:tcPr>
            <w:tcW w:w="8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White Cliffs </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0" w:type="dxa"/>
            <w:tcBorders/>
            <w:shd w:fill="auto" w:val="clear"/>
            <w:vAlign w:val="bottom"/>
          </w:tcPr>
          <w:p>
            <w:pPr>
              <w:pStyle w:val="TableContents"/>
              <w:spacing w:before="0" w:after="0"/>
              <w:ind w:left="0" w:right="0" w:hanging="0"/>
              <w:rPr/>
            </w:pPr>
            <w:r>
              <w:rPr/>
              <w:t> </w:t>
            </w:r>
          </w:p>
        </w:tc>
        <w:tc>
          <w:tcPr>
            <w:tcW w:w="8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0" w:type="dxa"/>
            <w:tcBorders/>
            <w:shd w:fill="auto" w:val="clear"/>
            <w:vAlign w:val="bottom"/>
          </w:tcPr>
          <w:p>
            <w:pPr>
              <w:pStyle w:val="TableContents"/>
              <w:spacing w:before="0" w:after="0"/>
              <w:ind w:left="0" w:right="0" w:hanging="0"/>
              <w:rPr/>
            </w:pPr>
            <w:r>
              <w:rPr/>
              <w:t> </w:t>
            </w:r>
          </w:p>
        </w:tc>
        <w:tc>
          <w:tcPr>
            <w:tcW w:w="5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33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0" w:type="dxa"/>
            <w:tcBorders/>
            <w:shd w:fill="auto" w:val="clear"/>
            <w:vAlign w:val="bottom"/>
          </w:tcPr>
          <w:p>
            <w:pPr>
              <w:pStyle w:val="TableContents"/>
              <w:spacing w:before="0" w:after="0"/>
              <w:ind w:left="0" w:right="0" w:hanging="0"/>
              <w:rPr/>
            </w:pPr>
            <w:r>
              <w:rPr/>
              <w:t> </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738</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670</w:t>
            </w:r>
          </w:p>
        </w:tc>
        <w:tc>
          <w:tcPr>
            <w:tcW w:w="110" w:type="dxa"/>
            <w:tcBorders/>
            <w:shd w:fill="CCEEFF" w:val="clear"/>
            <w:vAlign w:val="bottom"/>
          </w:tcPr>
          <w:p>
            <w:pPr>
              <w:pStyle w:val="TableContents"/>
              <w:spacing w:before="0" w:after="0"/>
              <w:ind w:left="0" w:right="0" w:hanging="0"/>
              <w:rPr/>
            </w:pPr>
            <w:r>
              <w:rPr/>
              <w:t> </w:t>
            </w:r>
          </w:p>
        </w:tc>
        <w:tc>
          <w:tcPr>
            <w:tcW w:w="8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10" w:type="dxa"/>
            <w:tcBorders/>
            <w:shd w:fill="CCEEFF" w:val="clear"/>
            <w:vAlign w:val="bottom"/>
          </w:tcPr>
          <w:p>
            <w:pPr>
              <w:pStyle w:val="TableContents"/>
              <w:spacing w:before="0" w:after="0"/>
              <w:ind w:left="0" w:right="0" w:hanging="0"/>
              <w:rPr/>
            </w:pPr>
            <w:r>
              <w:rPr/>
              <w:t> </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3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737</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10" w:type="dxa"/>
            <w:tcBorders/>
            <w:shd w:fill="CCEEFF" w:val="clear"/>
            <w:vAlign w:val="bottom"/>
          </w:tcPr>
          <w:p>
            <w:pPr>
              <w:pStyle w:val="TableContents"/>
              <w:spacing w:before="0" w:after="0"/>
              <w:ind w:left="0" w:right="0" w:hanging="0"/>
              <w:rPr/>
            </w:pPr>
            <w:r>
              <w:rPr/>
              <w:t> </w:t>
            </w:r>
          </w:p>
        </w:tc>
        <w:tc>
          <w:tcPr>
            <w:tcW w:w="5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Pipelines </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887"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555" w:type="dxa"/>
            <w:tcBorders/>
            <w:shd w:fill="auto" w:val="clear"/>
            <w:vAlign w:val="bottom"/>
          </w:tcPr>
          <w:p>
            <w:pPr>
              <w:pStyle w:val="TableContents"/>
              <w:spacing w:before="0" w:after="0"/>
              <w:ind w:left="0" w:right="0" w:hanging="0"/>
              <w:jc w:val="right"/>
              <w:rPr/>
            </w:pPr>
            <w:r>
              <w:rPr/>
              <w:t> </w:t>
            </w:r>
          </w:p>
        </w:tc>
        <w:tc>
          <w:tcPr>
            <w:tcW w:w="33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554" w:type="dxa"/>
            <w:tcBorders/>
            <w:shd w:fill="auto" w:val="clear"/>
            <w:vAlign w:val="bottom"/>
          </w:tcPr>
          <w:p>
            <w:pPr>
              <w:pStyle w:val="TableContents"/>
              <w:spacing w:before="0" w:after="0"/>
              <w:ind w:left="0" w:right="0" w:hanging="0"/>
              <w:jc w:val="right"/>
              <w:rPr/>
            </w:pPr>
            <w:r>
              <w:rPr/>
              <w:t> </w:t>
            </w:r>
          </w:p>
        </w:tc>
        <w:tc>
          <w:tcPr>
            <w:tcW w:w="222" w:type="dxa"/>
            <w:tcBorders/>
            <w:shd w:fill="auto" w:val="clear"/>
            <w:vAlign w:val="bottom"/>
          </w:tcPr>
          <w:p>
            <w:pPr>
              <w:pStyle w:val="TableContents"/>
              <w:spacing w:before="0" w:after="0"/>
              <w:ind w:left="0" w:right="0" w:hanging="0"/>
              <w:rPr/>
            </w:pPr>
            <w:r>
              <w:rPr/>
              <w:t> </w:t>
            </w:r>
          </w:p>
        </w:tc>
      </w:tr>
      <w:tr>
        <w:trPr/>
        <w:tc>
          <w:tcPr>
            <w:tcW w:w="27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Co-Ed </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10" w:type="dxa"/>
            <w:tcBorders/>
            <w:shd w:fill="CCEEFF" w:val="clear"/>
            <w:vAlign w:val="bottom"/>
          </w:tcPr>
          <w:p>
            <w:pPr>
              <w:pStyle w:val="TableContents"/>
              <w:spacing w:before="0" w:after="0"/>
              <w:ind w:left="0" w:right="0" w:hanging="0"/>
              <w:rPr/>
            </w:pPr>
            <w:r>
              <w:rPr/>
              <w:t> </w:t>
            </w:r>
          </w:p>
        </w:tc>
        <w:tc>
          <w:tcPr>
            <w:tcW w:w="8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3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10" w:type="dxa"/>
            <w:tcBorders/>
            <w:shd w:fill="CCEEFF" w:val="clear"/>
            <w:vAlign w:val="bottom"/>
          </w:tcPr>
          <w:p>
            <w:pPr>
              <w:pStyle w:val="TableContents"/>
              <w:spacing w:before="0" w:after="0"/>
              <w:ind w:left="0" w:right="0" w:hanging="0"/>
              <w:rPr/>
            </w:pPr>
            <w:r>
              <w:rPr/>
              <w:t> </w:t>
            </w:r>
          </w:p>
        </w:tc>
        <w:tc>
          <w:tcPr>
            <w:tcW w:w="77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10" w:type="dxa"/>
            <w:tcBorders/>
            <w:shd w:fill="CCEEFF" w:val="clear"/>
            <w:vAlign w:val="bottom"/>
          </w:tcPr>
          <w:p>
            <w:pPr>
              <w:pStyle w:val="TableContents"/>
              <w:spacing w:before="0" w:after="0"/>
              <w:ind w:left="0" w:right="0" w:hanging="0"/>
              <w:rPr/>
            </w:pPr>
            <w:r>
              <w:rPr/>
              <w:t> </w:t>
            </w:r>
          </w:p>
        </w:tc>
        <w:tc>
          <w:tcPr>
            <w:tcW w:w="7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0" w:type="dxa"/>
            <w:tcBorders/>
            <w:shd w:fill="CCEEFF" w:val="clear"/>
            <w:vAlign w:val="bottom"/>
          </w:tcPr>
          <w:p>
            <w:pPr>
              <w:pStyle w:val="TableContents"/>
              <w:spacing w:before="0" w:after="0"/>
              <w:ind w:left="0" w:right="0" w:hanging="0"/>
              <w:rPr/>
            </w:pPr>
            <w:r>
              <w:rPr/>
              <w:t> </w:t>
            </w:r>
          </w:p>
        </w:tc>
        <w:tc>
          <w:tcPr>
            <w:tcW w:w="5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10" w:type="dxa"/>
            <w:tcBorders/>
            <w:shd w:fill="auto" w:val="clear"/>
            <w:vAlign w:val="bottom"/>
          </w:tcPr>
          <w:p>
            <w:pPr>
              <w:pStyle w:val="TableContents"/>
              <w:spacing w:before="0" w:after="0"/>
              <w:ind w:left="0" w:right="0" w:hanging="0"/>
              <w:rPr/>
            </w:pPr>
            <w:r>
              <w:rPr/>
              <w:t> </w:t>
            </w:r>
          </w:p>
        </w:tc>
        <w:tc>
          <w:tcPr>
            <w:tcW w:w="8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33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10" w:type="dxa"/>
            <w:tcBorders/>
            <w:shd w:fill="auto" w:val="clear"/>
            <w:vAlign w:val="bottom"/>
          </w:tcPr>
          <w:p>
            <w:pPr>
              <w:pStyle w:val="TableContents"/>
              <w:spacing w:before="0" w:after="0"/>
              <w:ind w:left="0" w:right="0" w:hanging="0"/>
              <w:rPr/>
            </w:pPr>
            <w:r>
              <w:rPr/>
              <w:t> </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Refined Products Pipelines </w:t>
            </w:r>
          </w:p>
        </w:tc>
        <w:tc>
          <w:tcPr>
            <w:tcW w:w="110" w:type="dxa"/>
            <w:tcBorders/>
            <w:shd w:fill="CCEEFF" w:val="clear"/>
            <w:vAlign w:val="bottom"/>
          </w:tcPr>
          <w:p>
            <w:pPr>
              <w:pStyle w:val="TableContents"/>
              <w:spacing w:before="0" w:after="0"/>
              <w:ind w:left="0" w:right="0" w:hanging="0"/>
              <w:rPr/>
            </w:pPr>
            <w:r>
              <w:rPr/>
              <w:t> </w:t>
            </w:r>
          </w:p>
        </w:tc>
        <w:tc>
          <w:tcPr>
            <w:tcW w:w="77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10" w:type="dxa"/>
            <w:tcBorders/>
            <w:shd w:fill="CCEEFF" w:val="clear"/>
            <w:vAlign w:val="bottom"/>
          </w:tcPr>
          <w:p>
            <w:pPr>
              <w:pStyle w:val="TableContents"/>
              <w:spacing w:before="0" w:after="0"/>
              <w:ind w:left="0" w:right="0" w:hanging="0"/>
              <w:rPr/>
            </w:pPr>
            <w:r>
              <w:rPr/>
              <w:t> </w:t>
            </w:r>
          </w:p>
        </w:tc>
        <w:tc>
          <w:tcPr>
            <w:tcW w:w="77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10" w:type="dxa"/>
            <w:tcBorders/>
            <w:shd w:fill="CCEEFF" w:val="clear"/>
            <w:vAlign w:val="bottom"/>
          </w:tcPr>
          <w:p>
            <w:pPr>
              <w:pStyle w:val="TableContents"/>
              <w:spacing w:before="0" w:after="0"/>
              <w:ind w:left="0" w:right="0" w:hanging="0"/>
              <w:rPr/>
            </w:pPr>
            <w:r>
              <w:rPr/>
              <w:t> </w:t>
            </w:r>
          </w:p>
        </w:tc>
        <w:tc>
          <w:tcPr>
            <w:tcW w:w="88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3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77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10" w:type="dxa"/>
            <w:tcBorders/>
            <w:shd w:fill="CCEEFF" w:val="clear"/>
            <w:vAlign w:val="bottom"/>
          </w:tcPr>
          <w:p>
            <w:pPr>
              <w:pStyle w:val="TableContents"/>
              <w:spacing w:before="0" w:after="0"/>
              <w:ind w:left="0" w:right="0" w:hanging="0"/>
              <w:rPr/>
            </w:pPr>
            <w:r>
              <w:rPr/>
              <w:t> </w:t>
            </w:r>
          </w:p>
        </w:tc>
        <w:tc>
          <w:tcPr>
            <w:tcW w:w="77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10" w:type="dxa"/>
            <w:tcBorders/>
            <w:shd w:fill="CCEEFF" w:val="clear"/>
            <w:vAlign w:val="bottom"/>
          </w:tcPr>
          <w:p>
            <w:pPr>
              <w:pStyle w:val="TableContents"/>
              <w:spacing w:before="0" w:after="0"/>
              <w:ind w:left="0" w:right="0" w:hanging="0"/>
              <w:rPr/>
            </w:pPr>
            <w:r>
              <w:rPr/>
              <w:t> </w:t>
            </w:r>
          </w:p>
        </w:tc>
        <w:tc>
          <w:tcPr>
            <w:tcW w:w="77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Tariff activities total </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3,621</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3,423</w:t>
            </w:r>
          </w:p>
        </w:tc>
        <w:tc>
          <w:tcPr>
            <w:tcW w:w="110" w:type="dxa"/>
            <w:tcBorders/>
            <w:shd w:fill="auto" w:val="clear"/>
            <w:vAlign w:val="bottom"/>
          </w:tcPr>
          <w:p>
            <w:pPr>
              <w:pStyle w:val="TableContents"/>
              <w:spacing w:before="0" w:after="0"/>
              <w:ind w:left="0" w:right="0" w:hanging="0"/>
              <w:rPr/>
            </w:pPr>
            <w:r>
              <w:rPr/>
              <w:t> </w:t>
            </w:r>
          </w:p>
        </w:tc>
        <w:tc>
          <w:tcPr>
            <w:tcW w:w="8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10" w:type="dxa"/>
            <w:tcBorders/>
            <w:shd w:fill="auto" w:val="clear"/>
            <w:vAlign w:val="bottom"/>
          </w:tcPr>
          <w:p>
            <w:pPr>
              <w:pStyle w:val="TableContents"/>
              <w:spacing w:before="0" w:after="0"/>
              <w:ind w:left="0" w:right="0" w:hanging="0"/>
              <w:rPr/>
            </w:pPr>
            <w:r>
              <w:rPr/>
              <w:t> </w:t>
            </w:r>
          </w:p>
        </w:tc>
        <w:tc>
          <w:tcPr>
            <w:tcW w:w="5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3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3,549</w:t>
            </w:r>
          </w:p>
        </w:tc>
        <w:tc>
          <w:tcPr>
            <w:tcW w:w="110" w:type="dxa"/>
            <w:tcBorders/>
            <w:shd w:fill="auto" w:val="clear"/>
            <w:vAlign w:val="bottom"/>
          </w:tcPr>
          <w:p>
            <w:pPr>
              <w:pStyle w:val="TableContents"/>
              <w:spacing w:before="0" w:after="0"/>
              <w:ind w:left="0" w:right="0" w:hanging="0"/>
              <w:rPr/>
            </w:pPr>
            <w:r>
              <w:rPr/>
              <w:t> </w:t>
            </w:r>
          </w:p>
        </w:tc>
        <w:tc>
          <w:tcPr>
            <w:tcW w:w="77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3,317</w:t>
            </w:r>
          </w:p>
        </w:tc>
        <w:tc>
          <w:tcPr>
            <w:tcW w:w="110" w:type="dxa"/>
            <w:tcBorders/>
            <w:shd w:fill="auto" w:val="clear"/>
            <w:vAlign w:val="bottom"/>
          </w:tcPr>
          <w:p>
            <w:pPr>
              <w:pStyle w:val="TableContents"/>
              <w:spacing w:before="0" w:after="0"/>
              <w:ind w:left="0" w:right="0" w:hanging="0"/>
              <w:rPr/>
            </w:pPr>
            <w:r>
              <w:rPr/>
              <w:t> </w:t>
            </w:r>
          </w:p>
        </w:tc>
        <w:tc>
          <w:tcPr>
            <w:tcW w:w="7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110" w:type="dxa"/>
            <w:tcBorders/>
            <w:shd w:fill="auto" w:val="clear"/>
            <w:vAlign w:val="bottom"/>
          </w:tcPr>
          <w:p>
            <w:pPr>
              <w:pStyle w:val="TableContents"/>
              <w:spacing w:before="0" w:after="0"/>
              <w:ind w:left="0" w:right="0" w:hanging="0"/>
              <w:rPr/>
            </w:pPr>
            <w:r>
              <w:rPr/>
              <w:t> </w:t>
            </w:r>
          </w:p>
        </w:tc>
        <w:tc>
          <w:tcPr>
            <w:tcW w:w="5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110" w:type="dxa"/>
            <w:tcBorders/>
            <w:shd w:fill="CCEEFF" w:val="clear"/>
            <w:vAlign w:val="bottom"/>
          </w:tcPr>
          <w:p>
            <w:pPr>
              <w:pStyle w:val="TableContents"/>
              <w:spacing w:before="0" w:after="0"/>
              <w:ind w:left="0" w:right="0" w:hanging="0"/>
              <w:rPr/>
            </w:pPr>
            <w:r>
              <w:rPr/>
              <w:t> </w:t>
            </w:r>
          </w:p>
        </w:tc>
        <w:tc>
          <w:tcPr>
            <w:tcW w:w="77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10" w:type="dxa"/>
            <w:tcBorders/>
            <w:shd w:fill="CCEEFF" w:val="clear"/>
            <w:vAlign w:val="bottom"/>
          </w:tcPr>
          <w:p>
            <w:pPr>
              <w:pStyle w:val="TableContents"/>
              <w:spacing w:before="0" w:after="0"/>
              <w:ind w:left="0" w:right="0" w:hanging="0"/>
              <w:rPr/>
            </w:pPr>
            <w:r>
              <w:rPr/>
              <w:t> </w:t>
            </w:r>
          </w:p>
        </w:tc>
        <w:tc>
          <w:tcPr>
            <w:tcW w:w="77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110" w:type="dxa"/>
            <w:tcBorders/>
            <w:shd w:fill="CCEEFF" w:val="clear"/>
            <w:vAlign w:val="bottom"/>
          </w:tcPr>
          <w:p>
            <w:pPr>
              <w:pStyle w:val="TableContents"/>
              <w:spacing w:before="0" w:after="0"/>
              <w:ind w:left="0" w:right="0" w:hanging="0"/>
              <w:rPr/>
            </w:pPr>
            <w:r>
              <w:rPr/>
              <w:t> </w:t>
            </w:r>
          </w:p>
        </w:tc>
        <w:tc>
          <w:tcPr>
            <w:tcW w:w="88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10" w:type="dxa"/>
            <w:tcBorders/>
            <w:shd w:fill="CCEEFF" w:val="clear"/>
            <w:vAlign w:val="bottom"/>
          </w:tcPr>
          <w:p>
            <w:pPr>
              <w:pStyle w:val="TableContents"/>
              <w:spacing w:before="0" w:after="0"/>
              <w:ind w:left="0" w:right="0" w:hanging="0"/>
              <w:rPr/>
            </w:pPr>
            <w:r>
              <w:rPr/>
              <w:t> </w:t>
            </w:r>
          </w:p>
        </w:tc>
        <w:tc>
          <w:tcPr>
            <w:tcW w:w="55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3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77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10" w:type="dxa"/>
            <w:tcBorders/>
            <w:shd w:fill="CCEEFF" w:val="clear"/>
            <w:vAlign w:val="bottom"/>
          </w:tcPr>
          <w:p>
            <w:pPr>
              <w:pStyle w:val="TableContents"/>
              <w:spacing w:before="0" w:after="0"/>
              <w:ind w:left="0" w:right="0" w:hanging="0"/>
              <w:rPr/>
            </w:pPr>
            <w:r>
              <w:rPr/>
              <w:t> </w:t>
            </w:r>
          </w:p>
        </w:tc>
        <w:tc>
          <w:tcPr>
            <w:tcW w:w="77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10" w:type="dxa"/>
            <w:tcBorders/>
            <w:shd w:fill="CCEEFF" w:val="clear"/>
            <w:vAlign w:val="bottom"/>
          </w:tcPr>
          <w:p>
            <w:pPr>
              <w:pStyle w:val="TableContents"/>
              <w:spacing w:before="0" w:after="0"/>
              <w:ind w:left="0" w:right="0" w:hanging="0"/>
              <w:rPr/>
            </w:pPr>
            <w:r>
              <w:rPr/>
              <w:t> </w:t>
            </w:r>
          </w:p>
        </w:tc>
        <w:tc>
          <w:tcPr>
            <w:tcW w:w="77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0" w:type="dxa"/>
            <w:tcBorders/>
            <w:shd w:fill="CCEEFF" w:val="clear"/>
            <w:vAlign w:val="bottom"/>
          </w:tcPr>
          <w:p>
            <w:pPr>
              <w:pStyle w:val="TableContents"/>
              <w:spacing w:before="0" w:after="0"/>
              <w:ind w:left="0" w:right="0" w:hanging="0"/>
              <w:rPr/>
            </w:pPr>
            <w:r>
              <w:rPr/>
              <w:t> </w:t>
            </w:r>
          </w:p>
        </w:tc>
        <w:tc>
          <w:tcPr>
            <w:tcW w:w="55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segment total </w:t>
            </w:r>
          </w:p>
        </w:tc>
        <w:tc>
          <w:tcPr>
            <w:tcW w:w="110" w:type="dxa"/>
            <w:tcBorders/>
            <w:shd w:fill="auto" w:val="clear"/>
            <w:vAlign w:val="bottom"/>
          </w:tcPr>
          <w:p>
            <w:pPr>
              <w:pStyle w:val="TableContents"/>
              <w:spacing w:before="0" w:after="0"/>
              <w:ind w:left="0" w:right="0" w:hanging="0"/>
              <w:rPr/>
            </w:pPr>
            <w:r>
              <w:rPr/>
              <w:t> </w:t>
            </w:r>
          </w:p>
        </w:tc>
        <w:tc>
          <w:tcPr>
            <w:tcW w:w="7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3,741</w:t>
            </w:r>
          </w:p>
        </w:tc>
        <w:tc>
          <w:tcPr>
            <w:tcW w:w="110" w:type="dxa"/>
            <w:tcBorders/>
            <w:shd w:fill="auto" w:val="clear"/>
            <w:vAlign w:val="bottom"/>
          </w:tcPr>
          <w:p>
            <w:pPr>
              <w:pStyle w:val="TableContents"/>
              <w:spacing w:before="0" w:after="0"/>
              <w:ind w:left="0" w:right="0" w:hanging="0"/>
              <w:rPr/>
            </w:pPr>
            <w:r>
              <w:rPr/>
              <w:t> </w:t>
            </w:r>
          </w:p>
        </w:tc>
        <w:tc>
          <w:tcPr>
            <w:tcW w:w="7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3,530</w:t>
            </w:r>
          </w:p>
        </w:tc>
        <w:tc>
          <w:tcPr>
            <w:tcW w:w="110" w:type="dxa"/>
            <w:tcBorders/>
            <w:shd w:fill="auto" w:val="clear"/>
            <w:vAlign w:val="bottom"/>
          </w:tcPr>
          <w:p>
            <w:pPr>
              <w:pStyle w:val="TableContents"/>
              <w:spacing w:before="0" w:after="0"/>
              <w:ind w:left="0" w:right="0" w:hanging="0"/>
              <w:rPr/>
            </w:pPr>
            <w:r>
              <w:rPr/>
              <w:t> </w:t>
            </w:r>
          </w:p>
        </w:tc>
        <w:tc>
          <w:tcPr>
            <w:tcW w:w="8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0" w:type="dxa"/>
            <w:tcBorders/>
            <w:shd w:fill="auto" w:val="clear"/>
            <w:vAlign w:val="bottom"/>
          </w:tcPr>
          <w:p>
            <w:pPr>
              <w:pStyle w:val="TableContents"/>
              <w:spacing w:before="0" w:after="0"/>
              <w:ind w:left="0" w:right="0" w:hanging="0"/>
              <w:rPr/>
            </w:pPr>
            <w:r>
              <w:rPr/>
              <w:t> </w:t>
            </w:r>
          </w:p>
        </w:tc>
        <w:tc>
          <w:tcPr>
            <w:tcW w:w="5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3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7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3,662</w:t>
            </w:r>
          </w:p>
        </w:tc>
        <w:tc>
          <w:tcPr>
            <w:tcW w:w="110" w:type="dxa"/>
            <w:tcBorders/>
            <w:shd w:fill="auto" w:val="clear"/>
            <w:vAlign w:val="bottom"/>
          </w:tcPr>
          <w:p>
            <w:pPr>
              <w:pStyle w:val="TableContents"/>
              <w:spacing w:before="0" w:after="0"/>
              <w:ind w:left="0" w:right="0" w:hanging="0"/>
              <w:rPr/>
            </w:pPr>
            <w:r>
              <w:rPr/>
              <w:t> </w:t>
            </w:r>
          </w:p>
        </w:tc>
        <w:tc>
          <w:tcPr>
            <w:tcW w:w="7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3,420</w:t>
            </w:r>
          </w:p>
        </w:tc>
        <w:tc>
          <w:tcPr>
            <w:tcW w:w="110" w:type="dxa"/>
            <w:tcBorders/>
            <w:shd w:fill="auto" w:val="clear"/>
            <w:vAlign w:val="bottom"/>
          </w:tcPr>
          <w:p>
            <w:pPr>
              <w:pStyle w:val="TableContents"/>
              <w:spacing w:before="0" w:after="0"/>
              <w:ind w:left="0" w:right="0" w:hanging="0"/>
              <w:rPr/>
            </w:pPr>
            <w:r>
              <w:rPr/>
              <w:t> </w:t>
            </w:r>
          </w:p>
        </w:tc>
        <w:tc>
          <w:tcPr>
            <w:tcW w:w="77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110" w:type="dxa"/>
            <w:tcBorders/>
            <w:shd w:fill="auto" w:val="clear"/>
            <w:vAlign w:val="bottom"/>
          </w:tcPr>
          <w:p>
            <w:pPr>
              <w:pStyle w:val="TableContents"/>
              <w:spacing w:before="0" w:after="0"/>
              <w:ind w:left="0" w:right="0" w:hanging="0"/>
              <w:rPr/>
            </w:pPr>
            <w:r>
              <w:rPr/>
              <w:t> </w:t>
            </w:r>
          </w:p>
        </w:tc>
        <w:tc>
          <w:tcPr>
            <w:tcW w:w="5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and expenses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Equity-indexed compensation expense shown in the table above includes expenses associated with awards that will or may be settled in PAA units and awards that will or may be settled in cash.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Volumes associated with acquisitions represent total volumes (attributable to our interest) for the number of days we actually owned the assets divided by the number of days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leases generally reflects a negotiated amount.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61" w:name="PB_35_154234_7748"/>
      <w:bookmarkEnd w:id="6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Transportation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As noted in the tables above, our total Transportation segment revenues, net of trucking costs, and volumes increased for both the three and nine months ended September 30, 2013 compared to the three and nine months ended September 30, 2012. The following factors contributed to the revenue and volume variances between the comparative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North American Crude Oil Production and Related Expansion Projects  For the three and nine-month comparative periods, the favorable volume and revenue variances experienced were primarily due to increased producer drilling activities as well as the completion of certain of our expansion projects, most notably on our Basin and Mesa pipelines and our Permian Basin and Eagle Ford Area Systems. The Permian Basin Area Systems also benefited from increased movements to a new third-party pipeline connected to Gulf Coast markets.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estimate that increased production combined with our phased-in expansion projects increased revenues by approximately $15 million and $30 million for the three and nine month periods of 2013 over the comparable three and nine month 2012 periods,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Rate Changes  Revenues on our pipelines are impacted by various rate changes that occur during the period.  These rate changes primarily include the indexing of rates on our FERC regulated pipelines, rate increases or decreases on our intrastate and Canadian pipelines or other negotiated rate changes.  The upward indexing that was effective July 1, 2012 had a favorable impact on revenues on our FERC regulated pipelines for the nine months ended September 30, 2013 compared to the nine months ended September 30, 2012. The upward indexing effective July 1, 2013 also favorably impacted revenues on a majority of our FERC regulated pipelines; however, during the third quarter of 2013, we lowered our tariff rates on certain of our FERC regulated pipelines relative to 2012 rates, which more than offset the favorable impact of the upward indexing for the three months ended September 30, 2013 compared to the three months ended September 30, 2012. Revenues for both the three and nine month were favorably impacted by increasing tariff rates on certain of our non-FERC regulated pipelines. We estimate that the collective impact of these rate changes increased revenues by $10 million to $15 million and $45 million to $50 million, respectively, for the three and nine months ended September 30, 2013 compared to the three and nine months ended September 30,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BP NGL Acquisition  We acquired pipelines through the BP NGL Acquisition completed on April 1, 2012. During the first quarter of 2013, we benefited from a full period of ownership of these assets, which contributed approximately $27 million of aggregate revenues and approximately 264,000 barrels per day during the three-month period ended March 31,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Weather-Related Downtime  During the second and third quarters of 2013, our Rangeland, South Saskatchewan and Co-Ed pipelines in Canada were shut down due to high river flow rates and flooding in the surrounding area. We estimate that the downtime on these pipelines negatively impacted revenues and volumes by approximately $5 million to $10 million and 5,000 to 10,000 barrels per day, respectively, for the three months ended September 30, 2013, and by approximately $15 million to $20 million and 15,000 to 20,000 barrels per day, respectively, for the nine months ended September 30,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Rail Impact  Volumes primarily on our Manito and Rainbow pipelines and certain pipelines included in our Bakken Area Systems for the three- and nine-month comparable periods were negatively impacted by producer decisions to deliver more crude oil to rail loading facilities in the area.  We estimate that the impact to revenues was approximately $5 million and $15 million for the three and nine months ended September 30, 2013, respectively, and that volumes decreased by approximately 20,000 to 30,000 barrels per day for each of the respective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Loss Allowance Revenue 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approximately $4 million and $28 million, respectively, for the three and nine months ended September 30, 2013 compared to the three and nine months ended September 30, 2012, primarily due to a lower average realized price per barrel (including the impact of gains and losses from derivative-related activities) and lower volumes, during each of the 2013 periods as compared to 2012 periods.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62" w:name="PB_36_154048_7056"/>
      <w:bookmarkEnd w:id="6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 noteworthy volume and revenue variances for the comparative periods include (i) increased volumes and revenues on our All American pipeline for the three and nine month 2013 periods due to increased production in 2013 and maintenance activities at the production facilities during 2012, (ii) decreases on the Salt Lake City Area Systems and our Line 63 and Line 2000 pipelines for the three and nine month 2013 periods and on the Mid-Continent Area Systems for the three month 2013 period due to refinery maintenance issues and lower refinery demand for pipeline barrels; however, revenues on the Mid-Continent Area Systems and Line 63 pipeline were consistent with the prior years quarter due to movements on higher tariff segments, (iii) increased trucking activity during the first nine months of 2013 due to increased demand for production transported to rail and hauls from pipeline disruptions and (iv) decreased volumes and revenues on our Refined Products Pipelines primarily due to the sale of certain of our refined products pipelines in July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equity-indexed compensation expense) increased during the three and nine months ended September 30, 2013 compared to the three and nine months ended September 30, 2012 primarily due to (i) higher environmental response, remediation and related repair expenses associated with pipeline releases of approximately $2 million and $24 million, respectively, for the three and nine months ended September 30, 2013 over the three and nine months ended September 30, 2012, (ii) higher integrity management expenses associated with smart pigging and other integrity work, (iii) higher payroll costs, primarily due to the BP NGL Acquisition and increased headcount, and (iv) approximately $4 million of cost incurred during the nine months ended September 30, 2013 associated with the testing of certain lines that we considered bringing back into service. Excluding the impacts of the environmental response and remediation expenses, field operating costs in general remained relatively consistent on a per barrel basis during the comparable three-and nine-month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Equity-Indexed Compensation Expense.</w:t>
      </w:r>
      <w:r>
        <w:rPr>
          <w:rFonts w:ascii="Times New Roman" w:hAnsi="Times New Roman"/>
        </w:rPr>
        <w:t xml:space="preserve"> </w:t>
      </w:r>
      <w:r>
        <w:rPr>
          <w:rFonts w:ascii="Times New Roman" w:hAnsi="Times New Roman"/>
          <w:sz w:val="17"/>
        </w:rPr>
        <w:t>On a consolidated basis across all segments, equity-indexed compensation expense decreased for the three months ended September 30, 2013 compared to the three months ended September 30, 2012, primarily due to the impact of a decrease in PAAs unit price during the three months ended September 30, 2013 compared to the impact of an increase in PAAs unit price during the three months ended September 30, 2012, partially offset by additional expense in the three months ended September 30, 2013 resulting from the increase in the level of PAAs distribution deemed probable of payment.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Equity-indexed compensation expense increased for the nine months ended September 30, 2013 compared to the nine months ended September 30, 2012, primarily due to (i) a more significant impact of the increase in PAAs</w:t>
      </w:r>
      <w:r>
        <w:rPr>
          <w:rFonts w:ascii="Times New Roman" w:hAnsi="Times New Roman"/>
        </w:rPr>
        <w:t xml:space="preserve"> </w:t>
      </w:r>
      <w:r>
        <w:rPr>
          <w:rFonts w:ascii="Times New Roman" w:hAnsi="Times New Roman"/>
          <w:sz w:val="17"/>
        </w:rPr>
        <w:t>unit price during the first nine months of 2013 compared to the impact of the increase during the first nine months of 2012, (ii) a greater number of units deemed probable of vesting for the first nine months of 2013 compared to the first nine months of 2012 and (iii) a higher average fair value per unit for those units deemed probable of vesting. See Note 14 to our 2012 Consolidated Financial Statements included in the Final Prospectus for further information regarding equity-indexed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Maintenance capital consists of capital investments for the replacement of partially or fully depreciated assets in order to maintain the service capability, level of production and/or functionality of our existing assets.  The increase in maintenance capital during the three and nine months ended September 30, 2013 compared to the three and nine months ended September 30, 2012 is primarily due to increased investment on pipeline integrity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Earnings in Unconsolidated Entities</w:t>
      </w:r>
      <w:r>
        <w:rPr>
          <w:rFonts w:ascii="Times New Roman" w:hAnsi="Times New Roman"/>
          <w:sz w:val="17"/>
        </w:rPr>
        <w:t>. The favorable variance in equity earnings in unconsolidated entities for the three and nine months ended September 30, 2013 compared to the three and nine months ended September 30, 2012 was primarily due to increased earnings from our equity method investments as a result of (i) increased throughput on the Eagle Ford and White Cliffs pipelines, as a result of increased production as discussed above, (ii) increased capacity related to vessel additions and increased rates on services provided by Settoon Towing and (iii) insurance proceeds received for partial repayment of losses incurred for an environmental liability related to an incident involving Settoon Towing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63" w:name="PB_37_154100_5335"/>
      <w:bookmarkEnd w:id="6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Facilities segment operations generally consist of fee-based activities associated with providing storage, terminalling and throughput services for crude oil, refined products, natural gas and NGL, NGL fractionation and isomerization services and natural gas and condensate processing services. The Facilities segment generates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Facilities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601"/>
        <w:gridCol w:w="104"/>
        <w:gridCol w:w="139"/>
        <w:gridCol w:w="498"/>
        <w:gridCol w:w="200"/>
        <w:gridCol w:w="139"/>
        <w:gridCol w:w="499"/>
        <w:gridCol w:w="191"/>
        <w:gridCol w:w="126"/>
        <w:gridCol w:w="487"/>
        <w:gridCol w:w="113"/>
        <w:gridCol w:w="505"/>
        <w:gridCol w:w="224"/>
        <w:gridCol w:w="103"/>
        <w:gridCol w:w="139"/>
        <w:gridCol w:w="498"/>
        <w:gridCol w:w="200"/>
        <w:gridCol w:w="139"/>
        <w:gridCol w:w="499"/>
        <w:gridCol w:w="191"/>
        <w:gridCol w:w="128"/>
        <w:gridCol w:w="465"/>
        <w:gridCol w:w="192"/>
        <w:gridCol w:w="588"/>
        <w:gridCol w:w="237"/>
      </w:tblGrid>
      <w:tr>
        <w:trPr/>
        <w:tc>
          <w:tcPr>
            <w:tcW w:w="3601"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637" w:type="dxa"/>
            <w:gridSpan w:val="2"/>
            <w:tcBorders/>
            <w:shd w:fill="auto" w:val="clear"/>
            <w:vAlign w:val="bottom"/>
          </w:tcPr>
          <w:p>
            <w:pPr>
              <w:pStyle w:val="TableContents"/>
              <w:spacing w:before="0" w:after="0"/>
              <w:ind w:left="0" w:right="0" w:hanging="0"/>
              <w:jc w:val="center"/>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638" w:type="dxa"/>
            <w:gridSpan w:val="2"/>
            <w:tcBorders/>
            <w:shd w:fill="auto" w:val="clear"/>
            <w:vAlign w:val="bottom"/>
          </w:tcPr>
          <w:p>
            <w:pPr>
              <w:pStyle w:val="TableContents"/>
              <w:spacing w:before="0" w:after="0"/>
              <w:ind w:left="0" w:right="0" w:hanging="0"/>
              <w:jc w:val="center"/>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23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27" w:type="dxa"/>
            <w:gridSpan w:val="2"/>
            <w:tcBorders/>
            <w:shd w:fill="auto" w:val="clear"/>
            <w:vAlign w:val="bottom"/>
          </w:tcPr>
          <w:p>
            <w:pPr>
              <w:pStyle w:val="TableContents"/>
              <w:spacing w:before="0" w:after="0"/>
              <w:ind w:left="0" w:right="0" w:hanging="0"/>
              <w:jc w:val="center"/>
              <w:rPr/>
            </w:pPr>
            <w:r>
              <w:rPr/>
              <w:t> </w:t>
            </w:r>
          </w:p>
        </w:tc>
        <w:tc>
          <w:tcPr>
            <w:tcW w:w="637" w:type="dxa"/>
            <w:gridSpan w:val="2"/>
            <w:tcBorders/>
            <w:shd w:fill="auto" w:val="clear"/>
            <w:vAlign w:val="bottom"/>
          </w:tcPr>
          <w:p>
            <w:pPr>
              <w:pStyle w:val="TableContents"/>
              <w:spacing w:before="0" w:after="0"/>
              <w:ind w:left="0" w:right="0" w:hanging="0"/>
              <w:jc w:val="center"/>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638" w:type="dxa"/>
            <w:gridSpan w:val="2"/>
            <w:tcBorders/>
            <w:shd w:fill="auto" w:val="clear"/>
            <w:vAlign w:val="bottom"/>
          </w:tcPr>
          <w:p>
            <w:pPr>
              <w:pStyle w:val="TableContents"/>
              <w:spacing w:before="0" w:after="0"/>
              <w:ind w:left="0" w:right="0" w:hanging="0"/>
              <w:jc w:val="center"/>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37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7" w:type="dxa"/>
            <w:tcBorders/>
            <w:shd w:fill="auto" w:val="clear"/>
            <w:vAlign w:val="bottom"/>
          </w:tcPr>
          <w:p>
            <w:pPr>
              <w:pStyle w:val="TableContents"/>
              <w:spacing w:before="0" w:after="0"/>
              <w:ind w:left="0" w:right="0" w:hanging="0"/>
              <w:jc w:val="center"/>
              <w:rPr/>
            </w:pPr>
            <w:r>
              <w:rPr/>
              <w:t> </w:t>
            </w:r>
          </w:p>
        </w:tc>
      </w:tr>
      <w:tr>
        <w:trPr/>
        <w:tc>
          <w:tcPr>
            <w:tcW w:w="3601"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jc w:val="center"/>
              <w:rPr/>
            </w:pPr>
            <w:r>
              <w:rPr/>
              <w:t> </w:t>
            </w:r>
          </w:p>
        </w:tc>
        <w:tc>
          <w:tcPr>
            <w:tcW w:w="147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91" w:type="dxa"/>
            <w:tcBorders/>
            <w:shd w:fill="auto" w:val="clear"/>
            <w:vAlign w:val="bottom"/>
          </w:tcPr>
          <w:p>
            <w:pPr>
              <w:pStyle w:val="TableContents"/>
              <w:spacing w:before="0" w:after="0"/>
              <w:ind w:left="0" w:right="0" w:hanging="0"/>
              <w:jc w:val="center"/>
              <w:rPr/>
            </w:pPr>
            <w:r>
              <w:rPr/>
              <w:t> </w:t>
            </w:r>
          </w:p>
        </w:tc>
        <w:tc>
          <w:tcPr>
            <w:tcW w:w="123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27" w:type="dxa"/>
            <w:gridSpan w:val="2"/>
            <w:tcBorders/>
            <w:shd w:fill="auto" w:val="clear"/>
            <w:vAlign w:val="bottom"/>
          </w:tcPr>
          <w:p>
            <w:pPr>
              <w:pStyle w:val="TableContents"/>
              <w:spacing w:before="0" w:after="0"/>
              <w:ind w:left="0" w:right="0" w:hanging="0"/>
              <w:jc w:val="center"/>
              <w:rPr/>
            </w:pPr>
            <w:r>
              <w:rPr/>
              <w:t> </w:t>
            </w:r>
          </w:p>
        </w:tc>
        <w:tc>
          <w:tcPr>
            <w:tcW w:w="147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91" w:type="dxa"/>
            <w:tcBorders/>
            <w:shd w:fill="auto" w:val="clear"/>
            <w:vAlign w:val="bottom"/>
          </w:tcPr>
          <w:p>
            <w:pPr>
              <w:pStyle w:val="TableContents"/>
              <w:spacing w:before="0" w:after="0"/>
              <w:ind w:left="0" w:right="0" w:hanging="0"/>
              <w:jc w:val="center"/>
              <w:rPr/>
            </w:pPr>
            <w:r>
              <w:rPr/>
              <w:t> </w:t>
            </w:r>
          </w:p>
        </w:tc>
        <w:tc>
          <w:tcPr>
            <w:tcW w:w="137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7" w:type="dxa"/>
            <w:tcBorders/>
            <w:shd w:fill="auto" w:val="clear"/>
            <w:vAlign w:val="bottom"/>
          </w:tcPr>
          <w:p>
            <w:pPr>
              <w:pStyle w:val="TableContents"/>
              <w:spacing w:before="0" w:after="0"/>
              <w:ind w:left="0" w:right="0" w:hanging="0"/>
              <w:jc w:val="center"/>
              <w:rPr/>
            </w:pPr>
            <w:r>
              <w:rPr/>
              <w:t> </w:t>
            </w:r>
          </w:p>
        </w:tc>
      </w:tr>
      <w:tr>
        <w:trPr/>
        <w:tc>
          <w:tcPr>
            <w:tcW w:w="3601"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104" w:type="dxa"/>
            <w:tcBorders/>
            <w:shd w:fill="auto" w:val="clear"/>
            <w:vAlign w:val="bottom"/>
          </w:tcPr>
          <w:p>
            <w:pPr>
              <w:pStyle w:val="TableContents"/>
              <w:spacing w:before="0" w:after="0"/>
              <w:ind w:left="0" w:right="0" w:hanging="0"/>
              <w:jc w:val="center"/>
              <w:rPr/>
            </w:pPr>
            <w:r>
              <w:rPr/>
              <w:t> </w:t>
            </w:r>
          </w:p>
        </w:tc>
        <w:tc>
          <w:tcPr>
            <w:tcW w:w="147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1" w:type="dxa"/>
            <w:tcBorders/>
            <w:shd w:fill="auto" w:val="clear"/>
            <w:vAlign w:val="bottom"/>
          </w:tcPr>
          <w:p>
            <w:pPr>
              <w:pStyle w:val="TableContents"/>
              <w:spacing w:before="0" w:after="0"/>
              <w:ind w:left="0" w:right="0" w:hanging="0"/>
              <w:jc w:val="center"/>
              <w:rPr/>
            </w:pPr>
            <w:r>
              <w:rPr/>
              <w:t> </w:t>
            </w:r>
          </w:p>
        </w:tc>
        <w:tc>
          <w:tcPr>
            <w:tcW w:w="123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27" w:type="dxa"/>
            <w:gridSpan w:val="2"/>
            <w:tcBorders/>
            <w:shd w:fill="auto" w:val="clear"/>
            <w:vAlign w:val="bottom"/>
          </w:tcPr>
          <w:p>
            <w:pPr>
              <w:pStyle w:val="TableContents"/>
              <w:spacing w:before="0" w:after="0"/>
              <w:ind w:left="0" w:right="0" w:hanging="0"/>
              <w:jc w:val="center"/>
              <w:rPr/>
            </w:pPr>
            <w:r>
              <w:rPr/>
              <w:t> </w:t>
            </w:r>
          </w:p>
        </w:tc>
        <w:tc>
          <w:tcPr>
            <w:tcW w:w="147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91" w:type="dxa"/>
            <w:tcBorders/>
            <w:shd w:fill="auto" w:val="clear"/>
            <w:vAlign w:val="bottom"/>
          </w:tcPr>
          <w:p>
            <w:pPr>
              <w:pStyle w:val="TableContents"/>
              <w:spacing w:before="0" w:after="0"/>
              <w:ind w:left="0" w:right="0" w:hanging="0"/>
              <w:jc w:val="center"/>
              <w:rPr/>
            </w:pPr>
            <w:r>
              <w:rPr/>
              <w:t> </w:t>
            </w:r>
          </w:p>
        </w:tc>
        <w:tc>
          <w:tcPr>
            <w:tcW w:w="137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7" w:type="dxa"/>
            <w:tcBorders/>
            <w:shd w:fill="auto" w:val="clear"/>
            <w:vAlign w:val="bottom"/>
          </w:tcPr>
          <w:p>
            <w:pPr>
              <w:pStyle w:val="TableContents"/>
              <w:spacing w:before="0" w:after="0"/>
              <w:ind w:left="0" w:right="0" w:hanging="0"/>
              <w:jc w:val="center"/>
              <w:rPr/>
            </w:pPr>
            <w:r>
              <w:rPr/>
              <w:t> </w:t>
            </w:r>
          </w:p>
        </w:tc>
      </w:tr>
      <w:tr>
        <w:trPr/>
        <w:tc>
          <w:tcPr>
            <w:tcW w:w="360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04" w:type="dxa"/>
            <w:tcBorders/>
            <w:shd w:fill="auto" w:val="clear"/>
            <w:vAlign w:val="bottom"/>
          </w:tcPr>
          <w:p>
            <w:pPr>
              <w:pStyle w:val="TableContents"/>
              <w:spacing w:before="0" w:after="0"/>
              <w:ind w:left="0" w:right="0" w:hanging="0"/>
              <w:jc w:val="center"/>
              <w:rPr/>
            </w:pPr>
            <w:r>
              <w:rPr/>
              <w:t> </w:t>
            </w:r>
          </w:p>
        </w:tc>
        <w:tc>
          <w:tcPr>
            <w:tcW w:w="6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1" w:type="dxa"/>
            <w:tcBorders/>
            <w:shd w:fill="auto" w:val="clear"/>
            <w:vAlign w:val="bottom"/>
          </w:tcPr>
          <w:p>
            <w:pPr>
              <w:pStyle w:val="TableContents"/>
              <w:spacing w:before="0" w:after="0"/>
              <w:ind w:left="0" w:right="0" w:hanging="0"/>
              <w:jc w:val="center"/>
              <w:rPr/>
            </w:pPr>
            <w:r>
              <w:rPr/>
              <w:t> </w:t>
            </w:r>
          </w:p>
        </w:tc>
        <w:tc>
          <w:tcPr>
            <w:tcW w:w="6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0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27" w:type="dxa"/>
            <w:gridSpan w:val="2"/>
            <w:tcBorders/>
            <w:shd w:fill="auto" w:val="clear"/>
            <w:vAlign w:val="bottom"/>
          </w:tcPr>
          <w:p>
            <w:pPr>
              <w:pStyle w:val="TableContents"/>
              <w:spacing w:before="0" w:after="0"/>
              <w:ind w:left="0" w:right="0" w:hanging="0"/>
              <w:jc w:val="center"/>
              <w:rPr/>
            </w:pPr>
            <w:r>
              <w:rPr/>
              <w:t> </w:t>
            </w:r>
          </w:p>
        </w:tc>
        <w:tc>
          <w:tcPr>
            <w:tcW w:w="6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1" w:type="dxa"/>
            <w:tcBorders/>
            <w:shd w:fill="auto" w:val="clear"/>
            <w:vAlign w:val="bottom"/>
          </w:tcPr>
          <w:p>
            <w:pPr>
              <w:pStyle w:val="TableContents"/>
              <w:spacing w:before="0" w:after="0"/>
              <w:ind w:left="0" w:right="0" w:hanging="0"/>
              <w:jc w:val="center"/>
              <w:rPr/>
            </w:pPr>
            <w:r>
              <w:rPr/>
              <w:t> </w:t>
            </w:r>
          </w:p>
        </w:tc>
        <w:tc>
          <w:tcPr>
            <w:tcW w:w="5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8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7" w:type="dxa"/>
            <w:tcBorders/>
            <w:shd w:fill="auto" w:val="clear"/>
            <w:vAlign w:val="bottom"/>
          </w:tcPr>
          <w:p>
            <w:pPr>
              <w:pStyle w:val="TableContents"/>
              <w:spacing w:before="0" w:after="0"/>
              <w:ind w:left="0" w:right="0" w:hanging="0"/>
              <w:jc w:val="center"/>
              <w:rPr/>
            </w:pPr>
            <w:r>
              <w:rPr/>
              <w:t> </w:t>
            </w:r>
          </w:p>
        </w:tc>
      </w:tr>
      <w:tr>
        <w:trPr/>
        <w:tc>
          <w:tcPr>
            <w:tcW w:w="3601"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 xml:space="preserve">(1) </w:t>
            </w:r>
          </w:p>
        </w:tc>
        <w:tc>
          <w:tcPr>
            <w:tcW w:w="104"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00"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91"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13" w:type="dxa"/>
            <w:tcBorders/>
            <w:shd w:fill="CCEEFF" w:val="clear"/>
            <w:vAlign w:val="bottom"/>
          </w:tcPr>
          <w:p>
            <w:pPr>
              <w:pStyle w:val="TableContents"/>
              <w:spacing w:before="0" w:after="0"/>
              <w:ind w:left="0" w:right="0" w:hanging="0"/>
              <w:rPr/>
            </w:pPr>
            <w:r>
              <w:rPr/>
              <w:t> </w:t>
            </w:r>
          </w:p>
        </w:tc>
        <w:tc>
          <w:tcPr>
            <w:tcW w:w="5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787</w:t>
            </w:r>
          </w:p>
        </w:tc>
        <w:tc>
          <w:tcPr>
            <w:tcW w:w="200"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626</w:t>
            </w:r>
          </w:p>
        </w:tc>
        <w:tc>
          <w:tcPr>
            <w:tcW w:w="191" w:type="dxa"/>
            <w:tcBorders/>
            <w:shd w:fill="CCEEFF" w:val="clear"/>
            <w:vAlign w:val="bottom"/>
          </w:tcPr>
          <w:p>
            <w:pPr>
              <w:pStyle w:val="TableContents"/>
              <w:spacing w:before="0" w:after="0"/>
              <w:ind w:left="0" w:right="0" w:hanging="0"/>
              <w:rPr/>
            </w:pPr>
            <w:r>
              <w:rPr/>
              <w:t> </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92" w:type="dxa"/>
            <w:tcBorders/>
            <w:shd w:fill="CCEEFF" w:val="clear"/>
            <w:vAlign w:val="bottom"/>
          </w:tcPr>
          <w:p>
            <w:pPr>
              <w:pStyle w:val="TableContents"/>
              <w:spacing w:before="0" w:after="0"/>
              <w:ind w:left="0" w:right="0" w:hanging="0"/>
              <w:rPr/>
            </w:pPr>
            <w:r>
              <w:rPr/>
              <w:t> </w:t>
            </w:r>
          </w:p>
        </w:tc>
        <w:tc>
          <w:tcPr>
            <w:tcW w:w="5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01" w:type="dxa"/>
            <w:tcBorders/>
            <w:shd w:fill="auto" w:val="clear"/>
            <w:vAlign w:val="bottom"/>
          </w:tcPr>
          <w:p>
            <w:pPr>
              <w:pStyle w:val="TableContents"/>
              <w:spacing w:before="0" w:after="0"/>
              <w:ind w:left="0" w:right="0" w:hanging="0"/>
              <w:rPr/>
            </w:pPr>
            <w:r>
              <w:rPr>
                <w:rFonts w:ascii="Times New Roman" w:hAnsi="Times New Roman"/>
                <w:sz w:val="17"/>
              </w:rPr>
              <w:t xml:space="preserve">Natural gas sales </w:t>
            </w:r>
            <w:r>
              <w:rPr>
                <w:sz w:val="11"/>
              </w:rPr>
              <w:t xml:space="preserve">(2) </w:t>
            </w:r>
          </w:p>
        </w:tc>
        <w:tc>
          <w:tcPr>
            <w:tcW w:w="104" w:type="dxa"/>
            <w:tcBorders/>
            <w:shd w:fill="auto" w:val="clear"/>
            <w:vAlign w:val="bottom"/>
          </w:tcPr>
          <w:p>
            <w:pPr>
              <w:pStyle w:val="TableContents"/>
              <w:spacing w:before="0" w:after="0"/>
              <w:ind w:left="0" w:right="0" w:hanging="0"/>
              <w:rPr/>
            </w:pPr>
            <w:r>
              <w:rPr/>
              <w:t> </w:t>
            </w:r>
          </w:p>
        </w:tc>
        <w:tc>
          <w:tcPr>
            <w:tcW w:w="6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0" w:type="dxa"/>
            <w:tcBorders/>
            <w:shd w:fill="auto" w:val="clear"/>
            <w:vAlign w:val="bottom"/>
          </w:tcPr>
          <w:p>
            <w:pPr>
              <w:pStyle w:val="TableContents"/>
              <w:spacing w:before="0" w:after="0"/>
              <w:ind w:left="0" w:right="0" w:hanging="0"/>
              <w:rPr/>
            </w:pPr>
            <w:r>
              <w:rPr/>
              <w:t> </w:t>
            </w:r>
          </w:p>
        </w:tc>
        <w:tc>
          <w:tcPr>
            <w:tcW w:w="6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91" w:type="dxa"/>
            <w:tcBorders/>
            <w:shd w:fill="auto" w:val="clear"/>
            <w:vAlign w:val="bottom"/>
          </w:tcPr>
          <w:p>
            <w:pPr>
              <w:pStyle w:val="TableContents"/>
              <w:spacing w:before="0" w:after="0"/>
              <w:ind w:left="0" w:right="0" w:hanging="0"/>
              <w:rPr/>
            </w:pPr>
            <w:r>
              <w:rPr/>
              <w:t> </w:t>
            </w:r>
          </w:p>
        </w:tc>
        <w:tc>
          <w:tcPr>
            <w:tcW w:w="6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4"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6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00" w:type="dxa"/>
            <w:tcBorders/>
            <w:shd w:fill="auto" w:val="clear"/>
            <w:vAlign w:val="bottom"/>
          </w:tcPr>
          <w:p>
            <w:pPr>
              <w:pStyle w:val="TableContents"/>
              <w:spacing w:before="0" w:after="0"/>
              <w:ind w:left="0" w:right="0" w:hanging="0"/>
              <w:rPr/>
            </w:pPr>
            <w:r>
              <w:rPr/>
              <w:t> </w:t>
            </w:r>
          </w:p>
        </w:tc>
        <w:tc>
          <w:tcPr>
            <w:tcW w:w="6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91" w:type="dxa"/>
            <w:tcBorders/>
            <w:shd w:fill="auto" w:val="clear"/>
            <w:vAlign w:val="bottom"/>
          </w:tcPr>
          <w:p>
            <w:pPr>
              <w:pStyle w:val="TableContents"/>
              <w:spacing w:before="0" w:after="0"/>
              <w:ind w:left="0" w:right="0" w:hanging="0"/>
              <w:rPr/>
            </w:pPr>
            <w:r>
              <w:rPr/>
              <w:t> </w:t>
            </w:r>
          </w:p>
        </w:tc>
        <w:tc>
          <w:tcPr>
            <w:tcW w:w="5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92" w:type="dxa"/>
            <w:tcBorders/>
            <w:shd w:fill="auto" w:val="clear"/>
            <w:vAlign w:val="bottom"/>
          </w:tcPr>
          <w:p>
            <w:pPr>
              <w:pStyle w:val="TableContents"/>
              <w:spacing w:before="0" w:after="0"/>
              <w:ind w:left="0" w:right="0" w:hanging="0"/>
              <w:rPr/>
            </w:pPr>
            <w:r>
              <w:rPr/>
              <w:t> </w:t>
            </w:r>
          </w:p>
        </w:tc>
        <w:tc>
          <w:tcPr>
            <w:tcW w:w="5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Storage related costs (natural gas related) </w:t>
            </w:r>
          </w:p>
        </w:tc>
        <w:tc>
          <w:tcPr>
            <w:tcW w:w="104" w:type="dxa"/>
            <w:tcBorders/>
            <w:shd w:fill="CCEEFF" w:val="clear"/>
            <w:vAlign w:val="bottom"/>
          </w:tcPr>
          <w:p>
            <w:pPr>
              <w:pStyle w:val="TableContents"/>
              <w:spacing w:before="0" w:after="0"/>
              <w:ind w:left="0" w:right="0" w:hanging="0"/>
              <w:rPr/>
            </w:pPr>
            <w:r>
              <w:rPr/>
              <w:t> </w:t>
            </w:r>
          </w:p>
        </w:tc>
        <w:tc>
          <w:tcPr>
            <w:tcW w:w="6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5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6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2" w:type="dxa"/>
            <w:tcBorders/>
            <w:shd w:fill="CCEEFF" w:val="clear"/>
            <w:vAlign w:val="bottom"/>
          </w:tcPr>
          <w:p>
            <w:pPr>
              <w:pStyle w:val="TableContents"/>
              <w:spacing w:before="0" w:after="0"/>
              <w:ind w:left="0" w:right="0" w:hanging="0"/>
              <w:rPr/>
            </w:pPr>
            <w:r>
              <w:rPr/>
              <w:t> </w:t>
            </w:r>
          </w:p>
        </w:tc>
        <w:tc>
          <w:tcPr>
            <w:tcW w:w="5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01" w:type="dxa"/>
            <w:tcBorders/>
            <w:shd w:fill="auto" w:val="clear"/>
            <w:vAlign w:val="bottom"/>
          </w:tcPr>
          <w:p>
            <w:pPr>
              <w:pStyle w:val="TableContents"/>
              <w:spacing w:before="0" w:after="0"/>
              <w:ind w:left="0" w:right="0" w:hanging="0"/>
              <w:rPr/>
            </w:pPr>
            <w:r>
              <w:rPr>
                <w:rFonts w:ascii="Times New Roman" w:hAnsi="Times New Roman"/>
                <w:sz w:val="17"/>
              </w:rPr>
              <w:t xml:space="preserve">Natural gas sales costs </w:t>
            </w:r>
            <w:r>
              <w:rPr>
                <w:sz w:val="11"/>
              </w:rPr>
              <w:t xml:space="preserve">(2) </w:t>
            </w:r>
          </w:p>
        </w:tc>
        <w:tc>
          <w:tcPr>
            <w:tcW w:w="104" w:type="dxa"/>
            <w:tcBorders/>
            <w:shd w:fill="auto" w:val="clear"/>
            <w:vAlign w:val="bottom"/>
          </w:tcPr>
          <w:p>
            <w:pPr>
              <w:pStyle w:val="TableContents"/>
              <w:spacing w:before="0" w:after="0"/>
              <w:ind w:left="0" w:right="0" w:hanging="0"/>
              <w:rPr/>
            </w:pPr>
            <w:r>
              <w:rPr/>
              <w:t> </w:t>
            </w:r>
          </w:p>
        </w:tc>
        <w:tc>
          <w:tcPr>
            <w:tcW w:w="6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3" w:type="dxa"/>
            <w:tcBorders/>
            <w:shd w:fill="auto" w:val="clear"/>
            <w:vAlign w:val="bottom"/>
          </w:tcPr>
          <w:p>
            <w:pPr>
              <w:pStyle w:val="TableContents"/>
              <w:spacing w:before="0" w:after="0"/>
              <w:ind w:left="0" w:right="0" w:hanging="0"/>
              <w:rPr/>
            </w:pPr>
            <w:r>
              <w:rPr/>
              <w:t> </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4"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6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(excluding equity-indexed compensation expense) </w:t>
            </w:r>
          </w:p>
        </w:tc>
        <w:tc>
          <w:tcPr>
            <w:tcW w:w="104" w:type="dxa"/>
            <w:tcBorders/>
            <w:shd w:fill="CCEEFF" w:val="clear"/>
            <w:vAlign w:val="bottom"/>
          </w:tcPr>
          <w:p>
            <w:pPr>
              <w:pStyle w:val="TableContents"/>
              <w:spacing w:before="0" w:after="0"/>
              <w:ind w:left="0" w:right="0" w:hanging="0"/>
              <w:rPr/>
            </w:pPr>
            <w:r>
              <w:rPr/>
              <w:t> </w:t>
            </w:r>
          </w:p>
        </w:tc>
        <w:tc>
          <w:tcPr>
            <w:tcW w:w="6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6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01" w:type="dxa"/>
            <w:tcBorders/>
            <w:shd w:fill="auto" w:val="clear"/>
            <w:vAlign w:val="bottom"/>
          </w:tcPr>
          <w:p>
            <w:pPr>
              <w:pStyle w:val="TableContents"/>
              <w:spacing w:before="0" w:after="0"/>
              <w:ind w:left="0" w:right="0" w:hanging="0"/>
              <w:rPr/>
            </w:pPr>
            <w:r>
              <w:rPr>
                <w:rFonts w:ascii="Times New Roman" w:hAnsi="Times New Roman"/>
                <w:sz w:val="17"/>
              </w:rPr>
              <w:t>Equity-indexed compensation expense - operations </w:t>
            </w:r>
            <w:r>
              <w:rPr>
                <w:sz w:val="11"/>
              </w:rPr>
              <w:t xml:space="preserve">(3) </w:t>
            </w:r>
          </w:p>
        </w:tc>
        <w:tc>
          <w:tcPr>
            <w:tcW w:w="104" w:type="dxa"/>
            <w:tcBorders/>
            <w:shd w:fill="auto" w:val="clear"/>
            <w:vAlign w:val="bottom"/>
          </w:tcPr>
          <w:p>
            <w:pPr>
              <w:pStyle w:val="TableContents"/>
              <w:spacing w:before="0" w:after="0"/>
              <w:ind w:left="0" w:right="0" w:hanging="0"/>
              <w:rPr/>
            </w:pPr>
            <w:r>
              <w:rPr/>
              <w:t> </w:t>
            </w:r>
          </w:p>
        </w:tc>
        <w:tc>
          <w:tcPr>
            <w:tcW w:w="6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6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auto" w:val="clear"/>
            <w:vAlign w:val="bottom"/>
          </w:tcPr>
          <w:p>
            <w:pPr>
              <w:pStyle w:val="TableContents"/>
              <w:spacing w:before="0" w:after="0"/>
              <w:ind w:left="0" w:right="0" w:hanging="0"/>
              <w:rPr/>
            </w:pPr>
            <w:r>
              <w:rPr/>
              <w:t> </w:t>
            </w:r>
          </w:p>
        </w:tc>
        <w:tc>
          <w:tcPr>
            <w:tcW w:w="6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5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4"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6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auto" w:val="clear"/>
            <w:vAlign w:val="bottom"/>
          </w:tcPr>
          <w:p>
            <w:pPr>
              <w:pStyle w:val="TableContents"/>
              <w:spacing w:before="0" w:after="0"/>
              <w:ind w:left="0" w:right="0" w:hanging="0"/>
              <w:rPr/>
            </w:pPr>
            <w:r>
              <w:rPr/>
              <w:t> </w:t>
            </w:r>
          </w:p>
        </w:tc>
        <w:tc>
          <w:tcPr>
            <w:tcW w:w="5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01" w:type="dxa"/>
            <w:tcBorders/>
            <w:shd w:fill="CCEEFF" w:val="clear"/>
            <w:vAlign w:val="bottom"/>
          </w:tcPr>
          <w:p>
            <w:pPr>
              <w:pStyle w:val="TableContents"/>
              <w:spacing w:before="0" w:after="0"/>
              <w:ind w:left="0" w:right="0" w:hanging="0"/>
              <w:rPr/>
            </w:pPr>
            <w:r>
              <w:rPr>
                <w:rFonts w:ascii="Times New Roman" w:hAnsi="Times New Roman"/>
                <w:sz w:val="17"/>
              </w:rPr>
              <w:t xml:space="preserve">Segment general and administrative expenses (excluding equity-indexed compensation expense) </w:t>
            </w:r>
            <w:r>
              <w:rPr>
                <w:sz w:val="11"/>
              </w:rPr>
              <w:t xml:space="preserve">(4) </w:t>
            </w:r>
          </w:p>
        </w:tc>
        <w:tc>
          <w:tcPr>
            <w:tcW w:w="104" w:type="dxa"/>
            <w:tcBorders/>
            <w:shd w:fill="CCEEFF" w:val="clear"/>
            <w:vAlign w:val="bottom"/>
          </w:tcPr>
          <w:p>
            <w:pPr>
              <w:pStyle w:val="TableContents"/>
              <w:spacing w:before="0" w:after="0"/>
              <w:ind w:left="0" w:right="0" w:hanging="0"/>
              <w:rPr/>
            </w:pPr>
            <w:r>
              <w:rPr/>
              <w:t> </w:t>
            </w:r>
          </w:p>
        </w:tc>
        <w:tc>
          <w:tcPr>
            <w:tcW w:w="6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3" w:type="dxa"/>
            <w:tcBorders/>
            <w:shd w:fill="CCEEFF" w:val="clear"/>
            <w:vAlign w:val="bottom"/>
          </w:tcPr>
          <w:p>
            <w:pPr>
              <w:pStyle w:val="TableContents"/>
              <w:spacing w:before="0" w:after="0"/>
              <w:ind w:left="0" w:right="0" w:hanging="0"/>
              <w:rPr/>
            </w:pPr>
            <w:r>
              <w:rPr/>
              <w:t> </w:t>
            </w:r>
          </w:p>
        </w:tc>
        <w:tc>
          <w:tcPr>
            <w:tcW w:w="50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6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CCEEFF" w:val="clear"/>
            <w:vAlign w:val="bottom"/>
          </w:tcPr>
          <w:p>
            <w:pPr>
              <w:pStyle w:val="TableContents"/>
              <w:spacing w:before="0" w:after="0"/>
              <w:ind w:left="0" w:right="0" w:hanging="0"/>
              <w:rPr/>
            </w:pPr>
            <w:r>
              <w:rPr/>
              <w:t> </w:t>
            </w:r>
          </w:p>
        </w:tc>
        <w:tc>
          <w:tcPr>
            <w:tcW w:w="5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01" w:type="dxa"/>
            <w:tcBorders/>
            <w:shd w:fill="auto" w:val="clear"/>
            <w:vAlign w:val="bottom"/>
          </w:tcPr>
          <w:p>
            <w:pPr>
              <w:pStyle w:val="TableContents"/>
              <w:spacing w:before="0" w:after="0"/>
              <w:ind w:left="0" w:right="0" w:hanging="0"/>
              <w:rPr/>
            </w:pPr>
            <w:r>
              <w:rPr>
                <w:rFonts w:ascii="Times New Roman" w:hAnsi="Times New Roman"/>
                <w:sz w:val="17"/>
              </w:rPr>
              <w:t xml:space="preserve">Equity-indexed compensation expense - general and administrative </w:t>
            </w:r>
            <w:r>
              <w:rPr>
                <w:sz w:val="11"/>
              </w:rPr>
              <w:t xml:space="preserve">(3) </w:t>
            </w:r>
          </w:p>
        </w:tc>
        <w:tc>
          <w:tcPr>
            <w:tcW w:w="104" w:type="dxa"/>
            <w:tcBorders/>
            <w:shd w:fill="auto" w:val="clear"/>
            <w:vAlign w:val="bottom"/>
          </w:tcPr>
          <w:p>
            <w:pPr>
              <w:pStyle w:val="TableContents"/>
              <w:spacing w:before="0" w:after="0"/>
              <w:ind w:left="0" w:right="0" w:hanging="0"/>
              <w:rPr/>
            </w:pPr>
            <w:r>
              <w:rPr/>
              <w:t> </w:t>
            </w:r>
          </w:p>
        </w:tc>
        <w:tc>
          <w:tcPr>
            <w:tcW w:w="6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3" w:type="dxa"/>
            <w:tcBorders/>
            <w:shd w:fill="auto" w:val="clear"/>
            <w:vAlign w:val="bottom"/>
          </w:tcPr>
          <w:p>
            <w:pPr>
              <w:pStyle w:val="TableContents"/>
              <w:spacing w:before="0" w:after="0"/>
              <w:ind w:left="0" w:right="0" w:hanging="0"/>
              <w:rPr/>
            </w:pPr>
            <w:r>
              <w:rPr/>
              <w:t> </w:t>
            </w:r>
          </w:p>
        </w:tc>
        <w:tc>
          <w:tcPr>
            <w:tcW w:w="50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4"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6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w:t>
            </w:r>
          </w:p>
        </w:tc>
        <w:tc>
          <w:tcPr>
            <w:tcW w:w="104"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0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91"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3" w:type="dxa"/>
            <w:tcBorders/>
            <w:shd w:fill="CCEEFF" w:val="clear"/>
            <w:vAlign w:val="bottom"/>
          </w:tcPr>
          <w:p>
            <w:pPr>
              <w:pStyle w:val="TableContents"/>
              <w:spacing w:before="0" w:after="0"/>
              <w:ind w:left="0" w:right="0" w:hanging="0"/>
              <w:rPr/>
            </w:pPr>
            <w:r>
              <w:rPr/>
              <w:t> </w:t>
            </w:r>
          </w:p>
        </w:tc>
        <w:tc>
          <w:tcPr>
            <w:tcW w:w="5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20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91" w:type="dxa"/>
            <w:tcBorders/>
            <w:shd w:fill="CCEEFF" w:val="clear"/>
            <w:vAlign w:val="bottom"/>
          </w:tcPr>
          <w:p>
            <w:pPr>
              <w:pStyle w:val="TableContents"/>
              <w:spacing w:before="0" w:after="0"/>
              <w:ind w:left="0" w:right="0" w:hanging="0"/>
              <w:rPr/>
            </w:pPr>
            <w:r>
              <w:rPr/>
              <w:t> </w:t>
            </w:r>
          </w:p>
        </w:tc>
        <w:tc>
          <w:tcPr>
            <w:tcW w:w="1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92" w:type="dxa"/>
            <w:tcBorders/>
            <w:shd w:fill="CCEEFF" w:val="clear"/>
            <w:vAlign w:val="bottom"/>
          </w:tcPr>
          <w:p>
            <w:pPr>
              <w:pStyle w:val="TableContents"/>
              <w:spacing w:before="0" w:after="0"/>
              <w:ind w:left="0" w:right="0" w:hanging="0"/>
              <w:rPr/>
            </w:pPr>
            <w:r>
              <w:rPr/>
              <w:t> </w:t>
            </w:r>
          </w:p>
        </w:tc>
        <w:tc>
          <w:tcPr>
            <w:tcW w:w="5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w:t>
            </w:r>
          </w:p>
        </w:tc>
        <w:tc>
          <w:tcPr>
            <w:tcW w:w="104"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0"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1"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3" w:type="dxa"/>
            <w:tcBorders/>
            <w:shd w:fill="auto" w:val="clear"/>
            <w:vAlign w:val="bottom"/>
          </w:tcPr>
          <w:p>
            <w:pPr>
              <w:pStyle w:val="TableContents"/>
              <w:spacing w:before="0" w:after="0"/>
              <w:ind w:left="0" w:right="0" w:hanging="0"/>
              <w:rPr/>
            </w:pPr>
            <w:r>
              <w:rPr/>
              <w:t> </w:t>
            </w:r>
          </w:p>
        </w:tc>
        <w:tc>
          <w:tcPr>
            <w:tcW w:w="50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24"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0"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91" w:type="dxa"/>
            <w:tcBorders/>
            <w:shd w:fill="auto" w:val="clear"/>
            <w:vAlign w:val="bottom"/>
          </w:tcPr>
          <w:p>
            <w:pPr>
              <w:pStyle w:val="TableContents"/>
              <w:spacing w:before="0" w:after="0"/>
              <w:ind w:left="0" w:right="0" w:hanging="0"/>
              <w:rPr/>
            </w:pPr>
            <w:r>
              <w:rPr/>
              <w:t> </w:t>
            </w:r>
          </w:p>
        </w:tc>
        <w:tc>
          <w:tcPr>
            <w:tcW w:w="1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2" w:type="dxa"/>
            <w:tcBorders/>
            <w:shd w:fill="auto" w:val="clear"/>
            <w:vAlign w:val="bottom"/>
          </w:tcPr>
          <w:p>
            <w:pPr>
              <w:pStyle w:val="TableContents"/>
              <w:spacing w:before="0" w:after="0"/>
              <w:ind w:left="0" w:right="0" w:hanging="0"/>
              <w:rPr/>
            </w:pPr>
            <w:r>
              <w:rPr/>
              <w:t> </w:t>
            </w:r>
          </w:p>
        </w:tc>
        <w:tc>
          <w:tcPr>
            <w:tcW w:w="5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104"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20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0.42</w:t>
            </w:r>
          </w:p>
        </w:tc>
        <w:tc>
          <w:tcPr>
            <w:tcW w:w="191"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4"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20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0.37</w:t>
            </w:r>
          </w:p>
        </w:tc>
        <w:tc>
          <w:tcPr>
            <w:tcW w:w="191" w:type="dxa"/>
            <w:tcBorders/>
            <w:shd w:fill="CCEEFF" w:val="clear"/>
            <w:vAlign w:val="bottom"/>
          </w:tcPr>
          <w:p>
            <w:pPr>
              <w:pStyle w:val="TableContents"/>
              <w:spacing w:before="0" w:after="0"/>
              <w:ind w:left="0" w:right="0" w:hanging="0"/>
              <w:rPr/>
            </w:pPr>
            <w:r>
              <w:rPr/>
              <w:t> </w:t>
            </w:r>
          </w:p>
        </w:tc>
        <w:tc>
          <w:tcPr>
            <w:tcW w:w="1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192" w:type="dxa"/>
            <w:tcBorders/>
            <w:shd w:fill="CCEEFF" w:val="clear"/>
            <w:vAlign w:val="bottom"/>
          </w:tcPr>
          <w:p>
            <w:pPr>
              <w:pStyle w:val="TableContents"/>
              <w:spacing w:before="0" w:after="0"/>
              <w:ind w:left="0" w:right="0" w:hanging="0"/>
              <w:rPr/>
            </w:pPr>
            <w:r>
              <w:rPr/>
              <w:t> </w:t>
            </w:r>
          </w:p>
        </w:tc>
        <w:tc>
          <w:tcPr>
            <w:tcW w:w="5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75"/>
        <w:gridCol w:w="104"/>
        <w:gridCol w:w="632"/>
        <w:gridCol w:w="210"/>
        <w:gridCol w:w="631"/>
        <w:gridCol w:w="210"/>
        <w:gridCol w:w="632"/>
        <w:gridCol w:w="104"/>
        <w:gridCol w:w="526"/>
        <w:gridCol w:w="210"/>
        <w:gridCol w:w="105"/>
        <w:gridCol w:w="631"/>
        <w:gridCol w:w="210"/>
        <w:gridCol w:w="631"/>
        <w:gridCol w:w="211"/>
        <w:gridCol w:w="631"/>
        <w:gridCol w:w="210"/>
        <w:gridCol w:w="631"/>
        <w:gridCol w:w="211"/>
      </w:tblGrid>
      <w:tr>
        <w:trPr/>
        <w:tc>
          <w:tcPr>
            <w:tcW w:w="3475"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632"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631"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26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10"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1"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631"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47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11" w:type="dxa"/>
            <w:tcBorders/>
            <w:shd w:fill="auto" w:val="clear"/>
            <w:vAlign w:val="bottom"/>
          </w:tcPr>
          <w:p>
            <w:pPr>
              <w:pStyle w:val="TableContents"/>
              <w:spacing w:before="0" w:after="0"/>
              <w:ind w:left="0" w:right="0" w:hanging="0"/>
              <w:rPr/>
            </w:pPr>
            <w:r>
              <w:rPr/>
              <w:t> </w:t>
            </w:r>
          </w:p>
        </w:tc>
      </w:tr>
      <w:tr>
        <w:trPr/>
        <w:tc>
          <w:tcPr>
            <w:tcW w:w="3475"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47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0" w:type="dxa"/>
            <w:tcBorders/>
            <w:shd w:fill="auto" w:val="clear"/>
            <w:vAlign w:val="bottom"/>
          </w:tcPr>
          <w:p>
            <w:pPr>
              <w:pStyle w:val="TableContents"/>
              <w:spacing w:before="0" w:after="0"/>
              <w:ind w:left="0" w:right="0" w:hanging="0"/>
              <w:jc w:val="center"/>
              <w:rPr/>
            </w:pPr>
            <w:r>
              <w:rPr/>
              <w:t> </w:t>
            </w:r>
          </w:p>
        </w:tc>
        <w:tc>
          <w:tcPr>
            <w:tcW w:w="126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10"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47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11" w:type="dxa"/>
            <w:tcBorders/>
            <w:shd w:fill="auto" w:val="clear"/>
            <w:vAlign w:val="bottom"/>
          </w:tcPr>
          <w:p>
            <w:pPr>
              <w:pStyle w:val="TableContents"/>
              <w:spacing w:before="0" w:after="0"/>
              <w:ind w:left="0" w:right="0" w:hanging="0"/>
              <w:jc w:val="center"/>
              <w:rPr/>
            </w:pPr>
            <w:r>
              <w:rPr/>
              <w:t> </w:t>
            </w:r>
          </w:p>
        </w:tc>
        <w:tc>
          <w:tcPr>
            <w:tcW w:w="147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11" w:type="dxa"/>
            <w:tcBorders/>
            <w:shd w:fill="auto" w:val="clear"/>
            <w:vAlign w:val="bottom"/>
          </w:tcPr>
          <w:p>
            <w:pPr>
              <w:pStyle w:val="TableContents"/>
              <w:spacing w:before="0" w:after="0"/>
              <w:ind w:left="0" w:right="0" w:hanging="0"/>
              <w:rPr/>
            </w:pPr>
            <w:r>
              <w:rPr/>
              <w:t> </w:t>
            </w:r>
          </w:p>
        </w:tc>
      </w:tr>
      <w:tr>
        <w:trPr/>
        <w:tc>
          <w:tcPr>
            <w:tcW w:w="3475"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47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10" w:type="dxa"/>
            <w:tcBorders/>
            <w:shd w:fill="auto" w:val="clear"/>
            <w:vAlign w:val="bottom"/>
          </w:tcPr>
          <w:p>
            <w:pPr>
              <w:pStyle w:val="TableContents"/>
              <w:spacing w:before="0" w:after="0"/>
              <w:ind w:left="0" w:right="0" w:hanging="0"/>
              <w:jc w:val="center"/>
              <w:rPr/>
            </w:pPr>
            <w:r>
              <w:rPr/>
              <w:t> </w:t>
            </w:r>
          </w:p>
        </w:tc>
        <w:tc>
          <w:tcPr>
            <w:tcW w:w="1262"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0"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472"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11" w:type="dxa"/>
            <w:tcBorders/>
            <w:shd w:fill="auto" w:val="clear"/>
            <w:vAlign w:val="bottom"/>
          </w:tcPr>
          <w:p>
            <w:pPr>
              <w:pStyle w:val="TableContents"/>
              <w:spacing w:before="0" w:after="0"/>
              <w:ind w:left="0" w:right="0" w:hanging="0"/>
              <w:jc w:val="center"/>
              <w:rPr/>
            </w:pPr>
            <w:r>
              <w:rPr/>
              <w:t> </w:t>
            </w:r>
          </w:p>
        </w:tc>
        <w:tc>
          <w:tcPr>
            <w:tcW w:w="1472"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1" w:type="dxa"/>
            <w:tcBorders/>
            <w:shd w:fill="auto" w:val="clear"/>
            <w:vAlign w:val="bottom"/>
          </w:tcPr>
          <w:p>
            <w:pPr>
              <w:pStyle w:val="TableContents"/>
              <w:spacing w:before="0" w:after="0"/>
              <w:ind w:left="0" w:right="0" w:hanging="0"/>
              <w:rPr/>
            </w:pPr>
            <w:r>
              <w:rPr/>
              <w:t> </w:t>
            </w:r>
          </w:p>
        </w:tc>
      </w:tr>
      <w:tr>
        <w:trPr/>
        <w:tc>
          <w:tcPr>
            <w:tcW w:w="3475"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Volumes </w:t>
            </w:r>
            <w:r>
              <w:rPr>
                <w:b/>
                <w:sz w:val="8"/>
              </w:rPr>
              <w:t>(5) (6)</w:t>
            </w:r>
          </w:p>
        </w:tc>
        <w:tc>
          <w:tcPr>
            <w:tcW w:w="104" w:type="dxa"/>
            <w:tcBorders/>
            <w:shd w:fill="auto" w:val="clear"/>
            <w:vAlign w:val="bottom"/>
          </w:tcPr>
          <w:p>
            <w:pPr>
              <w:pStyle w:val="TableContents"/>
              <w:spacing w:before="0" w:after="0"/>
              <w:ind w:left="0" w:right="0" w:hanging="0"/>
              <w:jc w:val="center"/>
              <w:rPr/>
            </w:pPr>
            <w:r>
              <w:rPr/>
              <w:t> </w:t>
            </w:r>
          </w:p>
        </w:tc>
        <w:tc>
          <w:tcPr>
            <w:tcW w:w="63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0" w:type="dxa"/>
            <w:tcBorders/>
            <w:shd w:fill="auto" w:val="clear"/>
            <w:vAlign w:val="bottom"/>
          </w:tcPr>
          <w:p>
            <w:pPr>
              <w:pStyle w:val="TableContents"/>
              <w:spacing w:before="0" w:after="0"/>
              <w:ind w:left="0" w:right="0" w:hanging="0"/>
              <w:jc w:val="center"/>
              <w:rPr/>
            </w:pPr>
            <w:r>
              <w:rPr/>
              <w:t> </w:t>
            </w:r>
          </w:p>
        </w:tc>
        <w:tc>
          <w:tcPr>
            <w:tcW w:w="63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0" w:type="dxa"/>
            <w:tcBorders/>
            <w:shd w:fill="auto" w:val="clear"/>
            <w:vAlign w:val="bottom"/>
          </w:tcPr>
          <w:p>
            <w:pPr>
              <w:pStyle w:val="TableContents"/>
              <w:spacing w:before="0" w:after="0"/>
              <w:ind w:left="0" w:right="0" w:hanging="0"/>
              <w:jc w:val="center"/>
              <w:rPr/>
            </w:pPr>
            <w:r>
              <w:rPr/>
              <w:t> </w:t>
            </w:r>
          </w:p>
        </w:tc>
        <w:tc>
          <w:tcPr>
            <w:tcW w:w="63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04" w:type="dxa"/>
            <w:tcBorders/>
            <w:shd w:fill="auto" w:val="clear"/>
            <w:vAlign w:val="bottom"/>
          </w:tcPr>
          <w:p>
            <w:pPr>
              <w:pStyle w:val="TableContents"/>
              <w:spacing w:before="0" w:after="0"/>
              <w:ind w:left="0" w:right="0" w:hanging="0"/>
              <w:jc w:val="center"/>
              <w:rPr/>
            </w:pPr>
            <w:r>
              <w:rPr/>
              <w:t> </w:t>
            </w:r>
          </w:p>
        </w:tc>
        <w:tc>
          <w:tcPr>
            <w:tcW w:w="52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0"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0" w:type="dxa"/>
            <w:tcBorders/>
            <w:shd w:fill="auto" w:val="clear"/>
            <w:vAlign w:val="bottom"/>
          </w:tcPr>
          <w:p>
            <w:pPr>
              <w:pStyle w:val="TableContents"/>
              <w:spacing w:before="0" w:after="0"/>
              <w:ind w:left="0" w:right="0" w:hanging="0"/>
              <w:jc w:val="center"/>
              <w:rPr/>
            </w:pPr>
            <w:r>
              <w:rPr/>
              <w:t> </w:t>
            </w:r>
          </w:p>
        </w:tc>
        <w:tc>
          <w:tcPr>
            <w:tcW w:w="63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1" w:type="dxa"/>
            <w:tcBorders/>
            <w:shd w:fill="auto" w:val="clear"/>
            <w:vAlign w:val="bottom"/>
          </w:tcPr>
          <w:p>
            <w:pPr>
              <w:pStyle w:val="TableContents"/>
              <w:spacing w:before="0" w:after="0"/>
              <w:ind w:left="0" w:right="0" w:hanging="0"/>
              <w:jc w:val="center"/>
              <w:rPr/>
            </w:pPr>
            <w:r>
              <w:rPr/>
              <w:t> </w:t>
            </w:r>
          </w:p>
        </w:tc>
        <w:tc>
          <w:tcPr>
            <w:tcW w:w="63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0" w:type="dxa"/>
            <w:tcBorders/>
            <w:shd w:fill="auto" w:val="clear"/>
            <w:vAlign w:val="bottom"/>
          </w:tcPr>
          <w:p>
            <w:pPr>
              <w:pStyle w:val="TableContents"/>
              <w:spacing w:before="0" w:after="0"/>
              <w:ind w:left="0" w:right="0" w:hanging="0"/>
              <w:jc w:val="center"/>
              <w:rPr/>
            </w:pPr>
            <w:r>
              <w:rPr/>
              <w:t> </w:t>
            </w:r>
          </w:p>
        </w:tc>
        <w:tc>
          <w:tcPr>
            <w:tcW w:w="63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1" w:type="dxa"/>
            <w:tcBorders/>
            <w:shd w:fill="auto" w:val="clear"/>
            <w:vAlign w:val="bottom"/>
          </w:tcPr>
          <w:p>
            <w:pPr>
              <w:pStyle w:val="TableContents"/>
              <w:spacing w:before="0" w:after="0"/>
              <w:ind w:left="0" w:right="0" w:hanging="0"/>
              <w:jc w:val="center"/>
              <w:rPr/>
            </w:pPr>
            <w:r>
              <w:rPr/>
              <w:t> </w:t>
            </w:r>
          </w:p>
        </w:tc>
      </w:tr>
      <w:tr>
        <w:trPr/>
        <w:tc>
          <w:tcPr>
            <w:tcW w:w="34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refined products and NGL terminalling and storage (average monthly capacity in millions of barrels) </w:t>
            </w:r>
          </w:p>
        </w:tc>
        <w:tc>
          <w:tcPr>
            <w:tcW w:w="104" w:type="dxa"/>
            <w:tcBorders/>
            <w:shd w:fill="CCEEFF" w:val="clear"/>
            <w:vAlign w:val="bottom"/>
          </w:tcPr>
          <w:p>
            <w:pPr>
              <w:pStyle w:val="TableContents"/>
              <w:spacing w:before="0" w:after="0"/>
              <w:ind w:left="0" w:right="0" w:hanging="0"/>
              <w:rPr/>
            </w:pPr>
            <w:r>
              <w:rPr/>
              <w:t> </w:t>
            </w:r>
          </w:p>
        </w:tc>
        <w:tc>
          <w:tcPr>
            <w:tcW w:w="6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0"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0" w:type="dxa"/>
            <w:tcBorders/>
            <w:shd w:fill="CCEEFF" w:val="clear"/>
            <w:vAlign w:val="bottom"/>
          </w:tcPr>
          <w:p>
            <w:pPr>
              <w:pStyle w:val="TableContents"/>
              <w:spacing w:before="0" w:after="0"/>
              <w:ind w:left="0" w:right="0" w:hanging="0"/>
              <w:rPr/>
            </w:pPr>
            <w:r>
              <w:rPr/>
              <w:t> </w:t>
            </w:r>
          </w:p>
        </w:tc>
        <w:tc>
          <w:tcPr>
            <w:tcW w:w="6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c>
          <w:tcPr>
            <w:tcW w:w="5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0"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1"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0"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Rail load / unload volumes (average volumes in thousands of barrels per day) </w:t>
            </w:r>
          </w:p>
        </w:tc>
        <w:tc>
          <w:tcPr>
            <w:tcW w:w="104" w:type="dxa"/>
            <w:tcBorders/>
            <w:shd w:fill="auto" w:val="clear"/>
            <w:vAlign w:val="bottom"/>
          </w:tcPr>
          <w:p>
            <w:pPr>
              <w:pStyle w:val="TableContents"/>
              <w:spacing w:before="0" w:after="0"/>
              <w:ind w:left="0" w:right="0" w:hanging="0"/>
              <w:rPr/>
            </w:pPr>
            <w:r>
              <w:rPr/>
              <w:t> </w:t>
            </w:r>
          </w:p>
        </w:tc>
        <w:tc>
          <w:tcPr>
            <w:tcW w:w="6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10" w:type="dxa"/>
            <w:tcBorders/>
            <w:shd w:fill="auto" w:val="clear"/>
            <w:vAlign w:val="bottom"/>
          </w:tcPr>
          <w:p>
            <w:pPr>
              <w:pStyle w:val="TableContents"/>
              <w:spacing w:before="0" w:after="0"/>
              <w:ind w:left="0" w:right="0" w:hanging="0"/>
              <w:rPr/>
            </w:pPr>
            <w:r>
              <w:rPr/>
              <w:t> </w:t>
            </w:r>
          </w:p>
        </w:tc>
        <w:tc>
          <w:tcPr>
            <w:tcW w:w="6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6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104" w:type="dxa"/>
            <w:tcBorders/>
            <w:shd w:fill="auto" w:val="clear"/>
            <w:vAlign w:val="bottom"/>
          </w:tcPr>
          <w:p>
            <w:pPr>
              <w:pStyle w:val="TableContents"/>
              <w:spacing w:before="0" w:after="0"/>
              <w:ind w:left="0" w:right="0" w:hanging="0"/>
              <w:rPr/>
            </w:pPr>
            <w:r>
              <w:rPr/>
              <w:t> </w:t>
            </w:r>
          </w:p>
        </w:tc>
        <w:tc>
          <w:tcPr>
            <w:tcW w:w="52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6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0" w:type="dxa"/>
            <w:tcBorders/>
            <w:shd w:fill="auto" w:val="clear"/>
            <w:vAlign w:val="bottom"/>
          </w:tcPr>
          <w:p>
            <w:pPr>
              <w:pStyle w:val="TableContents"/>
              <w:spacing w:before="0" w:after="0"/>
              <w:ind w:left="0" w:right="0" w:hanging="0"/>
              <w:rPr/>
            </w:pPr>
            <w:r>
              <w:rPr/>
              <w:t> </w:t>
            </w:r>
          </w:p>
        </w:tc>
        <w:tc>
          <w:tcPr>
            <w:tcW w:w="6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6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0" w:type="dxa"/>
            <w:tcBorders/>
            <w:shd w:fill="auto" w:val="clear"/>
            <w:vAlign w:val="bottom"/>
          </w:tcPr>
          <w:p>
            <w:pPr>
              <w:pStyle w:val="TableContents"/>
              <w:spacing w:before="0" w:after="0"/>
              <w:ind w:left="0" w:right="0" w:hanging="0"/>
              <w:rPr/>
            </w:pPr>
            <w:r>
              <w:rPr/>
              <w:t> </w:t>
            </w:r>
          </w:p>
        </w:tc>
        <w:tc>
          <w:tcPr>
            <w:tcW w:w="6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1" w:type="dxa"/>
            <w:tcBorders/>
            <w:shd w:fill="auto" w:val="clear"/>
            <w:vAlign w:val="bottom"/>
          </w:tcPr>
          <w:p>
            <w:pPr>
              <w:pStyle w:val="TableContents"/>
              <w:spacing w:before="0" w:after="0"/>
              <w:ind w:left="0" w:right="0" w:hanging="0"/>
              <w:rPr/>
            </w:pPr>
            <w:r>
              <w:rPr/>
              <w:t> </w:t>
            </w:r>
          </w:p>
        </w:tc>
      </w:tr>
      <w:tr>
        <w:trPr/>
        <w:tc>
          <w:tcPr>
            <w:tcW w:w="34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Natural gas storage (average monthly capacity in billions of cubic feet) </w:t>
            </w:r>
          </w:p>
        </w:tc>
        <w:tc>
          <w:tcPr>
            <w:tcW w:w="104" w:type="dxa"/>
            <w:tcBorders/>
            <w:shd w:fill="CCEEFF" w:val="clear"/>
            <w:vAlign w:val="bottom"/>
          </w:tcPr>
          <w:p>
            <w:pPr>
              <w:pStyle w:val="TableContents"/>
              <w:spacing w:before="0" w:after="0"/>
              <w:ind w:left="0" w:right="0" w:hanging="0"/>
              <w:rPr/>
            </w:pPr>
            <w:r>
              <w:rPr/>
              <w:t> </w:t>
            </w:r>
          </w:p>
        </w:tc>
        <w:tc>
          <w:tcPr>
            <w:tcW w:w="6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10"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0" w:type="dxa"/>
            <w:tcBorders/>
            <w:shd w:fill="CCEEFF" w:val="clear"/>
            <w:vAlign w:val="bottom"/>
          </w:tcPr>
          <w:p>
            <w:pPr>
              <w:pStyle w:val="TableContents"/>
              <w:spacing w:before="0" w:after="0"/>
              <w:ind w:left="0" w:right="0" w:hanging="0"/>
              <w:rPr/>
            </w:pPr>
            <w:r>
              <w:rPr/>
              <w:t> </w:t>
            </w:r>
          </w:p>
        </w:tc>
        <w:tc>
          <w:tcPr>
            <w:tcW w:w="6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04" w:type="dxa"/>
            <w:tcBorders/>
            <w:shd w:fill="CCEEFF" w:val="clear"/>
            <w:vAlign w:val="bottom"/>
          </w:tcPr>
          <w:p>
            <w:pPr>
              <w:pStyle w:val="TableContents"/>
              <w:spacing w:before="0" w:after="0"/>
              <w:ind w:left="0" w:right="0" w:hanging="0"/>
              <w:rPr/>
            </w:pPr>
            <w:r>
              <w:rPr/>
              <w:t> </w:t>
            </w:r>
          </w:p>
        </w:tc>
        <w:tc>
          <w:tcPr>
            <w:tcW w:w="5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10"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1"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0"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fractionation (average volumes in thousands of barrels per day) </w:t>
            </w:r>
          </w:p>
        </w:tc>
        <w:tc>
          <w:tcPr>
            <w:tcW w:w="104" w:type="dxa"/>
            <w:tcBorders/>
            <w:shd w:fill="auto" w:val="clear"/>
            <w:vAlign w:val="bottom"/>
          </w:tcPr>
          <w:p>
            <w:pPr>
              <w:pStyle w:val="TableContents"/>
              <w:spacing w:before="0" w:after="0"/>
              <w:ind w:left="0" w:right="0" w:hanging="0"/>
              <w:rPr/>
            </w:pPr>
            <w:r>
              <w:rPr/>
              <w:t> </w:t>
            </w:r>
          </w:p>
        </w:tc>
        <w:tc>
          <w:tcPr>
            <w:tcW w:w="6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0" w:type="dxa"/>
            <w:tcBorders/>
            <w:shd w:fill="auto" w:val="clear"/>
            <w:vAlign w:val="bottom"/>
          </w:tcPr>
          <w:p>
            <w:pPr>
              <w:pStyle w:val="TableContents"/>
              <w:spacing w:before="0" w:after="0"/>
              <w:ind w:left="0" w:right="0" w:hanging="0"/>
              <w:rPr/>
            </w:pPr>
            <w:r>
              <w:rPr/>
              <w:t> </w:t>
            </w:r>
          </w:p>
        </w:tc>
        <w:tc>
          <w:tcPr>
            <w:tcW w:w="6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0" w:type="dxa"/>
            <w:tcBorders/>
            <w:shd w:fill="auto" w:val="clear"/>
            <w:vAlign w:val="bottom"/>
          </w:tcPr>
          <w:p>
            <w:pPr>
              <w:pStyle w:val="TableContents"/>
              <w:spacing w:before="0" w:after="0"/>
              <w:ind w:left="0" w:right="0" w:hanging="0"/>
              <w:rPr/>
            </w:pPr>
            <w:r>
              <w:rPr/>
              <w:t> </w:t>
            </w:r>
          </w:p>
        </w:tc>
        <w:tc>
          <w:tcPr>
            <w:tcW w:w="6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04" w:type="dxa"/>
            <w:tcBorders/>
            <w:shd w:fill="auto" w:val="clear"/>
            <w:vAlign w:val="bottom"/>
          </w:tcPr>
          <w:p>
            <w:pPr>
              <w:pStyle w:val="TableContents"/>
              <w:spacing w:before="0" w:after="0"/>
              <w:ind w:left="0" w:right="0" w:hanging="0"/>
              <w:rPr/>
            </w:pPr>
            <w:r>
              <w:rPr/>
              <w:t> </w:t>
            </w:r>
          </w:p>
        </w:tc>
        <w:tc>
          <w:tcPr>
            <w:tcW w:w="52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0"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 w:type="dxa"/>
            <w:tcBorders/>
            <w:shd w:fill="auto" w:val="clear"/>
            <w:vAlign w:val="bottom"/>
          </w:tcPr>
          <w:p>
            <w:pPr>
              <w:pStyle w:val="TableContents"/>
              <w:spacing w:before="0" w:after="0"/>
              <w:ind w:left="0" w:right="0" w:hanging="0"/>
              <w:rPr/>
            </w:pPr>
            <w:r>
              <w:rPr/>
              <w:t> </w:t>
            </w:r>
          </w:p>
        </w:tc>
        <w:tc>
          <w:tcPr>
            <w:tcW w:w="6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10" w:type="dxa"/>
            <w:tcBorders/>
            <w:shd w:fill="auto" w:val="clear"/>
            <w:vAlign w:val="bottom"/>
          </w:tcPr>
          <w:p>
            <w:pPr>
              <w:pStyle w:val="TableContents"/>
              <w:spacing w:before="0" w:after="0"/>
              <w:ind w:left="0" w:right="0" w:hanging="0"/>
              <w:rPr/>
            </w:pPr>
            <w:r>
              <w:rPr/>
              <w:t> </w:t>
            </w:r>
          </w:p>
        </w:tc>
        <w:tc>
          <w:tcPr>
            <w:tcW w:w="6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11" w:type="dxa"/>
            <w:tcBorders/>
            <w:shd w:fill="auto" w:val="clear"/>
            <w:vAlign w:val="bottom"/>
          </w:tcPr>
          <w:p>
            <w:pPr>
              <w:pStyle w:val="TableContents"/>
              <w:spacing w:before="0" w:after="0"/>
              <w:ind w:left="0" w:right="0" w:hanging="0"/>
              <w:rPr/>
            </w:pPr>
            <w:r>
              <w:rPr/>
              <w:t> </w:t>
            </w:r>
          </w:p>
        </w:tc>
        <w:tc>
          <w:tcPr>
            <w:tcW w:w="6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0" w:type="dxa"/>
            <w:tcBorders/>
            <w:shd w:fill="auto" w:val="clear"/>
            <w:vAlign w:val="bottom"/>
          </w:tcPr>
          <w:p>
            <w:pPr>
              <w:pStyle w:val="TableContents"/>
              <w:spacing w:before="0" w:after="0"/>
              <w:ind w:left="0" w:right="0" w:hanging="0"/>
              <w:rPr/>
            </w:pPr>
            <w:r>
              <w:rPr/>
              <w:t> </w:t>
            </w:r>
          </w:p>
        </w:tc>
        <w:tc>
          <w:tcPr>
            <w:tcW w:w="6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segment total (average monthly volumes in millions of barrels) </w:t>
            </w:r>
          </w:p>
        </w:tc>
        <w:tc>
          <w:tcPr>
            <w:tcW w:w="104" w:type="dxa"/>
            <w:tcBorders/>
            <w:shd w:fill="CCEEFF" w:val="clear"/>
            <w:vAlign w:val="bottom"/>
          </w:tcPr>
          <w:p>
            <w:pPr>
              <w:pStyle w:val="TableContents"/>
              <w:spacing w:before="0" w:after="0"/>
              <w:ind w:left="0" w:right="0" w:hanging="0"/>
              <w:rPr/>
            </w:pPr>
            <w:r>
              <w:rPr/>
              <w:t> </w:t>
            </w:r>
          </w:p>
        </w:tc>
        <w:tc>
          <w:tcPr>
            <w:tcW w:w="6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0"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10" w:type="dxa"/>
            <w:tcBorders/>
            <w:shd w:fill="CCEEFF" w:val="clear"/>
            <w:vAlign w:val="bottom"/>
          </w:tcPr>
          <w:p>
            <w:pPr>
              <w:pStyle w:val="TableContents"/>
              <w:spacing w:before="0" w:after="0"/>
              <w:ind w:left="0" w:right="0" w:hanging="0"/>
              <w:rPr/>
            </w:pPr>
            <w:r>
              <w:rPr/>
              <w:t> </w:t>
            </w:r>
          </w:p>
        </w:tc>
        <w:tc>
          <w:tcPr>
            <w:tcW w:w="63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4" w:type="dxa"/>
            <w:tcBorders/>
            <w:shd w:fill="CCEEFF" w:val="clear"/>
            <w:vAlign w:val="bottom"/>
          </w:tcPr>
          <w:p>
            <w:pPr>
              <w:pStyle w:val="TableContents"/>
              <w:spacing w:before="0" w:after="0"/>
              <w:ind w:left="0" w:right="0" w:hanging="0"/>
              <w:rPr/>
            </w:pPr>
            <w:r>
              <w:rPr/>
              <w:t> </w:t>
            </w:r>
          </w:p>
        </w:tc>
        <w:tc>
          <w:tcPr>
            <w:tcW w:w="52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0"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1"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0" w:type="dxa"/>
            <w:tcBorders/>
            <w:shd w:fill="CCEEFF" w:val="clear"/>
            <w:vAlign w:val="bottom"/>
          </w:tcPr>
          <w:p>
            <w:pPr>
              <w:pStyle w:val="TableContents"/>
              <w:spacing w:before="0" w:after="0"/>
              <w:ind w:left="0" w:right="0" w:hanging="0"/>
              <w:rPr/>
            </w:pPr>
            <w:r>
              <w:rPr/>
              <w:t> </w:t>
            </w:r>
          </w:p>
        </w:tc>
        <w:tc>
          <w:tcPr>
            <w:tcW w:w="6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expenses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Natural gas sales and costs are attributable to the activities performed by PNGs commercial optimization group.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Equity-indexed compensation expense shown in the table above includes expenses associated with awards that will or may be settled in PAA and PNG units and awards that will or may be settled in cash.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64" w:name="PB_38_161504_5796"/>
      <w:bookmarkEnd w:id="6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Volumes associated with acquisitions represent total volumes for the number of months we actually owned the assets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Facilities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Operating Revenues and Volumes.</w:t>
      </w:r>
      <w:r>
        <w:rPr>
          <w:rFonts w:ascii="Times New Roman" w:hAnsi="Times New Roman"/>
        </w:rPr>
        <w:t xml:space="preserve">  </w:t>
      </w:r>
      <w:r>
        <w:rPr>
          <w:rFonts w:ascii="Times New Roman" w:hAnsi="Times New Roman"/>
          <w:sz w:val="17"/>
        </w:rPr>
        <w:t>As noted in the tables above, our Facilities segment revenues, less storage related costs and natural gas sales costs, and volumes increased for the three and nine months ended September 30, 2013 compared to the same periods of 2012.  The significant variances in revenues and average monthly volumes between the comparative periods are primarily due to our acquisitions and ongoing expansion activities as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Rail Terminal Acquisition and Expansion Projects  The USD Rail Terminal Acquisition completed in December 2012 and related internal growth projects completed during the latter portion of 2012 expanded our rail loading and unloading fee-based activities. These rail load and unload activities contributed approximately $26 million and $76 million to the increase in total revenues for the three and nine months ended September 30, 2013 over the three and nine months ended September 30, 2012, respectively, and increased average throughput volumes by approximately 218,000 and 221,000 barrels per day during the respective comparative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NGL Storage, Fractionation and Gas Processing Activities  We acquired NGL storage facilities, fractionation plants and related assets through the BP NGL Acquisition completed on April 1, 2012.  During the first quarter of 2013, we benefited from a full period of ownership of these assets, which contributed approximately $66 million of aggregate revenues, 14 million barrels of average monthly capacity of NGL storage capacity, and 87,000 barrels per day of average NGL fractionation throughput during the three-month period ended March 31,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Excluding the impact of the acquisition as discussed above, our NGL storage, fractionation and gas processing revenues for the nine-month periods ended September 30, 2013 increased by approximately $15 million over the comparable nine-month 2012 period, primarily due to physical processing gains recognized at certain owned facilities. Volumes were relatively consistent for the three and nine month periods ended September 30, 2013 compared to the same 2012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Expansion Projects  We estimate that expansion projects that were completed in phases throughout recent years at some of our major terminal locations favorably impacted revenues for the nine months ended September 30, 2013 compared to the nine months ended September 30, 2012 by approximately $14 million.  Such projects included completed phases of expansions at our Cushing, Patoka, St. James and Yorktown terminals and new condensate stabilizers at our Gardendale terminal.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equity-indexed compensation expense) increased during the three and nine months ended September 30, 2013 compared to the three and nine months ended September 30, 2012 due to our growth through acquisitions, primarily the BP NGL and USD Rail Terminal Acquisitions. A portion of the increase for the three-month period was related to additional costs for integrity and other maintenance, particularly on the assets that were part of the BP NGL Acquisition. Additionally, the BP NGL Acquisition assets and operations typically have a higher ratio of operating costs to revenue than our historic operations in this segment.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Maintenance capital consists of capital investments for the replacement of partially or fully depreciated assets in order to maintain the service capability, level of production and/or functionality of our existing assets.  The decrease in maintenance capital during the three and nine months ended September 30, 2013 compared to the three and nine months ended September 30, 2012 is primarily due to completion of two major projects in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65" w:name="PB_39_161532_2897"/>
      <w:bookmarkEnd w:id="6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revenues from supply and logistics activities reflect the sale of gathered and bulk-purchased crude oil, as well as sales of NGL volumes purchased from suppliers. These revenues also include the sale of additional barrels exchanged through buy/sell arrangements entered into to supplement the margins of the gathered and bulk-purchased volumes.  We do not anticipate that future changes in revenues resulting from variances in commodity prices will be a primary driver of segment profit.  Generally, we expect our segment profit to increase or decrease directionally with (i) increases or decreases in our Supply and Logistics segment volumes (which consist of lease gathered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Supply and Logistics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065"/>
        <w:gridCol w:w="226"/>
        <w:gridCol w:w="113"/>
        <w:gridCol w:w="681"/>
        <w:gridCol w:w="113"/>
        <w:gridCol w:w="112"/>
        <w:gridCol w:w="568"/>
        <w:gridCol w:w="113"/>
        <w:gridCol w:w="113"/>
        <w:gridCol w:w="567"/>
        <w:gridCol w:w="113"/>
        <w:gridCol w:w="568"/>
        <w:gridCol w:w="227"/>
        <w:gridCol w:w="112"/>
        <w:gridCol w:w="113"/>
        <w:gridCol w:w="681"/>
        <w:gridCol w:w="113"/>
        <w:gridCol w:w="113"/>
        <w:gridCol w:w="680"/>
        <w:gridCol w:w="113"/>
        <w:gridCol w:w="113"/>
        <w:gridCol w:w="567"/>
        <w:gridCol w:w="113"/>
        <w:gridCol w:w="681"/>
        <w:gridCol w:w="227"/>
      </w:tblGrid>
      <w:tr>
        <w:trPr/>
        <w:tc>
          <w:tcPr>
            <w:tcW w:w="3065" w:type="dxa"/>
            <w:tcBorders/>
            <w:shd w:fill="auto" w:val="clear"/>
            <w:vAlign w:val="bottom"/>
          </w:tcPr>
          <w:p>
            <w:pPr>
              <w:pStyle w:val="TableContents"/>
              <w:spacing w:before="0" w:after="0"/>
              <w:ind w:left="0" w:right="0" w:hanging="0"/>
              <w:rPr/>
            </w:pPr>
            <w:r>
              <w:rPr/>
              <w:t> </w:t>
            </w:r>
          </w:p>
        </w:tc>
        <w:tc>
          <w:tcPr>
            <w:tcW w:w="226"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680"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136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7"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c>
          <w:tcPr>
            <w:tcW w:w="147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7" w:type="dxa"/>
            <w:tcBorders/>
            <w:shd w:fill="auto" w:val="clear"/>
            <w:vAlign w:val="bottom"/>
          </w:tcPr>
          <w:p>
            <w:pPr>
              <w:pStyle w:val="TableContents"/>
              <w:spacing w:before="0" w:after="0"/>
              <w:ind w:left="0" w:right="0" w:hanging="0"/>
              <w:rPr/>
            </w:pPr>
            <w:r>
              <w:rPr/>
              <w:t> </w:t>
            </w:r>
          </w:p>
        </w:tc>
      </w:tr>
      <w:tr>
        <w:trPr/>
        <w:tc>
          <w:tcPr>
            <w:tcW w:w="3065" w:type="dxa"/>
            <w:tcBorders/>
            <w:shd w:fill="auto" w:val="clear"/>
            <w:vAlign w:val="bottom"/>
          </w:tcPr>
          <w:p>
            <w:pPr>
              <w:pStyle w:val="TableContents"/>
              <w:spacing w:before="0" w:after="0"/>
              <w:ind w:left="0" w:right="0" w:hanging="0"/>
              <w:rPr/>
            </w:pPr>
            <w:r>
              <w:rPr/>
              <w:t> </w:t>
            </w:r>
          </w:p>
        </w:tc>
        <w:tc>
          <w:tcPr>
            <w:tcW w:w="226" w:type="dxa"/>
            <w:tcBorders/>
            <w:shd w:fill="auto" w:val="clear"/>
            <w:vAlign w:val="bottom"/>
          </w:tcPr>
          <w:p>
            <w:pPr>
              <w:pStyle w:val="TableContents"/>
              <w:spacing w:before="0" w:after="0"/>
              <w:ind w:left="0" w:right="0" w:hanging="0"/>
              <w:rPr/>
            </w:pPr>
            <w:r>
              <w:rPr/>
              <w:t> </w:t>
            </w:r>
          </w:p>
        </w:tc>
        <w:tc>
          <w:tcPr>
            <w:tcW w:w="158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13" w:type="dxa"/>
            <w:tcBorders/>
            <w:shd w:fill="auto" w:val="clear"/>
            <w:vAlign w:val="bottom"/>
          </w:tcPr>
          <w:p>
            <w:pPr>
              <w:pStyle w:val="TableContents"/>
              <w:spacing w:before="0" w:after="0"/>
              <w:ind w:left="0" w:right="0" w:hanging="0"/>
              <w:rPr/>
            </w:pPr>
            <w:r>
              <w:rPr/>
              <w:t> </w:t>
            </w:r>
          </w:p>
        </w:tc>
        <w:tc>
          <w:tcPr>
            <w:tcW w:w="136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7"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70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13" w:type="dxa"/>
            <w:tcBorders/>
            <w:shd w:fill="auto" w:val="clear"/>
            <w:vAlign w:val="bottom"/>
          </w:tcPr>
          <w:p>
            <w:pPr>
              <w:pStyle w:val="TableContents"/>
              <w:spacing w:before="0" w:after="0"/>
              <w:ind w:left="0" w:right="0" w:hanging="0"/>
              <w:rPr/>
            </w:pPr>
            <w:r>
              <w:rPr/>
              <w:t> </w:t>
            </w:r>
          </w:p>
        </w:tc>
        <w:tc>
          <w:tcPr>
            <w:tcW w:w="147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7" w:type="dxa"/>
            <w:tcBorders/>
            <w:shd w:fill="auto" w:val="clear"/>
            <w:vAlign w:val="bottom"/>
          </w:tcPr>
          <w:p>
            <w:pPr>
              <w:pStyle w:val="TableContents"/>
              <w:spacing w:before="0" w:after="0"/>
              <w:ind w:left="0" w:right="0" w:hanging="0"/>
              <w:rPr/>
            </w:pPr>
            <w:r>
              <w:rPr/>
              <w:t> </w:t>
            </w:r>
          </w:p>
        </w:tc>
      </w:tr>
      <w:tr>
        <w:trPr/>
        <w:tc>
          <w:tcPr>
            <w:tcW w:w="3065" w:type="dxa"/>
            <w:tcBorders/>
            <w:shd w:fill="auto" w:val="clear"/>
            <w:vAlign w:val="bottom"/>
          </w:tcPr>
          <w:p>
            <w:pPr>
              <w:pStyle w:val="TableContents"/>
              <w:spacing w:before="0" w:after="0"/>
              <w:ind w:left="0" w:right="0" w:hanging="0"/>
              <w:rPr/>
            </w:pPr>
            <w:r>
              <w:rPr>
                <w:rFonts w:ascii="Times New Roman" w:hAnsi="Times New Roman"/>
                <w:b/>
                <w:sz w:val="13"/>
              </w:rPr>
              <w:t>Operating Results</w:t>
            </w:r>
            <w:r>
              <w:rPr/>
              <w:t> </w:t>
            </w:r>
            <w:r>
              <w:rPr>
                <w:b/>
                <w:sz w:val="8"/>
              </w:rPr>
              <w:t>(1)</w:t>
            </w:r>
          </w:p>
        </w:tc>
        <w:tc>
          <w:tcPr>
            <w:tcW w:w="226" w:type="dxa"/>
            <w:tcBorders/>
            <w:shd w:fill="auto" w:val="clear"/>
            <w:vAlign w:val="bottom"/>
          </w:tcPr>
          <w:p>
            <w:pPr>
              <w:pStyle w:val="TableContents"/>
              <w:spacing w:before="0" w:after="0"/>
              <w:ind w:left="0" w:right="0" w:hanging="0"/>
              <w:rPr/>
            </w:pPr>
            <w:r>
              <w:rPr/>
              <w:t> </w:t>
            </w:r>
          </w:p>
        </w:tc>
        <w:tc>
          <w:tcPr>
            <w:tcW w:w="158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3" w:type="dxa"/>
            <w:tcBorders/>
            <w:shd w:fill="auto" w:val="clear"/>
            <w:vAlign w:val="bottom"/>
          </w:tcPr>
          <w:p>
            <w:pPr>
              <w:pStyle w:val="TableContents"/>
              <w:spacing w:before="0" w:after="0"/>
              <w:ind w:left="0" w:right="0" w:hanging="0"/>
              <w:rPr/>
            </w:pPr>
            <w:r>
              <w:rPr/>
              <w:t> </w:t>
            </w:r>
          </w:p>
        </w:tc>
        <w:tc>
          <w:tcPr>
            <w:tcW w:w="136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7"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170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3" w:type="dxa"/>
            <w:tcBorders/>
            <w:shd w:fill="auto" w:val="clear"/>
            <w:vAlign w:val="bottom"/>
          </w:tcPr>
          <w:p>
            <w:pPr>
              <w:pStyle w:val="TableContents"/>
              <w:spacing w:before="0" w:after="0"/>
              <w:ind w:left="0" w:right="0" w:hanging="0"/>
              <w:rPr/>
            </w:pPr>
            <w:r>
              <w:rPr/>
              <w:t> </w:t>
            </w:r>
          </w:p>
        </w:tc>
        <w:tc>
          <w:tcPr>
            <w:tcW w:w="147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7" w:type="dxa"/>
            <w:tcBorders/>
            <w:shd w:fill="auto" w:val="clear"/>
            <w:vAlign w:val="bottom"/>
          </w:tcPr>
          <w:p>
            <w:pPr>
              <w:pStyle w:val="TableContents"/>
              <w:spacing w:before="0" w:after="0"/>
              <w:ind w:left="0" w:right="0" w:hanging="0"/>
              <w:rPr/>
            </w:pPr>
            <w:r>
              <w:rPr/>
              <w:t> </w:t>
            </w:r>
          </w:p>
        </w:tc>
      </w:tr>
      <w:tr>
        <w:trPr/>
        <w:tc>
          <w:tcPr>
            <w:tcW w:w="306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226" w:type="dxa"/>
            <w:tcBorders/>
            <w:shd w:fill="auto" w:val="clear"/>
            <w:vAlign w:val="bottom"/>
          </w:tcPr>
          <w:p>
            <w:pPr>
              <w:pStyle w:val="TableContents"/>
              <w:spacing w:before="0" w:after="0"/>
              <w:ind w:left="0" w:right="0" w:hanging="0"/>
              <w:rPr/>
            </w:pPr>
            <w:r>
              <w:rPr/>
              <w:t> </w:t>
            </w:r>
          </w:p>
        </w:tc>
        <w:tc>
          <w:tcPr>
            <w:tcW w:w="7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3" w:type="dxa"/>
            <w:tcBorders/>
            <w:shd w:fill="auto" w:val="clear"/>
            <w:vAlign w:val="bottom"/>
          </w:tcPr>
          <w:p>
            <w:pPr>
              <w:pStyle w:val="TableContents"/>
              <w:spacing w:before="0" w:after="0"/>
              <w:ind w:left="0" w:right="0" w:hanging="0"/>
              <w:jc w:val="center"/>
              <w:rPr/>
            </w:pPr>
            <w:r>
              <w:rPr/>
              <w:t> </w:t>
            </w:r>
          </w:p>
        </w:tc>
        <w:tc>
          <w:tcPr>
            <w:tcW w:w="6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6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7"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7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9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3" w:type="dxa"/>
            <w:tcBorders/>
            <w:shd w:fill="auto" w:val="clear"/>
            <w:vAlign w:val="bottom"/>
          </w:tcPr>
          <w:p>
            <w:pPr>
              <w:pStyle w:val="TableContents"/>
              <w:spacing w:before="0" w:after="0"/>
              <w:ind w:left="0" w:right="0" w:hanging="0"/>
              <w:jc w:val="center"/>
              <w:rPr/>
            </w:pPr>
            <w:r>
              <w:rPr/>
              <w:t> </w:t>
            </w:r>
          </w:p>
        </w:tc>
        <w:tc>
          <w:tcPr>
            <w:tcW w:w="6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7" w:type="dxa"/>
            <w:tcBorders/>
            <w:shd w:fill="auto" w:val="clear"/>
            <w:vAlign w:val="bottom"/>
          </w:tcPr>
          <w:p>
            <w:pPr>
              <w:pStyle w:val="TableContents"/>
              <w:spacing w:before="0" w:after="0"/>
              <w:ind w:left="0" w:right="0" w:hanging="0"/>
              <w:rPr/>
            </w:pPr>
            <w:r>
              <w:rPr/>
              <w:t> </w:t>
            </w:r>
          </w:p>
        </w:tc>
      </w:tr>
      <w:tr>
        <w:trPr/>
        <w:tc>
          <w:tcPr>
            <w:tcW w:w="30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Revenues </w:t>
            </w:r>
          </w:p>
        </w:tc>
        <w:tc>
          <w:tcPr>
            <w:tcW w:w="226"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10,386</w:t>
            </w:r>
          </w:p>
        </w:tc>
        <w:tc>
          <w:tcPr>
            <w:tcW w:w="113"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9,049</w:t>
            </w:r>
          </w:p>
        </w:tc>
        <w:tc>
          <w:tcPr>
            <w:tcW w:w="113"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1,337</w:t>
            </w:r>
          </w:p>
        </w:tc>
        <w:tc>
          <w:tcPr>
            <w:tcW w:w="113" w:type="dxa"/>
            <w:tcBorders/>
            <w:shd w:fill="CCEEFF" w:val="clear"/>
            <w:vAlign w:val="bottom"/>
          </w:tcPr>
          <w:p>
            <w:pPr>
              <w:pStyle w:val="TableContents"/>
              <w:spacing w:before="0" w:after="0"/>
              <w:ind w:left="0" w:right="0" w:hanging="0"/>
              <w:rPr/>
            </w:pPr>
            <w:r>
              <w:rPr/>
              <w:t> </w:t>
            </w:r>
          </w:p>
        </w:tc>
        <w:tc>
          <w:tcPr>
            <w:tcW w:w="5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30,544</w:t>
            </w:r>
          </w:p>
        </w:tc>
        <w:tc>
          <w:tcPr>
            <w:tcW w:w="113"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27,368</w:t>
            </w:r>
          </w:p>
        </w:tc>
        <w:tc>
          <w:tcPr>
            <w:tcW w:w="113"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3,176</w:t>
            </w:r>
          </w:p>
        </w:tc>
        <w:tc>
          <w:tcPr>
            <w:tcW w:w="113" w:type="dxa"/>
            <w:tcBorders/>
            <w:shd w:fill="CCEEFF" w:val="clear"/>
            <w:vAlign w:val="bottom"/>
          </w:tcPr>
          <w:p>
            <w:pPr>
              <w:pStyle w:val="TableContents"/>
              <w:spacing w:before="0" w:after="0"/>
              <w:ind w:left="0" w:right="0" w:hanging="0"/>
              <w:rPr/>
            </w:pPr>
            <w:r>
              <w:rPr/>
              <w:t> </w:t>
            </w:r>
          </w:p>
        </w:tc>
        <w:tc>
          <w:tcPr>
            <w:tcW w:w="6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65"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(2)</w:t>
            </w:r>
            <w:r>
              <w:rPr/>
              <w:t> </w:t>
            </w:r>
          </w:p>
        </w:tc>
        <w:tc>
          <w:tcPr>
            <w:tcW w:w="226"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(10,189</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(8,776</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(1,413</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(29,439</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(26,414</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(3,025</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(excluding equity- indexed compensation expense) </w:t>
            </w:r>
          </w:p>
        </w:tc>
        <w:tc>
          <w:tcPr>
            <w:tcW w:w="226"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(327</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65" w:type="dxa"/>
            <w:tcBorders/>
            <w:shd w:fill="auto" w:val="clear"/>
            <w:vAlign w:val="bottom"/>
          </w:tcPr>
          <w:p>
            <w:pPr>
              <w:pStyle w:val="TableContents"/>
              <w:spacing w:before="0" w:after="0"/>
              <w:ind w:left="0" w:right="0" w:hanging="0"/>
              <w:rPr/>
            </w:pPr>
            <w:r>
              <w:rPr>
                <w:rFonts w:ascii="Times New Roman" w:hAnsi="Times New Roman"/>
                <w:sz w:val="17"/>
              </w:rPr>
              <w:t xml:space="preserve">Equity-indexed compensation expense - operations </w:t>
            </w:r>
            <w:r>
              <w:rPr>
                <w:sz w:val="11"/>
              </w:rPr>
              <w:t xml:space="preserve">(3) </w:t>
            </w:r>
          </w:p>
        </w:tc>
        <w:tc>
          <w:tcPr>
            <w:tcW w:w="226"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3" w:type="dxa"/>
            <w:tcBorders/>
            <w:shd w:fill="auto" w:val="clear"/>
            <w:vAlign w:val="bottom"/>
          </w:tcPr>
          <w:p>
            <w:pPr>
              <w:pStyle w:val="TableContents"/>
              <w:spacing w:before="0" w:after="0"/>
              <w:ind w:left="0" w:right="0" w:hanging="0"/>
              <w:rPr/>
            </w:pPr>
            <w:r>
              <w:rPr/>
              <w:t> </w:t>
            </w:r>
          </w:p>
        </w:tc>
        <w:tc>
          <w:tcPr>
            <w:tcW w:w="5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7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6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65" w:type="dxa"/>
            <w:tcBorders/>
            <w:shd w:fill="CCEEFF" w:val="clear"/>
            <w:vAlign w:val="bottom"/>
          </w:tcPr>
          <w:p>
            <w:pPr>
              <w:pStyle w:val="TableContents"/>
              <w:spacing w:before="0" w:after="0"/>
              <w:ind w:left="0" w:right="0" w:hanging="0"/>
              <w:rPr/>
            </w:pPr>
            <w:r>
              <w:rPr>
                <w:rFonts w:ascii="Times New Roman" w:hAnsi="Times New Roman"/>
                <w:sz w:val="17"/>
              </w:rPr>
              <w:t xml:space="preserve">Segment general and administrative expenses (excluding equity-indexed compensation expense) </w:t>
            </w:r>
            <w:r>
              <w:rPr>
                <w:sz w:val="11"/>
              </w:rPr>
              <w:t xml:space="preserve">(4) </w:t>
            </w:r>
          </w:p>
        </w:tc>
        <w:tc>
          <w:tcPr>
            <w:tcW w:w="226"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7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c>
          <w:tcPr>
            <w:tcW w:w="6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65" w:type="dxa"/>
            <w:tcBorders/>
            <w:shd w:fill="auto" w:val="clear"/>
            <w:vAlign w:val="bottom"/>
          </w:tcPr>
          <w:p>
            <w:pPr>
              <w:pStyle w:val="TableContents"/>
              <w:spacing w:before="0" w:after="0"/>
              <w:ind w:left="0" w:right="0" w:hanging="0"/>
              <w:rPr/>
            </w:pPr>
            <w:r>
              <w:rPr>
                <w:rFonts w:ascii="Times New Roman" w:hAnsi="Times New Roman"/>
                <w:sz w:val="17"/>
              </w:rPr>
              <w:t xml:space="preserve">Equity-indexed compensation expense - general and administrative </w:t>
            </w:r>
            <w:r>
              <w:rPr>
                <w:sz w:val="11"/>
              </w:rPr>
              <w:t xml:space="preserve">(3) </w:t>
            </w:r>
          </w:p>
        </w:tc>
        <w:tc>
          <w:tcPr>
            <w:tcW w:w="226" w:type="dxa"/>
            <w:tcBorders/>
            <w:shd w:fill="auto" w:val="clear"/>
            <w:vAlign w:val="bottom"/>
          </w:tcPr>
          <w:p>
            <w:pPr>
              <w:pStyle w:val="TableContents"/>
              <w:spacing w:before="0" w:after="0"/>
              <w:ind w:left="0" w:right="0" w:hanging="0"/>
              <w:rPr/>
            </w:pPr>
            <w:r>
              <w:rPr/>
              <w:t> </w:t>
            </w:r>
          </w:p>
        </w:tc>
        <w:tc>
          <w:tcPr>
            <w:tcW w:w="7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auto" w:val="clear"/>
            <w:vAlign w:val="bottom"/>
          </w:tcPr>
          <w:p>
            <w:pPr>
              <w:pStyle w:val="TableContents"/>
              <w:spacing w:before="0" w:after="0"/>
              <w:ind w:left="0" w:right="0" w:hanging="0"/>
              <w:rPr/>
            </w:pPr>
            <w:r>
              <w:rPr/>
              <w:t> </w:t>
            </w:r>
          </w:p>
        </w:tc>
        <w:tc>
          <w:tcPr>
            <w:tcW w:w="56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7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w:t>
            </w:r>
          </w:p>
        </w:tc>
        <w:tc>
          <w:tcPr>
            <w:tcW w:w="226"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13"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13"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673</w:t>
            </w:r>
          </w:p>
        </w:tc>
        <w:tc>
          <w:tcPr>
            <w:tcW w:w="113"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13"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13" w:type="dxa"/>
            <w:tcBorders/>
            <w:shd w:fill="CCEEFF" w:val="clear"/>
            <w:vAlign w:val="bottom"/>
          </w:tcPr>
          <w:p>
            <w:pPr>
              <w:pStyle w:val="TableContents"/>
              <w:spacing w:before="0" w:after="0"/>
              <w:ind w:left="0" w:right="0" w:hanging="0"/>
              <w:rPr/>
            </w:pPr>
            <w:r>
              <w:rPr/>
              <w:t> </w:t>
            </w:r>
          </w:p>
        </w:tc>
        <w:tc>
          <w:tcPr>
            <w:tcW w:w="6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w:t>
            </w:r>
          </w:p>
        </w:tc>
        <w:tc>
          <w:tcPr>
            <w:tcW w:w="226"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3" w:type="dxa"/>
            <w:tcBorders/>
            <w:shd w:fill="auto" w:val="clear"/>
            <w:vAlign w:val="bottom"/>
          </w:tcPr>
          <w:p>
            <w:pPr>
              <w:pStyle w:val="TableContents"/>
              <w:spacing w:before="0" w:after="0"/>
              <w:ind w:left="0" w:right="0" w:hanging="0"/>
              <w:rPr/>
            </w:pPr>
            <w:r>
              <w:rPr/>
              <w:t> </w:t>
            </w:r>
          </w:p>
        </w:tc>
        <w:tc>
          <w:tcPr>
            <w:tcW w:w="1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3"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27"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3"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3"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226"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113"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13"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(0.86</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13"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113"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113" w:type="dxa"/>
            <w:tcBorders/>
            <w:shd w:fill="CCEEFF" w:val="clear"/>
            <w:vAlign w:val="bottom"/>
          </w:tcPr>
          <w:p>
            <w:pPr>
              <w:pStyle w:val="TableContents"/>
              <w:spacing w:before="0" w:after="0"/>
              <w:ind w:left="0" w:right="0" w:hanging="0"/>
              <w:rPr/>
            </w:pPr>
            <w:r>
              <w:rPr/>
              <w:t> </w:t>
            </w:r>
          </w:p>
        </w:tc>
        <w:tc>
          <w:tcPr>
            <w:tcW w:w="6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48"/>
        <w:gridCol w:w="104"/>
        <w:gridCol w:w="648"/>
        <w:gridCol w:w="206"/>
        <w:gridCol w:w="637"/>
        <w:gridCol w:w="204"/>
        <w:gridCol w:w="640"/>
        <w:gridCol w:w="105"/>
        <w:gridCol w:w="519"/>
        <w:gridCol w:w="211"/>
        <w:gridCol w:w="103"/>
        <w:gridCol w:w="648"/>
        <w:gridCol w:w="206"/>
        <w:gridCol w:w="637"/>
        <w:gridCol w:w="204"/>
        <w:gridCol w:w="641"/>
        <w:gridCol w:w="204"/>
        <w:gridCol w:w="616"/>
        <w:gridCol w:w="224"/>
      </w:tblGrid>
      <w:tr>
        <w:trPr/>
        <w:tc>
          <w:tcPr>
            <w:tcW w:w="3448"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648" w:type="dxa"/>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637" w:type="dxa"/>
            <w:tcBorders/>
            <w:shd w:fill="auto" w:val="clear"/>
            <w:vAlign w:val="bottom"/>
          </w:tcPr>
          <w:p>
            <w:pPr>
              <w:pStyle w:val="TableContents"/>
              <w:spacing w:before="0" w:after="0"/>
              <w:ind w:left="0" w:right="0" w:hanging="0"/>
              <w:jc w:val="center"/>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26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11"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648" w:type="dxa"/>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637" w:type="dxa"/>
            <w:tcBorders/>
            <w:shd w:fill="auto" w:val="clear"/>
            <w:vAlign w:val="bottom"/>
          </w:tcPr>
          <w:p>
            <w:pPr>
              <w:pStyle w:val="TableContents"/>
              <w:spacing w:before="0" w:after="0"/>
              <w:ind w:left="0" w:right="0" w:hanging="0"/>
              <w:jc w:val="center"/>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461"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4" w:type="dxa"/>
            <w:tcBorders/>
            <w:shd w:fill="auto" w:val="clear"/>
            <w:vAlign w:val="bottom"/>
          </w:tcPr>
          <w:p>
            <w:pPr>
              <w:pStyle w:val="TableContents"/>
              <w:spacing w:before="0" w:after="0"/>
              <w:ind w:left="0" w:right="0" w:hanging="0"/>
              <w:jc w:val="center"/>
              <w:rPr/>
            </w:pPr>
            <w:r>
              <w:rPr/>
              <w:t> </w:t>
            </w:r>
          </w:p>
        </w:tc>
      </w:tr>
      <w:tr>
        <w:trPr/>
        <w:tc>
          <w:tcPr>
            <w:tcW w:w="3448" w:type="dxa"/>
            <w:tcBorders/>
            <w:shd w:fill="auto" w:val="clear"/>
            <w:vAlign w:val="bottom"/>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491"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4" w:type="dxa"/>
            <w:tcBorders/>
            <w:shd w:fill="auto" w:val="clear"/>
            <w:vAlign w:val="bottom"/>
          </w:tcPr>
          <w:p>
            <w:pPr>
              <w:pStyle w:val="TableContents"/>
              <w:spacing w:before="0" w:after="0"/>
              <w:ind w:left="0" w:right="0" w:hanging="0"/>
              <w:jc w:val="center"/>
              <w:rPr/>
            </w:pPr>
            <w:r>
              <w:rPr/>
              <w:t> </w:t>
            </w:r>
          </w:p>
        </w:tc>
        <w:tc>
          <w:tcPr>
            <w:tcW w:w="1264"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11"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1491"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04" w:type="dxa"/>
            <w:tcBorders/>
            <w:shd w:fill="auto" w:val="clear"/>
            <w:vAlign w:val="bottom"/>
          </w:tcPr>
          <w:p>
            <w:pPr>
              <w:pStyle w:val="TableContents"/>
              <w:spacing w:before="0" w:after="0"/>
              <w:ind w:left="0" w:right="0" w:hanging="0"/>
              <w:jc w:val="center"/>
              <w:rPr/>
            </w:pPr>
            <w:r>
              <w:rPr/>
              <w:t> </w:t>
            </w:r>
          </w:p>
        </w:tc>
        <w:tc>
          <w:tcPr>
            <w:tcW w:w="1461"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4" w:type="dxa"/>
            <w:tcBorders/>
            <w:shd w:fill="auto" w:val="clear"/>
            <w:vAlign w:val="bottom"/>
          </w:tcPr>
          <w:p>
            <w:pPr>
              <w:pStyle w:val="TableContents"/>
              <w:spacing w:before="0" w:after="0"/>
              <w:ind w:left="0" w:right="0" w:hanging="0"/>
              <w:jc w:val="center"/>
              <w:rPr/>
            </w:pPr>
            <w:r>
              <w:rPr/>
              <w:t> </w:t>
            </w:r>
          </w:p>
        </w:tc>
      </w:tr>
      <w:tr>
        <w:trPr/>
        <w:tc>
          <w:tcPr>
            <w:tcW w:w="3448"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104" w:type="dxa"/>
            <w:tcBorders/>
            <w:shd w:fill="auto" w:val="clear"/>
            <w:vAlign w:val="bottom"/>
          </w:tcPr>
          <w:p>
            <w:pPr>
              <w:pStyle w:val="TableContents"/>
              <w:spacing w:before="0" w:after="0"/>
              <w:ind w:left="0" w:right="0" w:hanging="0"/>
              <w:rPr/>
            </w:pPr>
            <w:r>
              <w:rPr/>
              <w:t> </w:t>
            </w:r>
          </w:p>
        </w:tc>
        <w:tc>
          <w:tcPr>
            <w:tcW w:w="1491"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4" w:type="dxa"/>
            <w:tcBorders/>
            <w:shd w:fill="auto" w:val="clear"/>
            <w:vAlign w:val="bottom"/>
          </w:tcPr>
          <w:p>
            <w:pPr>
              <w:pStyle w:val="TableContents"/>
              <w:spacing w:before="0" w:after="0"/>
              <w:ind w:left="0" w:right="0" w:hanging="0"/>
              <w:jc w:val="center"/>
              <w:rPr/>
            </w:pPr>
            <w:r>
              <w:rPr/>
              <w:t> </w:t>
            </w:r>
          </w:p>
        </w:tc>
        <w:tc>
          <w:tcPr>
            <w:tcW w:w="126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1"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1491"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4" w:type="dxa"/>
            <w:tcBorders/>
            <w:shd w:fill="auto" w:val="clear"/>
            <w:vAlign w:val="bottom"/>
          </w:tcPr>
          <w:p>
            <w:pPr>
              <w:pStyle w:val="TableContents"/>
              <w:spacing w:before="0" w:after="0"/>
              <w:ind w:left="0" w:right="0" w:hanging="0"/>
              <w:jc w:val="center"/>
              <w:rPr/>
            </w:pPr>
            <w:r>
              <w:rPr/>
              <w:t> </w:t>
            </w:r>
          </w:p>
        </w:tc>
        <w:tc>
          <w:tcPr>
            <w:tcW w:w="1461"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4" w:type="dxa"/>
            <w:tcBorders/>
            <w:shd w:fill="auto" w:val="clear"/>
            <w:vAlign w:val="bottom"/>
          </w:tcPr>
          <w:p>
            <w:pPr>
              <w:pStyle w:val="TableContents"/>
              <w:spacing w:before="0" w:after="0"/>
              <w:ind w:left="0" w:right="0" w:hanging="0"/>
              <w:jc w:val="center"/>
              <w:rPr/>
            </w:pPr>
            <w:r>
              <w:rPr/>
              <w:t> </w:t>
            </w:r>
          </w:p>
        </w:tc>
      </w:tr>
      <w:tr>
        <w:trPr/>
        <w:tc>
          <w:tcPr>
            <w:tcW w:w="3448"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 of barrels per day) </w:t>
            </w:r>
          </w:p>
        </w:tc>
        <w:tc>
          <w:tcPr>
            <w:tcW w:w="104" w:type="dxa"/>
            <w:tcBorders/>
            <w:shd w:fill="auto" w:val="clear"/>
            <w:vAlign w:val="bottom"/>
          </w:tcPr>
          <w:p>
            <w:pPr>
              <w:pStyle w:val="TableContents"/>
              <w:spacing w:before="0" w:after="0"/>
              <w:ind w:left="0" w:right="0" w:hanging="0"/>
              <w:rPr/>
            </w:pPr>
            <w:r>
              <w:rPr/>
              <w:t> </w:t>
            </w:r>
          </w:p>
        </w:tc>
        <w:tc>
          <w:tcPr>
            <w:tcW w:w="64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4" w:type="dxa"/>
            <w:tcBorders/>
            <w:shd w:fill="auto" w:val="clear"/>
            <w:vAlign w:val="bottom"/>
          </w:tcPr>
          <w:p>
            <w:pPr>
              <w:pStyle w:val="TableContents"/>
              <w:spacing w:before="0" w:after="0"/>
              <w:ind w:left="0" w:right="0" w:hanging="0"/>
              <w:jc w:val="center"/>
              <w:rPr/>
            </w:pPr>
            <w:r>
              <w:rPr/>
              <w:t> </w:t>
            </w:r>
          </w:p>
        </w:tc>
        <w:tc>
          <w:tcPr>
            <w:tcW w:w="64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1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1"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64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4" w:type="dxa"/>
            <w:tcBorders/>
            <w:shd w:fill="auto" w:val="clear"/>
            <w:vAlign w:val="bottom"/>
          </w:tcPr>
          <w:p>
            <w:pPr>
              <w:pStyle w:val="TableContents"/>
              <w:spacing w:before="0" w:after="0"/>
              <w:ind w:left="0" w:right="0" w:hanging="0"/>
              <w:jc w:val="center"/>
              <w:rPr/>
            </w:pPr>
            <w:r>
              <w:rPr/>
              <w:t> </w:t>
            </w:r>
          </w:p>
        </w:tc>
        <w:tc>
          <w:tcPr>
            <w:tcW w:w="64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1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4" w:type="dxa"/>
            <w:tcBorders/>
            <w:shd w:fill="auto" w:val="clear"/>
            <w:vAlign w:val="bottom"/>
          </w:tcPr>
          <w:p>
            <w:pPr>
              <w:pStyle w:val="TableContents"/>
              <w:spacing w:before="0" w:after="0"/>
              <w:ind w:left="0" w:right="0" w:hanging="0"/>
              <w:rPr/>
            </w:pPr>
            <w:r>
              <w:rPr/>
              <w:t> </w:t>
            </w:r>
          </w:p>
        </w:tc>
      </w:tr>
      <w:tr>
        <w:trPr/>
        <w:tc>
          <w:tcPr>
            <w:tcW w:w="34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lease gathering purchases </w:t>
            </w:r>
          </w:p>
        </w:tc>
        <w:tc>
          <w:tcPr>
            <w:tcW w:w="104" w:type="dxa"/>
            <w:tcBorders/>
            <w:shd w:fill="CCEEFF" w:val="clear"/>
            <w:vAlign w:val="bottom"/>
          </w:tcPr>
          <w:p>
            <w:pPr>
              <w:pStyle w:val="TableContents"/>
              <w:spacing w:before="0" w:after="0"/>
              <w:ind w:left="0" w:right="0" w:hanging="0"/>
              <w:rPr/>
            </w:pPr>
            <w:r>
              <w:rPr/>
              <w:t> </w:t>
            </w:r>
          </w:p>
        </w:tc>
        <w:tc>
          <w:tcPr>
            <w:tcW w:w="6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856</w:t>
            </w:r>
          </w:p>
        </w:tc>
        <w:tc>
          <w:tcPr>
            <w:tcW w:w="206" w:type="dxa"/>
            <w:tcBorders/>
            <w:shd w:fill="CCEEFF" w:val="clear"/>
            <w:vAlign w:val="bottom"/>
          </w:tcPr>
          <w:p>
            <w:pPr>
              <w:pStyle w:val="TableContents"/>
              <w:spacing w:before="0" w:after="0"/>
              <w:ind w:left="0" w:right="0" w:hanging="0"/>
              <w:rPr/>
            </w:pPr>
            <w:r>
              <w:rPr/>
              <w:t> </w:t>
            </w:r>
          </w:p>
        </w:tc>
        <w:tc>
          <w:tcPr>
            <w:tcW w:w="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811</w:t>
            </w:r>
          </w:p>
        </w:tc>
        <w:tc>
          <w:tcPr>
            <w:tcW w:w="204" w:type="dxa"/>
            <w:tcBorders/>
            <w:shd w:fill="CCEEFF" w:val="clear"/>
            <w:vAlign w:val="bottom"/>
          </w:tcPr>
          <w:p>
            <w:pPr>
              <w:pStyle w:val="TableContents"/>
              <w:spacing w:before="0" w:after="0"/>
              <w:ind w:left="0" w:right="0" w:hanging="0"/>
              <w:rPr/>
            </w:pPr>
            <w:r>
              <w:rPr/>
              <w:t> </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05" w:type="dxa"/>
            <w:tcBorders/>
            <w:shd w:fill="CCEEFF" w:val="clear"/>
            <w:vAlign w:val="bottom"/>
          </w:tcPr>
          <w:p>
            <w:pPr>
              <w:pStyle w:val="TableContents"/>
              <w:spacing w:before="0" w:after="0"/>
              <w:ind w:left="0" w:right="0" w:hanging="0"/>
              <w:rPr/>
            </w:pPr>
            <w:r>
              <w:rPr/>
              <w:t> </w:t>
            </w:r>
          </w:p>
        </w:tc>
        <w:tc>
          <w:tcPr>
            <w:tcW w:w="5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6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855</w:t>
            </w:r>
          </w:p>
        </w:tc>
        <w:tc>
          <w:tcPr>
            <w:tcW w:w="206" w:type="dxa"/>
            <w:tcBorders/>
            <w:shd w:fill="CCEEFF" w:val="clear"/>
            <w:vAlign w:val="bottom"/>
          </w:tcPr>
          <w:p>
            <w:pPr>
              <w:pStyle w:val="TableContents"/>
              <w:spacing w:before="0" w:after="0"/>
              <w:ind w:left="0" w:right="0" w:hanging="0"/>
              <w:rPr/>
            </w:pPr>
            <w:r>
              <w:rPr/>
              <w:t> </w:t>
            </w:r>
          </w:p>
        </w:tc>
        <w:tc>
          <w:tcPr>
            <w:tcW w:w="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808</w:t>
            </w:r>
          </w:p>
        </w:tc>
        <w:tc>
          <w:tcPr>
            <w:tcW w:w="204" w:type="dxa"/>
            <w:tcBorders/>
            <w:shd w:fill="CCEEFF" w:val="clear"/>
            <w:vAlign w:val="bottom"/>
          </w:tcPr>
          <w:p>
            <w:pPr>
              <w:pStyle w:val="TableContents"/>
              <w:spacing w:before="0" w:after="0"/>
              <w:ind w:left="0" w:right="0" w:hanging="0"/>
              <w:rPr/>
            </w:pPr>
            <w:r>
              <w:rPr/>
              <w:t> </w:t>
            </w:r>
          </w:p>
        </w:tc>
        <w:tc>
          <w:tcPr>
            <w:tcW w:w="6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4" w:type="dxa"/>
            <w:tcBorders/>
            <w:shd w:fill="CCEEFF" w:val="clear"/>
            <w:vAlign w:val="bottom"/>
          </w:tcPr>
          <w:p>
            <w:pPr>
              <w:pStyle w:val="TableContents"/>
              <w:spacing w:before="0" w:after="0"/>
              <w:ind w:left="0" w:right="0" w:hanging="0"/>
              <w:rPr/>
            </w:pPr>
            <w:r>
              <w:rPr/>
              <w:t> </w:t>
            </w:r>
          </w:p>
        </w:tc>
        <w:tc>
          <w:tcPr>
            <w:tcW w:w="6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104" w:type="dxa"/>
            <w:tcBorders/>
            <w:shd w:fill="auto" w:val="clear"/>
            <w:vAlign w:val="bottom"/>
          </w:tcPr>
          <w:p>
            <w:pPr>
              <w:pStyle w:val="TableContents"/>
              <w:spacing w:before="0" w:after="0"/>
              <w:ind w:left="0" w:right="0" w:hanging="0"/>
              <w:rPr/>
            </w:pPr>
            <w:r>
              <w:rPr/>
              <w:t> </w:t>
            </w:r>
          </w:p>
        </w:tc>
        <w:tc>
          <w:tcPr>
            <w:tcW w:w="6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06" w:type="dxa"/>
            <w:tcBorders/>
            <w:shd w:fill="auto" w:val="clear"/>
            <w:vAlign w:val="bottom"/>
          </w:tcPr>
          <w:p>
            <w:pPr>
              <w:pStyle w:val="TableContents"/>
              <w:spacing w:before="0" w:after="0"/>
              <w:ind w:left="0" w:right="0" w:hanging="0"/>
              <w:rPr/>
            </w:pPr>
            <w:r>
              <w:rPr/>
              <w:t> </w:t>
            </w:r>
          </w:p>
        </w:tc>
        <w:tc>
          <w:tcPr>
            <w:tcW w:w="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04" w:type="dxa"/>
            <w:tcBorders/>
            <w:shd w:fill="auto" w:val="clear"/>
            <w:vAlign w:val="bottom"/>
          </w:tcPr>
          <w:p>
            <w:pPr>
              <w:pStyle w:val="TableContents"/>
              <w:spacing w:before="0" w:after="0"/>
              <w:ind w:left="0" w:right="0" w:hanging="0"/>
              <w:rPr/>
            </w:pPr>
            <w:r>
              <w:rPr/>
              <w:t> </w:t>
            </w:r>
          </w:p>
        </w:tc>
        <w:tc>
          <w:tcPr>
            <w:tcW w:w="6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6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06" w:type="dxa"/>
            <w:tcBorders/>
            <w:shd w:fill="auto" w:val="clear"/>
            <w:vAlign w:val="bottom"/>
          </w:tcPr>
          <w:p>
            <w:pPr>
              <w:pStyle w:val="TableContents"/>
              <w:spacing w:before="0" w:after="0"/>
              <w:ind w:left="0" w:right="0" w:hanging="0"/>
              <w:rPr/>
            </w:pPr>
            <w:r>
              <w:rPr/>
              <w:t> </w:t>
            </w:r>
          </w:p>
        </w:tc>
        <w:tc>
          <w:tcPr>
            <w:tcW w:w="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204" w:type="dxa"/>
            <w:tcBorders/>
            <w:shd w:fill="auto" w:val="clear"/>
            <w:vAlign w:val="bottom"/>
          </w:tcPr>
          <w:p>
            <w:pPr>
              <w:pStyle w:val="TableContents"/>
              <w:spacing w:before="0" w:after="0"/>
              <w:ind w:left="0" w:right="0" w:hanging="0"/>
              <w:rPr/>
            </w:pPr>
            <w:r>
              <w:rPr/>
              <w:t> </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4" w:type="dxa"/>
            <w:tcBorders/>
            <w:shd w:fill="auto" w:val="clear"/>
            <w:vAlign w:val="bottom"/>
          </w:tcPr>
          <w:p>
            <w:pPr>
              <w:pStyle w:val="TableContents"/>
              <w:spacing w:before="0" w:after="0"/>
              <w:ind w:left="0" w:right="0" w:hanging="0"/>
              <w:rPr/>
            </w:pPr>
            <w:r>
              <w:rPr/>
              <w:t> </w:t>
            </w:r>
          </w:p>
        </w:tc>
        <w:tc>
          <w:tcPr>
            <w:tcW w:w="6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Waterborne cargos </w:t>
            </w:r>
          </w:p>
        </w:tc>
        <w:tc>
          <w:tcPr>
            <w:tcW w:w="104" w:type="dxa"/>
            <w:tcBorders/>
            <w:shd w:fill="CCEEFF" w:val="clear"/>
            <w:vAlign w:val="bottom"/>
          </w:tcPr>
          <w:p>
            <w:pPr>
              <w:pStyle w:val="TableContents"/>
              <w:spacing w:before="0" w:after="0"/>
              <w:ind w:left="0" w:right="0" w:hanging="0"/>
              <w:rPr/>
            </w:pPr>
            <w:r>
              <w:rPr/>
              <w:t> </w:t>
            </w:r>
          </w:p>
        </w:tc>
        <w:tc>
          <w:tcPr>
            <w:tcW w:w="64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6" w:type="dxa"/>
            <w:tcBorders/>
            <w:shd w:fill="CCEEFF" w:val="clear"/>
            <w:vAlign w:val="bottom"/>
          </w:tcPr>
          <w:p>
            <w:pPr>
              <w:pStyle w:val="TableContents"/>
              <w:spacing w:before="0" w:after="0"/>
              <w:ind w:left="0" w:right="0" w:hanging="0"/>
              <w:rPr/>
            </w:pPr>
            <w:r>
              <w:rPr/>
              <w:t> </w:t>
            </w:r>
          </w:p>
        </w:tc>
        <w:tc>
          <w:tcPr>
            <w:tcW w:w="6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4" w:type="dxa"/>
            <w:tcBorders/>
            <w:shd w:fill="CCEEFF" w:val="clear"/>
            <w:vAlign w:val="bottom"/>
          </w:tcPr>
          <w:p>
            <w:pPr>
              <w:pStyle w:val="TableContents"/>
              <w:spacing w:before="0" w:after="0"/>
              <w:ind w:left="0" w:right="0" w:hanging="0"/>
              <w:rPr/>
            </w:pPr>
            <w:r>
              <w:rPr/>
              <w:t> </w:t>
            </w:r>
          </w:p>
        </w:tc>
        <w:tc>
          <w:tcPr>
            <w:tcW w:w="64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64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6" w:type="dxa"/>
            <w:tcBorders/>
            <w:shd w:fill="CCEEFF" w:val="clear"/>
            <w:vAlign w:val="bottom"/>
          </w:tcPr>
          <w:p>
            <w:pPr>
              <w:pStyle w:val="TableContents"/>
              <w:spacing w:before="0" w:after="0"/>
              <w:ind w:left="0" w:right="0" w:hanging="0"/>
              <w:rPr/>
            </w:pPr>
            <w:r>
              <w:rPr/>
              <w:t> </w:t>
            </w:r>
          </w:p>
        </w:tc>
        <w:tc>
          <w:tcPr>
            <w:tcW w:w="6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4" w:type="dxa"/>
            <w:tcBorders/>
            <w:shd w:fill="CCEEFF" w:val="clear"/>
            <w:vAlign w:val="bottom"/>
          </w:tcPr>
          <w:p>
            <w:pPr>
              <w:pStyle w:val="TableContents"/>
              <w:spacing w:before="0" w:after="0"/>
              <w:ind w:left="0" w:right="0" w:hanging="0"/>
              <w:rPr/>
            </w:pPr>
            <w:r>
              <w:rPr/>
              <w:t> </w:t>
            </w:r>
          </w:p>
        </w:tc>
        <w:tc>
          <w:tcPr>
            <w:tcW w:w="64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4" w:type="dxa"/>
            <w:tcBorders/>
            <w:shd w:fill="CCEEFF" w:val="clear"/>
            <w:vAlign w:val="bottom"/>
          </w:tcPr>
          <w:p>
            <w:pPr>
              <w:pStyle w:val="TableContents"/>
              <w:spacing w:before="0" w:after="0"/>
              <w:ind w:left="0" w:right="0" w:hanging="0"/>
              <w:rPr/>
            </w:pPr>
            <w:r>
              <w:rPr/>
              <w:t> </w:t>
            </w:r>
          </w:p>
        </w:tc>
        <w:tc>
          <w:tcPr>
            <w:tcW w:w="61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Supply and Logistics segment total </w:t>
            </w:r>
          </w:p>
        </w:tc>
        <w:tc>
          <w:tcPr>
            <w:tcW w:w="104" w:type="dxa"/>
            <w:tcBorders/>
            <w:shd w:fill="auto" w:val="clear"/>
            <w:vAlign w:val="bottom"/>
          </w:tcPr>
          <w:p>
            <w:pPr>
              <w:pStyle w:val="TableContents"/>
              <w:spacing w:before="0" w:after="0"/>
              <w:ind w:left="0" w:right="0" w:hanging="0"/>
              <w:rPr/>
            </w:pPr>
            <w:r>
              <w:rPr/>
              <w:t> </w:t>
            </w:r>
          </w:p>
        </w:tc>
        <w:tc>
          <w:tcPr>
            <w:tcW w:w="6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1,005</w:t>
            </w:r>
          </w:p>
        </w:tc>
        <w:tc>
          <w:tcPr>
            <w:tcW w:w="206" w:type="dxa"/>
            <w:tcBorders/>
            <w:shd w:fill="auto" w:val="clear"/>
            <w:vAlign w:val="bottom"/>
          </w:tcPr>
          <w:p>
            <w:pPr>
              <w:pStyle w:val="TableContents"/>
              <w:spacing w:before="0" w:after="0"/>
              <w:ind w:left="0" w:right="0" w:hanging="0"/>
              <w:rPr/>
            </w:pPr>
            <w:r>
              <w:rPr/>
              <w:t> </w:t>
            </w:r>
          </w:p>
        </w:tc>
        <w:tc>
          <w:tcPr>
            <w:tcW w:w="6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204" w:type="dxa"/>
            <w:tcBorders/>
            <w:shd w:fill="auto" w:val="clear"/>
            <w:vAlign w:val="bottom"/>
          </w:tcPr>
          <w:p>
            <w:pPr>
              <w:pStyle w:val="TableContents"/>
              <w:spacing w:before="0" w:after="0"/>
              <w:ind w:left="0" w:right="0" w:hanging="0"/>
              <w:rPr/>
            </w:pPr>
            <w:r>
              <w:rPr/>
              <w:t> </w:t>
            </w:r>
          </w:p>
        </w:tc>
        <w:tc>
          <w:tcPr>
            <w:tcW w:w="64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5" w:type="dxa"/>
            <w:tcBorders/>
            <w:shd w:fill="auto" w:val="clear"/>
            <w:vAlign w:val="bottom"/>
          </w:tcPr>
          <w:p>
            <w:pPr>
              <w:pStyle w:val="TableContents"/>
              <w:spacing w:before="0" w:after="0"/>
              <w:ind w:left="0" w:right="0" w:hanging="0"/>
              <w:rPr/>
            </w:pPr>
            <w:r>
              <w:rPr/>
              <w:t> </w:t>
            </w:r>
          </w:p>
        </w:tc>
        <w:tc>
          <w:tcPr>
            <w:tcW w:w="51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6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1,056</w:t>
            </w:r>
          </w:p>
        </w:tc>
        <w:tc>
          <w:tcPr>
            <w:tcW w:w="206" w:type="dxa"/>
            <w:tcBorders/>
            <w:shd w:fill="auto" w:val="clear"/>
            <w:vAlign w:val="bottom"/>
          </w:tcPr>
          <w:p>
            <w:pPr>
              <w:pStyle w:val="TableContents"/>
              <w:spacing w:before="0" w:after="0"/>
              <w:ind w:left="0" w:right="0" w:hanging="0"/>
              <w:rPr/>
            </w:pPr>
            <w:r>
              <w:rPr/>
              <w:t> </w:t>
            </w:r>
          </w:p>
        </w:tc>
        <w:tc>
          <w:tcPr>
            <w:tcW w:w="6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204" w:type="dxa"/>
            <w:tcBorders/>
            <w:shd w:fill="auto" w:val="clear"/>
            <w:vAlign w:val="bottom"/>
          </w:tcPr>
          <w:p>
            <w:pPr>
              <w:pStyle w:val="TableContents"/>
              <w:spacing w:before="0" w:after="0"/>
              <w:ind w:left="0" w:right="0" w:hanging="0"/>
              <w:rPr/>
            </w:pPr>
            <w:r>
              <w:rPr/>
              <w:t> </w:t>
            </w:r>
          </w:p>
        </w:tc>
        <w:tc>
          <w:tcPr>
            <w:tcW w:w="6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04" w:type="dxa"/>
            <w:tcBorders/>
            <w:shd w:fill="auto" w:val="clear"/>
            <w:vAlign w:val="bottom"/>
          </w:tcPr>
          <w:p>
            <w:pPr>
              <w:pStyle w:val="TableContents"/>
              <w:spacing w:before="0" w:after="0"/>
              <w:ind w:left="0" w:right="0" w:hanging="0"/>
              <w:rPr/>
            </w:pPr>
            <w:r>
              <w:rPr/>
              <w:t> </w:t>
            </w:r>
          </w:p>
        </w:tc>
        <w:tc>
          <w:tcPr>
            <w:tcW w:w="6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Purchases and related costs include interest expense (related to hedged crude oil and NGL inventory) of approximately $8 million and $21 million for the three and nine months ended September 30, 2013 compared to $3 million and $9 million for the three and nine months ended September 30, 2012,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Equity-indexed compensation expense shown in the table above includes expenses associated with awards that will or may be settled in PAA units and awards that will or may be settled in cash.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66" w:name="PB_40_163109_3020"/>
      <w:bookmarkEnd w:id="6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NYMEX benchmark price of crude oil ranged from approximately $96 to $112 per barrel and $82 to $100 per barrel during the three months ended September 30, 2013 and 2012, respectively, and from approximately $86 to $112 per barrel and $77 to $111 per barrel during the nine months ended September 30, 2013 and 2012,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nine months ended September 30, 2013 and 2012 primarily from increased volumes in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 to period may have a significant effect on NGL demand and thus our financial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Supply and Logistics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Our Supply and Logistics segment revenues, net of purchases and related costs and excluding gains and losses from derivative activities (see the Impact from Derivative Activities section below), increased for the nine months ended September 30, 2013 compared to the nine months ended September 30, 2012; however, such results decreased for the comparative three-month periods ended September 30, 2013 and 2012.  Volumes also increased for the nine-month comparative period while volumes for the three-month 2013 period were relatively consistent with volumes in the three-month 2012 period. The following factors contributed to the variances in revenues and volumes between the comparative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North American Crude Oil Production and Related Market Economics  The increasing production of oil and liquids-rich gas in North America over the last several years generally created supply and demand imbalances that increased the volatility of historical differentials for various grades of crude oil and also impacted the historical pricing relationship between NGL and crude oil. Lack of existing pipeline takeaway capacity and associated logistical challenges in certain of these producing regions created market conditions and opportunities that were favorable to our supply and logistics activities. During 2012 and the first quarter of 2013, these conditions provided opportunities for increased margins. However, infrastructure additions in many of these resource plays during the second and third quarters of 2013 began to relieve certain of the transportation constraints that had previously created opportunities for these favorable crude oil margins. Therefore, although we experienced higher crude oil lease gathering volumes in 2013 compared to 2012, we experienced fewer opportunities for favorable crude oil margins resulting in lower contributions from our crude oil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the fundamentals of our business remain strong; however, as the midstream infrastructure in these producing regions continues to be developed, we believe a normalization of margins will continue to occur as the logistics challenges are addressed.  (Please read Business of Plains All American Pipeline, L.P.Impact of Commodity Price Volatility and Dynamic Market Conditions on PAAs Business Model included in the Final Prospectus for further discussion regarding PAAs business model, including diversification and utilization of its asset base among varying demand- and supply-driven markets.)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NGL Marketing Operations  Revenues from our NGL marketing operations increased during the three and nine months ended September 30, 2013 as compared to the three and nine months ended September 30, 2012 primarily due to more favorable market prices and higher demand related to (i) increases in export activity that reduced overall product availability in the market and (ii) petrochemical demand as well as more favorable supply contracts. Additionally, NGL margins during the nine-month 2012 period were negatively impacted by the sale of NGL product at points in time where spot prices were less than our weighted average inventory cost, primarily associated with inventory acquired in the BP NGL Acquisition on April 1, 2012. The nine-month 2013 period further benefited from higher demand related to heating requirements during an extended winter season.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NGL sales volumes decreased during the three months ended September 30, 2013 compared to the three months ended September 30, 2012 primarily due to excess Canadian inventory in 2012 acquired through the BP NGL Acquisition, unexpected refinery shutdowns in the third quarter of 2013 and a reduction in the amount of field supply purchased. However, NGL sales volumes increased over the comparative nine-month periods primarily due to increased demand as discussed above, as well as the impact from our BP NGL Acquisition completed on April 1,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67" w:name="PB_41_163131_7748"/>
      <w:bookmarkEnd w:id="6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Impact from Derivative Activities.</w:t>
      </w:r>
      <w:r>
        <w:rPr>
          <w:rFonts w:ascii="Times New Roman" w:hAnsi="Times New Roman"/>
        </w:rPr>
        <w:t xml:space="preserve"> </w:t>
      </w:r>
      <w:r>
        <w:rPr>
          <w:rFonts w:ascii="Times New Roman" w:hAnsi="Times New Roman"/>
          <w:sz w:val="17"/>
        </w:rPr>
        <w:t>The mark-to-market valuation of our derivative activities impacted our net revenues for the three and nine months ended September 30, 2013 compared to the three and nine months ended September 30, 2012 as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84"/>
        <w:gridCol w:w="194"/>
        <w:gridCol w:w="178"/>
        <w:gridCol w:w="866"/>
        <w:gridCol w:w="229"/>
        <w:gridCol w:w="178"/>
        <w:gridCol w:w="870"/>
        <w:gridCol w:w="206"/>
        <w:gridCol w:w="180"/>
        <w:gridCol w:w="872"/>
        <w:gridCol w:w="127"/>
        <w:gridCol w:w="115"/>
        <w:gridCol w:w="190"/>
        <w:gridCol w:w="804"/>
        <w:gridCol w:w="237"/>
        <w:gridCol w:w="190"/>
        <w:gridCol w:w="899"/>
        <w:gridCol w:w="206"/>
        <w:gridCol w:w="199"/>
        <w:gridCol w:w="852"/>
        <w:gridCol w:w="129"/>
      </w:tblGrid>
      <w:tr>
        <w:trPr/>
        <w:tc>
          <w:tcPr>
            <w:tcW w:w="2484"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232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6" w:type="dxa"/>
            <w:tcBorders/>
            <w:shd w:fill="auto" w:val="clear"/>
            <w:vAlign w:val="bottom"/>
          </w:tcPr>
          <w:p>
            <w:pPr>
              <w:pStyle w:val="TableContents"/>
              <w:spacing w:before="0" w:after="0"/>
              <w:ind w:left="0" w:right="0" w:hanging="0"/>
              <w:jc w:val="center"/>
              <w:rPr/>
            </w:pPr>
            <w:r>
              <w:rPr/>
              <w:t> </w:t>
            </w:r>
          </w:p>
        </w:tc>
        <w:tc>
          <w:tcPr>
            <w:tcW w:w="1052" w:type="dxa"/>
            <w:gridSpan w:val="2"/>
            <w:tcBorders/>
            <w:shd w:fill="auto" w:val="clear"/>
            <w:vAlign w:val="bottom"/>
          </w:tcPr>
          <w:p>
            <w:pPr>
              <w:pStyle w:val="TableContents"/>
              <w:spacing w:before="0" w:after="0"/>
              <w:ind w:left="0" w:right="0" w:hanging="0"/>
              <w:jc w:val="center"/>
              <w:rPr/>
            </w:pPr>
            <w:r>
              <w:rPr/>
              <w:t> </w:t>
            </w:r>
          </w:p>
        </w:tc>
        <w:tc>
          <w:tcPr>
            <w:tcW w:w="242" w:type="dxa"/>
            <w:gridSpan w:val="2"/>
            <w:tcBorders/>
            <w:shd w:fill="auto" w:val="clear"/>
            <w:vAlign w:val="bottom"/>
          </w:tcPr>
          <w:p>
            <w:pPr>
              <w:pStyle w:val="TableContents"/>
              <w:spacing w:before="0" w:after="0"/>
              <w:ind w:left="0" w:right="0" w:hanging="0"/>
              <w:jc w:val="center"/>
              <w:rPr/>
            </w:pPr>
            <w:r>
              <w:rPr/>
              <w:t> </w:t>
            </w:r>
          </w:p>
        </w:tc>
        <w:tc>
          <w:tcPr>
            <w:tcW w:w="232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06" w:type="dxa"/>
            <w:tcBorders/>
            <w:shd w:fill="auto" w:val="clear"/>
            <w:vAlign w:val="bottom"/>
          </w:tcPr>
          <w:p>
            <w:pPr>
              <w:pStyle w:val="TableContents"/>
              <w:spacing w:before="0" w:after="0"/>
              <w:ind w:left="0" w:right="0" w:hanging="0"/>
              <w:jc w:val="center"/>
              <w:rPr/>
            </w:pPr>
            <w:r>
              <w:rPr/>
              <w:t> </w:t>
            </w:r>
          </w:p>
        </w:tc>
        <w:tc>
          <w:tcPr>
            <w:tcW w:w="1051" w:type="dxa"/>
            <w:gridSpan w:val="2"/>
            <w:tcBorders/>
            <w:shd w:fill="auto" w:val="clear"/>
            <w:vAlign w:val="bottom"/>
          </w:tcPr>
          <w:p>
            <w:pPr>
              <w:pStyle w:val="TableContents"/>
              <w:spacing w:before="0" w:after="0"/>
              <w:ind w:left="0" w:right="0" w:hanging="0"/>
              <w:jc w:val="center"/>
              <w:rPr/>
            </w:pPr>
            <w:r>
              <w:rPr/>
              <w:t> </w:t>
            </w:r>
          </w:p>
        </w:tc>
        <w:tc>
          <w:tcPr>
            <w:tcW w:w="129" w:type="dxa"/>
            <w:tcBorders/>
            <w:shd w:fill="auto" w:val="clear"/>
            <w:vAlign w:val="bottom"/>
          </w:tcPr>
          <w:p>
            <w:pPr>
              <w:pStyle w:val="TableContents"/>
              <w:spacing w:before="0" w:after="0"/>
              <w:ind w:left="0" w:right="0" w:hanging="0"/>
              <w:jc w:val="center"/>
              <w:rPr/>
            </w:pPr>
            <w:r>
              <w:rPr/>
              <w:t> </w:t>
            </w:r>
          </w:p>
        </w:tc>
      </w:tr>
      <w:tr>
        <w:trPr/>
        <w:tc>
          <w:tcPr>
            <w:tcW w:w="2484"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232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6" w:type="dxa"/>
            <w:tcBorders/>
            <w:shd w:fill="auto" w:val="clear"/>
            <w:vAlign w:val="bottom"/>
          </w:tcPr>
          <w:p>
            <w:pPr>
              <w:pStyle w:val="TableContents"/>
              <w:spacing w:before="0" w:after="0"/>
              <w:ind w:left="0" w:right="0" w:hanging="0"/>
              <w:jc w:val="center"/>
              <w:rPr/>
            </w:pPr>
            <w:r>
              <w:rPr/>
              <w:t> </w:t>
            </w:r>
          </w:p>
        </w:tc>
        <w:tc>
          <w:tcPr>
            <w:tcW w:w="1052" w:type="dxa"/>
            <w:gridSpan w:val="2"/>
            <w:tcBorders/>
            <w:shd w:fill="auto" w:val="clear"/>
            <w:vAlign w:val="bottom"/>
          </w:tcPr>
          <w:p>
            <w:pPr>
              <w:pStyle w:val="TableContents"/>
              <w:spacing w:before="0" w:after="0"/>
              <w:ind w:left="0" w:right="0" w:hanging="0"/>
              <w:jc w:val="center"/>
              <w:rPr/>
            </w:pPr>
            <w:r>
              <w:rPr/>
              <w:t> </w:t>
            </w:r>
          </w:p>
        </w:tc>
        <w:tc>
          <w:tcPr>
            <w:tcW w:w="242" w:type="dxa"/>
            <w:gridSpan w:val="2"/>
            <w:tcBorders/>
            <w:shd w:fill="auto" w:val="clear"/>
            <w:vAlign w:val="bottom"/>
          </w:tcPr>
          <w:p>
            <w:pPr>
              <w:pStyle w:val="TableContents"/>
              <w:spacing w:before="0" w:after="0"/>
              <w:ind w:left="0" w:right="0" w:hanging="0"/>
              <w:jc w:val="center"/>
              <w:rPr/>
            </w:pPr>
            <w:r>
              <w:rPr/>
              <w:t> </w:t>
            </w:r>
          </w:p>
        </w:tc>
        <w:tc>
          <w:tcPr>
            <w:tcW w:w="232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6" w:type="dxa"/>
            <w:tcBorders/>
            <w:shd w:fill="auto" w:val="clear"/>
            <w:vAlign w:val="bottom"/>
          </w:tcPr>
          <w:p>
            <w:pPr>
              <w:pStyle w:val="TableContents"/>
              <w:spacing w:before="0" w:after="0"/>
              <w:ind w:left="0" w:right="0" w:hanging="0"/>
              <w:jc w:val="center"/>
              <w:rPr/>
            </w:pPr>
            <w:r>
              <w:rPr/>
              <w:t> </w:t>
            </w:r>
          </w:p>
        </w:tc>
        <w:tc>
          <w:tcPr>
            <w:tcW w:w="1051" w:type="dxa"/>
            <w:gridSpan w:val="2"/>
            <w:tcBorders/>
            <w:shd w:fill="auto" w:val="clear"/>
            <w:vAlign w:val="bottom"/>
          </w:tcPr>
          <w:p>
            <w:pPr>
              <w:pStyle w:val="TableContents"/>
              <w:spacing w:before="0" w:after="0"/>
              <w:ind w:left="0" w:right="0" w:hanging="0"/>
              <w:jc w:val="center"/>
              <w:rPr/>
            </w:pPr>
            <w:r>
              <w:rPr/>
              <w:t> </w:t>
            </w:r>
          </w:p>
        </w:tc>
        <w:tc>
          <w:tcPr>
            <w:tcW w:w="129" w:type="dxa"/>
            <w:tcBorders/>
            <w:shd w:fill="auto" w:val="clear"/>
            <w:vAlign w:val="bottom"/>
          </w:tcPr>
          <w:p>
            <w:pPr>
              <w:pStyle w:val="TableContents"/>
              <w:spacing w:before="0" w:after="0"/>
              <w:ind w:left="0" w:right="0" w:hanging="0"/>
              <w:jc w:val="center"/>
              <w:rPr/>
            </w:pPr>
            <w:r>
              <w:rPr/>
              <w:t> </w:t>
            </w:r>
          </w:p>
        </w:tc>
      </w:tr>
      <w:tr>
        <w:trPr/>
        <w:tc>
          <w:tcPr>
            <w:tcW w:w="2484"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0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9" w:type="dxa"/>
            <w:tcBorders/>
            <w:shd w:fill="auto" w:val="clear"/>
            <w:vAlign w:val="bottom"/>
          </w:tcPr>
          <w:p>
            <w:pPr>
              <w:pStyle w:val="TableContents"/>
              <w:spacing w:before="0" w:after="0"/>
              <w:ind w:left="0" w:right="0" w:hanging="0"/>
              <w:jc w:val="center"/>
              <w:rPr/>
            </w:pPr>
            <w:r>
              <w:rPr/>
              <w:t> </w:t>
            </w:r>
          </w:p>
        </w:tc>
        <w:tc>
          <w:tcPr>
            <w:tcW w:w="104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6" w:type="dxa"/>
            <w:tcBorders/>
            <w:shd w:fill="auto" w:val="clear"/>
            <w:vAlign w:val="bottom"/>
          </w:tcPr>
          <w:p>
            <w:pPr>
              <w:pStyle w:val="TableContents"/>
              <w:spacing w:before="0" w:after="0"/>
              <w:ind w:left="0" w:right="0" w:hanging="0"/>
              <w:jc w:val="center"/>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42" w:type="dxa"/>
            <w:gridSpan w:val="2"/>
            <w:tcBorders/>
            <w:shd w:fill="auto" w:val="clear"/>
            <w:vAlign w:val="bottom"/>
          </w:tcPr>
          <w:p>
            <w:pPr>
              <w:pStyle w:val="TableContents"/>
              <w:spacing w:before="0" w:after="0"/>
              <w:ind w:left="0" w:right="0" w:hanging="0"/>
              <w:jc w:val="center"/>
              <w:rPr/>
            </w:pPr>
            <w:r>
              <w:rPr/>
              <w:t> </w:t>
            </w:r>
          </w:p>
        </w:tc>
        <w:tc>
          <w:tcPr>
            <w:tcW w:w="9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8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6" w:type="dxa"/>
            <w:tcBorders/>
            <w:shd w:fill="auto" w:val="clear"/>
            <w:vAlign w:val="bottom"/>
          </w:tcPr>
          <w:p>
            <w:pPr>
              <w:pStyle w:val="TableContents"/>
              <w:spacing w:before="0" w:after="0"/>
              <w:ind w:left="0" w:right="0" w:hanging="0"/>
              <w:jc w:val="center"/>
              <w:rPr/>
            </w:pPr>
            <w:r>
              <w:rPr/>
              <w:t> </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29" w:type="dxa"/>
            <w:tcBorders/>
            <w:shd w:fill="auto" w:val="clear"/>
            <w:vAlign w:val="bottom"/>
          </w:tcPr>
          <w:p>
            <w:pPr>
              <w:pStyle w:val="TableContents"/>
              <w:spacing w:before="0" w:after="0"/>
              <w:ind w:left="0" w:right="0" w:hanging="0"/>
              <w:jc w:val="center"/>
              <w:rPr/>
            </w:pPr>
            <w:r>
              <w:rPr/>
              <w:t> </w:t>
            </w:r>
          </w:p>
        </w:tc>
      </w:tr>
      <w:tr>
        <w:trPr/>
        <w:tc>
          <w:tcPr>
            <w:tcW w:w="2484" w:type="dxa"/>
            <w:tcBorders/>
            <w:shd w:fill="CCEEFF" w:val="clear"/>
            <w:vAlign w:val="bottom"/>
          </w:tcPr>
          <w:p>
            <w:pPr>
              <w:pStyle w:val="TableContents"/>
              <w:spacing w:before="0" w:after="0"/>
              <w:ind w:left="0" w:right="0" w:hanging="0"/>
              <w:rPr/>
            </w:pPr>
            <w:r>
              <w:rPr>
                <w:rFonts w:ascii="Times New Roman" w:hAnsi="Times New Roman"/>
                <w:sz w:val="17"/>
              </w:rPr>
              <w:t xml:space="preserve">Gains/(losses) from derivative activities </w:t>
            </w:r>
            <w:r>
              <w:rPr>
                <w:sz w:val="11"/>
              </w:rPr>
              <w:t xml:space="preserve">(1) </w:t>
            </w:r>
          </w:p>
        </w:tc>
        <w:tc>
          <w:tcPr>
            <w:tcW w:w="194" w:type="dxa"/>
            <w:tcBorders/>
            <w:shd w:fill="CCEEFF" w:val="clear"/>
            <w:vAlign w:val="bottom"/>
          </w:tcPr>
          <w:p>
            <w:pPr>
              <w:pStyle w:val="TableContents"/>
              <w:spacing w:before="0" w:after="0"/>
              <w:ind w:left="0" w:right="0" w:hanging="0"/>
              <w:rPr/>
            </w:pPr>
            <w:r>
              <w:rPr/>
              <w:t> </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27"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9" w:type="dxa"/>
            <w:tcBorders/>
            <w:shd w:fill="CCEEFF" w:val="clear"/>
            <w:vAlign w:val="bottom"/>
          </w:tcPr>
          <w:p>
            <w:pPr>
              <w:pStyle w:val="TableContents"/>
              <w:spacing w:before="0" w:after="0"/>
              <w:ind w:left="0" w:right="0" w:hanging="0"/>
              <w:rPr/>
            </w:pPr>
            <w:r>
              <w:rPr/>
              <w:t> </w:t>
            </w:r>
          </w:p>
        </w:tc>
      </w:tr>
      <w:tr>
        <w:trPr/>
        <w:tc>
          <w:tcPr>
            <w:tcW w:w="248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See Note 10 to our condensed consolidated financial statements for a comprehensive discussion regarding our derivatives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Field Operating Costs.</w:t>
      </w:r>
      <w:r>
        <w:rPr>
          <w:rFonts w:ascii="Times New Roman" w:hAnsi="Times New Roman"/>
        </w:rPr>
        <w:t xml:space="preserve">  </w:t>
      </w:r>
      <w:r>
        <w:rPr>
          <w:rFonts w:ascii="Times New Roman" w:hAnsi="Times New Roman"/>
          <w:sz w:val="17"/>
        </w:rPr>
        <w:t>Field operating costs (excluding equity-indexed compensation expense) increased in the three and nine months ended September 30, 2013 compared to the three and nine months ended September 30, 2012 primarily related to increased lease gathered volumes, particularly in West Texas and Oklahoma.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Equity-Indexed Compensation Expense.</w:t>
      </w:r>
      <w:r>
        <w:rPr>
          <w:rFonts w:ascii="Times New Roman" w:hAnsi="Times New Roman"/>
        </w:rPr>
        <w:t xml:space="preserve"> </w:t>
      </w:r>
      <w:r>
        <w:rPr>
          <w:rFonts w:ascii="Times New Roman" w:hAnsi="Times New Roman"/>
          <w:sz w:val="17"/>
        </w:rPr>
        <w:t>On a consolidated basis, equity-indexed compensation expense decreased for the three months ended September 30, 2013 as compared to the three months ended September 30, 2012 and increased for the nine months ended September 30, 2013 as compared to the nine months ended September 30, 2012. See discussion regarding such variances under Transportation Segment above. Also, see Note 14 to our 2012 Consolidated Financial Statements included in the Final Prospectus for further information regarding equity-indexed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Income and Expenses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Depreciation and Amortization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Depreciation and amortization expense was approximately $93 million and $266 million for the three and nine months ended September 30, 2013, respectively, compared to approximately $211 million and $357 million for the three and nine months ended September 30, 2012, respectively. Included in depreciation and amortization expense for the 2012 periods are losses on impairments of long-lived assets of approximately $125 million primarily related to our Pier 400 terminal project.  During the third quarter of 2012, we decided not to proceed with the development of this project.  See Note 14 to our condensed consolidated financial statements for further discussion of asset impairments.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Excluding the impact of these asset impairments, depreciation and amortization expense increased during the three and nine months ended September 30, 2013 over the comparable 2012 periods primarily due to an increased amount of assets resulting from acquisition activities, as well as various internal growth projects in both years.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expense decreased by approximately $3 million for the three months ended September 30, 2013 compared to the three months ended September 30, 2012, primarily due to a gain of approximately $3 million recognized in interest expense attributable to the ineffective portion of forward-starting interest rate swaps terminated in connection with PAAs August 2013 senior notes issuance, as well as increases in interest included in purchases and related costs and capitalized interest during the 2013 period. Such items offset increases in interest expense resulting from higher average debt outstanding during the three-month period ended September 30,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expense increased by approximately $8 million for the nine months ended September 30, 2013 compared to the nine months ended September 30, 2012, primarily as a result of higher average debt outstanding during the nine-month 2013 period, partially offset by increases in interest included in purchases and related costs and capitalized interest during the 2013 period, as well as a gain of approximately $3 million recognized in interest expense attributable to the ineffective portion of forward-starting interest rate swaps terminated in connection with PAAs August 2013 senior notes issuance.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68" w:name="PB_42_163348_141"/>
      <w:bookmarkEnd w:id="6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Income Tax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Income tax expense for the three months ended September 30, 2013 compared to the three months ended September 30, 2012 decreased by approximately $4 million. Current income tax expense increased by approximately $7 million for the three months ended September 30, 2013 compared to three months ended September 30, 2012, primarily as a result of increased earnings from our Canadian operations. Deferred income tax expense decreased by approximately $11 million due to the tax impact of net derivative losses recognized in the three months ended September 30, 2013 compared to the three months ended September 30,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Income tax expense for the nine months ended September 30, 2013 compared to the nine months ended September 30, 2012 increased by approximately $35 million, primarily as a result of the BP NGL Acquisition, as well as stronger performance from our existing operations, both of which increased the proportion of earnings subject to Canadian federal and provincial taxes. Canadian withholding taxes also increased on interest from our Canadian entities to other affiliates.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 consolidated basis, our primary sources of liquidity are (i)  cash flows from operating activities, (ii) borrowings under credit facilities or the commercial paper program and (iii) funds received from PAAs sales of equity and debt securities. Our primary cash requirements include, but are not limited to, (i) ordinary course of business uses, such as the payment of amounts related to the purchase of crude oil and other products and other expenses and interest payments on our outstanding debt, (ii) maintenance and expansion activities, (iii) acquisitions of assets or businesses, (iv) repayment of principal on long-term debt and (v) distributions to members and noncontrolling interests. We generally expect to fund our short-term cash requirements through our primary sources of liquidity. In addition, we generally expect to fund our long-term needs, such as those resulting from expansion activities or acquisitions and refinancing long-term debt, through a variety of sources (either separately or in combination), which may include operating cash flows, borrowings under credit facilities or the commercial paper program, and/or PAAs issuance of additional equity or debt securities. As of September 30, 2013, we had a working capital surplus of approximately $134 million and approximately $2.95 billion of liquidity available to meet our other ongoing operating, investing and financing needs as noted below (in millions):</w:t>
      </w:r>
    </w:p>
    <w:p>
      <w:pPr>
        <w:pStyle w:val="TextBody"/>
        <w:spacing w:before="0" w:after="0"/>
        <w:ind w:left="0" w:right="0" w:hanging="0"/>
        <w:rPr/>
      </w:pPr>
      <w:r>
        <w:rPr/>
        <w:t> </w:t>
      </w:r>
    </w:p>
    <w:tbl>
      <w:tblPr>
        <w:tblW w:w="4900" w:type="pct"/>
        <w:jc w:val="left"/>
        <w:tblInd w:w="0" w:type="dxa"/>
        <w:tblCellMar>
          <w:top w:w="0" w:type="dxa"/>
          <w:left w:w="0" w:type="dxa"/>
          <w:bottom w:w="0" w:type="dxa"/>
          <w:right w:w="0" w:type="dxa"/>
        </w:tblCellMar>
      </w:tblPr>
      <w:tblGrid>
        <w:gridCol w:w="7568"/>
        <w:gridCol w:w="213"/>
        <w:gridCol w:w="248"/>
        <w:gridCol w:w="1841"/>
        <w:gridCol w:w="130"/>
      </w:tblGrid>
      <w:tr>
        <w:trPr/>
        <w:tc>
          <w:tcPr>
            <w:tcW w:w="7568"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08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w:t>
            </w:r>
          </w:p>
        </w:tc>
        <w:tc>
          <w:tcPr>
            <w:tcW w:w="130" w:type="dxa"/>
            <w:tcBorders/>
            <w:shd w:fill="auto" w:val="clear"/>
            <w:vAlign w:val="bottom"/>
          </w:tcPr>
          <w:p>
            <w:pPr>
              <w:pStyle w:val="TableContents"/>
              <w:spacing w:before="0" w:after="0"/>
              <w:ind w:left="0" w:right="0" w:hanging="0"/>
              <w:jc w:val="center"/>
              <w:rPr/>
            </w:pPr>
            <w:r>
              <w:rPr/>
              <w:t> </w:t>
            </w:r>
          </w:p>
        </w:tc>
      </w:tr>
      <w:tr>
        <w:trPr/>
        <w:tc>
          <w:tcPr>
            <w:tcW w:w="7568"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0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2013</w:t>
            </w:r>
          </w:p>
        </w:tc>
        <w:tc>
          <w:tcPr>
            <w:tcW w:w="130" w:type="dxa"/>
            <w:tcBorders/>
            <w:shd w:fill="auto" w:val="clear"/>
            <w:vAlign w:val="bottom"/>
          </w:tcPr>
          <w:p>
            <w:pPr>
              <w:pStyle w:val="TableContents"/>
              <w:spacing w:before="0" w:after="0"/>
              <w:ind w:left="0" w:right="0" w:hanging="0"/>
              <w:jc w:val="center"/>
              <w:rPr/>
            </w:pPr>
            <w:r>
              <w:rPr/>
              <w:t> </w:t>
            </w:r>
          </w:p>
        </w:tc>
      </w:tr>
      <w:tr>
        <w:trPr/>
        <w:tc>
          <w:tcPr>
            <w:tcW w:w="7568" w:type="dxa"/>
            <w:tcBorders/>
            <w:shd w:fill="CCEEFF" w:val="clear"/>
            <w:vAlign w:val="bottom"/>
          </w:tcPr>
          <w:p>
            <w:pPr>
              <w:pStyle w:val="TableContents"/>
              <w:spacing w:before="0" w:after="0"/>
              <w:ind w:left="0" w:right="0" w:hanging="0"/>
              <w:rPr/>
            </w:pPr>
            <w:r>
              <w:rPr>
                <w:rFonts w:ascii="Times New Roman" w:hAnsi="Times New Roman"/>
                <w:sz w:val="17"/>
              </w:rPr>
              <w:t xml:space="preserve">Availability under PAA senior unsecured revolving credit facility </w:t>
            </w:r>
            <w:r>
              <w:rPr>
                <w:sz w:val="11"/>
              </w:rPr>
              <w:t>(1)</w:t>
            </w:r>
          </w:p>
        </w:tc>
        <w:tc>
          <w:tcPr>
            <w:tcW w:w="213" w:type="dxa"/>
            <w:tcBorders/>
            <w:shd w:fill="CCEEFF" w:val="clear"/>
            <w:vAlign w:val="bottom"/>
          </w:tcPr>
          <w:p>
            <w:pPr>
              <w:pStyle w:val="TableContents"/>
              <w:spacing w:before="0" w:after="0"/>
              <w:ind w:left="0" w:right="0" w:hanging="0"/>
              <w:rPr/>
            </w:pPr>
            <w:r>
              <w:rPr/>
              <w:t> </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4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1,269</w:t>
            </w:r>
          </w:p>
        </w:tc>
        <w:tc>
          <w:tcPr>
            <w:tcW w:w="130" w:type="dxa"/>
            <w:tcBorders/>
            <w:shd w:fill="CCEEFF" w:val="clear"/>
            <w:vAlign w:val="bottom"/>
          </w:tcPr>
          <w:p>
            <w:pPr>
              <w:pStyle w:val="TableContents"/>
              <w:spacing w:before="0" w:after="0"/>
              <w:ind w:left="0" w:right="0" w:hanging="0"/>
              <w:rPr/>
            </w:pPr>
            <w:r>
              <w:rPr/>
              <w:t> </w:t>
            </w:r>
          </w:p>
        </w:tc>
      </w:tr>
      <w:tr>
        <w:trPr/>
        <w:tc>
          <w:tcPr>
            <w:tcW w:w="7568" w:type="dxa"/>
            <w:tcBorders/>
            <w:shd w:fill="auto" w:val="clear"/>
            <w:vAlign w:val="bottom"/>
          </w:tcPr>
          <w:p>
            <w:pPr>
              <w:pStyle w:val="TableContents"/>
              <w:spacing w:before="0" w:after="0"/>
              <w:ind w:left="0" w:right="0" w:hanging="0"/>
              <w:rPr/>
            </w:pPr>
            <w:r>
              <w:rPr>
                <w:rFonts w:ascii="Times New Roman" w:hAnsi="Times New Roman"/>
                <w:sz w:val="17"/>
              </w:rPr>
              <w:t xml:space="preserve">Availability under PAA senior secured hedged inventory facility </w:t>
            </w:r>
            <w:r>
              <w:rPr>
                <w:sz w:val="11"/>
              </w:rPr>
              <w:t>(1)</w:t>
            </w:r>
          </w:p>
        </w:tc>
        <w:tc>
          <w:tcPr>
            <w:tcW w:w="213" w:type="dxa"/>
            <w:tcBorders/>
            <w:shd w:fill="auto" w:val="clear"/>
            <w:vAlign w:val="bottom"/>
          </w:tcPr>
          <w:p>
            <w:pPr>
              <w:pStyle w:val="TableContents"/>
              <w:spacing w:before="0" w:after="0"/>
              <w:ind w:left="0" w:right="0" w:hanging="0"/>
              <w:rPr/>
            </w:pPr>
            <w:r>
              <w:rPr/>
              <w:t> </w:t>
            </w:r>
          </w:p>
        </w:tc>
        <w:tc>
          <w:tcPr>
            <w:tcW w:w="20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1,373</w:t>
            </w:r>
          </w:p>
        </w:tc>
        <w:tc>
          <w:tcPr>
            <w:tcW w:w="130" w:type="dxa"/>
            <w:tcBorders/>
            <w:shd w:fill="auto" w:val="clear"/>
            <w:vAlign w:val="bottom"/>
          </w:tcPr>
          <w:p>
            <w:pPr>
              <w:pStyle w:val="TableContents"/>
              <w:spacing w:before="0" w:after="0"/>
              <w:ind w:left="0" w:right="0" w:hanging="0"/>
              <w:rPr/>
            </w:pPr>
            <w:r>
              <w:rPr/>
              <w:t> </w:t>
            </w:r>
          </w:p>
        </w:tc>
      </w:tr>
      <w:tr>
        <w:trPr/>
        <w:tc>
          <w:tcPr>
            <w:tcW w:w="75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Availability under PNG senior unsecured revolving credit facility </w:t>
            </w:r>
          </w:p>
        </w:tc>
        <w:tc>
          <w:tcPr>
            <w:tcW w:w="213" w:type="dxa"/>
            <w:tcBorders/>
            <w:shd w:fill="CCEEFF" w:val="clear"/>
            <w:vAlign w:val="bottom"/>
          </w:tcPr>
          <w:p>
            <w:pPr>
              <w:pStyle w:val="TableContents"/>
              <w:spacing w:before="0" w:after="0"/>
              <w:ind w:left="0" w:right="0" w:hanging="0"/>
              <w:rPr/>
            </w:pPr>
            <w:r>
              <w:rPr/>
              <w:t> </w:t>
            </w:r>
          </w:p>
        </w:tc>
        <w:tc>
          <w:tcPr>
            <w:tcW w:w="20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30" w:type="dxa"/>
            <w:tcBorders/>
            <w:shd w:fill="CCEEFF" w:val="clear"/>
            <w:vAlign w:val="bottom"/>
          </w:tcPr>
          <w:p>
            <w:pPr>
              <w:pStyle w:val="TableContents"/>
              <w:spacing w:before="0" w:after="0"/>
              <w:ind w:left="0" w:right="0" w:hanging="0"/>
              <w:rPr/>
            </w:pPr>
            <w:r>
              <w:rPr/>
              <w:t> </w:t>
            </w:r>
          </w:p>
        </w:tc>
      </w:tr>
      <w:tr>
        <w:trPr/>
        <w:tc>
          <w:tcPr>
            <w:tcW w:w="75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AAP senior secured revolving credit facility</w:t>
            </w:r>
          </w:p>
        </w:tc>
        <w:tc>
          <w:tcPr>
            <w:tcW w:w="213" w:type="dxa"/>
            <w:tcBorders/>
            <w:shd w:fill="auto" w:val="clear"/>
            <w:vAlign w:val="bottom"/>
          </w:tcPr>
          <w:p>
            <w:pPr>
              <w:pStyle w:val="TableContents"/>
              <w:spacing w:before="0" w:after="0"/>
              <w:ind w:left="0" w:right="0" w:hanging="0"/>
              <w:rPr/>
            </w:pPr>
            <w:r>
              <w:rPr/>
              <w:t> </w:t>
            </w:r>
          </w:p>
        </w:tc>
        <w:tc>
          <w:tcPr>
            <w:tcW w:w="20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30" w:type="dxa"/>
            <w:tcBorders/>
            <w:shd w:fill="auto" w:val="clear"/>
            <w:vAlign w:val="bottom"/>
          </w:tcPr>
          <w:p>
            <w:pPr>
              <w:pStyle w:val="TableContents"/>
              <w:spacing w:before="0" w:after="0"/>
              <w:ind w:left="0" w:right="0" w:hanging="0"/>
              <w:rPr/>
            </w:pPr>
            <w:r>
              <w:rPr/>
              <w:t> </w:t>
            </w:r>
          </w:p>
        </w:tc>
      </w:tr>
      <w:tr>
        <w:trPr/>
        <w:tc>
          <w:tcPr>
            <w:tcW w:w="75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13" w:type="dxa"/>
            <w:tcBorders/>
            <w:shd w:fill="CCEEFF" w:val="clear"/>
            <w:vAlign w:val="bottom"/>
          </w:tcPr>
          <w:p>
            <w:pPr>
              <w:pStyle w:val="TableContents"/>
              <w:spacing w:before="0" w:after="0"/>
              <w:ind w:left="0" w:right="0" w:hanging="0"/>
              <w:rPr/>
            </w:pPr>
            <w:r>
              <w:rPr/>
              <w:t> </w:t>
            </w:r>
          </w:p>
        </w:tc>
        <w:tc>
          <w:tcPr>
            <w:tcW w:w="20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30" w:type="dxa"/>
            <w:tcBorders/>
            <w:shd w:fill="CCEEFF" w:val="clear"/>
            <w:vAlign w:val="bottom"/>
          </w:tcPr>
          <w:p>
            <w:pPr>
              <w:pStyle w:val="TableContents"/>
              <w:spacing w:before="0" w:after="0"/>
              <w:ind w:left="0" w:right="0" w:hanging="0"/>
              <w:rPr/>
            </w:pPr>
            <w:r>
              <w:rPr/>
              <w:t> </w:t>
            </w:r>
          </w:p>
        </w:tc>
      </w:tr>
      <w:tr>
        <w:trPr/>
        <w:tc>
          <w:tcPr>
            <w:tcW w:w="75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3" w:type="dxa"/>
            <w:tcBorders/>
            <w:shd w:fill="auto" w:val="clear"/>
            <w:vAlign w:val="bottom"/>
          </w:tcPr>
          <w:p>
            <w:pPr>
              <w:pStyle w:val="TableContents"/>
              <w:spacing w:before="0" w:after="0"/>
              <w:ind w:left="0" w:right="0" w:hanging="0"/>
              <w:rPr/>
            </w:pPr>
            <w:r>
              <w:rPr/>
              <w:t> </w:t>
            </w:r>
          </w:p>
        </w:tc>
        <w:tc>
          <w:tcPr>
            <w:tcW w:w="2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4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2,948</w:t>
            </w:r>
          </w:p>
        </w:tc>
        <w:tc>
          <w:tcPr>
            <w:tcW w:w="13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Borrowings under the commercial paper program reduce available capacity under this credit facility.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Risk Factors-Risks Related to PAAs Business included in the Final Prospectus for further discussion regarding such risks that may impact our liquidity and capital resources.  Usage of the credit facilities is subject to ongoing compliance with covenants.  We are currently in compliance with all covenants.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Flows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comprehensive discussion of the primary drivers of our cash flow from operating activities, including the impact of varying market conditions and the timing of settlement of our derivative activities, see Liquidity and Capital ResourcesCash Flow from Operations of the Final Prospectus.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Cash provided by operating activities reflects cash generated by our recurring operations, and can also be significantly impacted in periods when we are increasing or decreasing the amount of inventory in storage.  Net cash provided by operating activities for the first nine months of 2013 was approximately $1.6 billion, primarily resulting from earnings from operations. Additionally, during the first nine months of 2013, we decreased the amount of our inventory, primarily due to the sale of crude oil inventory that had been stored during the contango market.  This decrease in crude oil inventory was partially offset by an increase in NGL inventory as we began to increase inventory levels in preparation of end users increased demand for product used for heating during the peak heating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69" w:name="PB_43_154825_7056"/>
      <w:bookmarkEnd w:id="6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season of November through March. The net proceeds received from liquidation of such inventory during the quarter were used to repay borrowings under our credit facilities or commercial paper program and favorably impacted our cash flows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cash provided by operating activities for the first nine months of 2012 was approximately $874 million, primarily resulting from earnings from our operations. Cash flows from earnings were partially offset by increases in our crude oil and NGL inventory levels.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and Debt Financing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 consolidated basis, our financing activities primarily relate to funding PAAs acquisitions and internal capital projects and short-term working capital and hedged inventory borrowings related to NGL business and contango market activities, as well as refinancing of debt maturities.  Our financing activities have primarily consisted of PAAs equity offerings and senior notes offerings and borrowings and repayments under credit facilities or the commercial paper program, as well as payment of distributions to members and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PAA and PNG Registration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periodically accesses the capital markets for both equity and debt financing.  PAA has filed with the SEC a universal shelf registration statement that, subject to effectiveness at the time of use, allows the issuance of up to an aggregate of $2.0 billion of debt or equity securities (Traditional Shelf).  All issuances of equity securities associated with PAAs continuous offering program, as discussed further below, have been issued pursuant to the Traditional Shelf. At September 30, 2013, PAA had approximately $1.5 billion of unsold securities available under the Traditional Shelf.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also has access to a universal shelf registration statement (WKSI Shelf), which provides it with the ability to offer and sell an unlimited amount of debt and equity securities, subject to market conditions and capital needs.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 has filed with the SEC a universal shelf registration statement (PNG Shelf) that, subject to effectiveness at the time of use, allows PNG to issue up to an aggregate of $1.0 billion of debt or equity securities. All issuances of equity securities associated with PNGs continuous offering program, as discussed further below, have been issued pursuant to the PNG Shelf. At September 30, 2013, PNG had approximately $959 million of unsold securities available under the PNG Shelf.</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PAA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nine months ended September 30, 2013, PAA issued an aggregate of approximately 7.2 million common units under its continuous offering program, generating net proceeds of approximately $400 million, including the proportionate capital contribution from our Members and the noncontrolling interests in AAP. The net proceeds from sales were used for general partnership purposes of PAA.</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PNG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March 18, 2013, PNG entered into an equity distribution agreement with a financial institution pursuant to which PNG may offer and sell, through its sales agent, common units representing limited partner interests having an aggregate offering price of up to $75 million. Through September 30, 2013, PNG issued an aggregate of approximately 1.9 million common units under this agreement, generating net proceeds of approximately $40 million.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PAA Debt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2013, PAA completed the issuance of $700 million, 3.85% senior notes due 2023 at a public offering price of 99.792%. Interest payments are due on April 15 and October 15 of each year, commencing on April 15, 2014. The net proceeds of approximately $693 million were used to repay outstanding indebtedness under the PAA senior unsecured revolving credit facility and the PAA senior secured hedged inventory facility, as well as for general partnership purposes of PAA.</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Credit Agreements and Commercial Paper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2013, PAA established a commercial paper program under which it may issue, from time to time, privately placed, unsecured commercial paper notes for up to a maximum aggregate amount outstanding at any time of $1.5 billion. Such notes are backstopped by the PAA senior unsecured revolving credit facility and the PAA senior secured hedged inventory facility; as such, any borrowings under PAAs commercial paper program reduce the available capacity under these facilities.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70" w:name="PB_44_154845_5335"/>
      <w:bookmarkEnd w:id="7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2013, the PAA senior secured hedged inventory facility and PAA senior unsecured revolving credit facility agreements were amended to, among other things, extend the maturity dates of the facilities by two years. The facilities now mature in August 2016 and August 2018, respectively. Also in August 2013, the maturity dates of the PNG senior unsecured revolving credit facility and GO Bond term loans were extended by one year to August 2017. In September 2013, the AAP credit agreement was amended to increase the term loan facility from $200 million to $500 million, increase the aggregate commitments under the revolving credit facility from $25 million to $75 million and extend the maturity date by one year to September 2018.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nine months ended September 30, 2013, we had net repayments on our credit agreements, which include our revolving credit facilities and hedged inventory facility, and the commercial paper program in the aggregate of approximately $163 million. These net repayments resulted primarily from cash flows from operating activities, such as sales of crude oil that was liquidated during the period, as well as proceeds during the period from our equity and debt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nine months ended September 30, 2012, we had net borrowings on our credit agreements in the aggregate of approximately $695 million. These net borrowings resulted primarily when we increased our crude oil inventory levels related to storing barrels in the contango market, as well as our NGL inventory levels in preparation of end users increased demand for product used for heating during the winter months. For further discussion related to our credit facilities and long-term debt, see Cash Flows from Operating Activities above and Liquidity and Capital ResourcesCredit Facilities and Indentures included in the Final Prospectus.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Acquisitions and Capital Expenditures and Distributions Paid to Our Unitholders, General Partner and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 consolidated basis, we also use cash for PAAs acquisition activities and internal growth projects, as well as distributions paid to members and noncontrolling interests.  PAA has made and will continue to make capital expenditures for acquisitions, expansion capital and maintenance capital.  Historically, we have financed these expenditures primarily with cash generated by the operating and financing activities discussed above.  See Internal Growth Projects above and Acquisitions and Internal Growth Projects included in the Final Prospectus for further discussion of such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Acquisitions.  </w:t>
      </w:r>
      <w:r>
        <w:rPr>
          <w:rFonts w:ascii="Times New Roman" w:hAnsi="Times New Roman"/>
          <w:sz w:val="17"/>
        </w:rPr>
        <w:t>The price of acquisitions includes cash paid, assumed liabilities and net working capital items.  Because of the non-cash items included in the total price of acquisitions and the timing of certain cash payments, the net cash paid may differ significantly from the total price of acquisitions completed during the year.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members.</w:t>
      </w:r>
      <w:r>
        <w:rPr>
          <w:rFonts w:ascii="Times New Roman" w:hAnsi="Times New Roman"/>
        </w:rPr>
        <w:t xml:space="preserve">  </w:t>
      </w:r>
      <w:r>
        <w:rPr>
          <w:rFonts w:ascii="Times New Roman" w:hAnsi="Times New Roman"/>
          <w:sz w:val="17"/>
        </w:rPr>
        <w:t>We distribute all of the cash received from AAP distributions on a quarterly basis, less reserves established by management for future requirements. Generally, distributions are paid to our Members in proportion to their percentage interest in us. During the nine months ended September 30, 2013 and 2012, we distributed approximately $6 million and $2 million, respectively, to our Members. Of the amount distributed during the nine months ended September 30, 2013, approximately $3 million relates to distributions received from AAP for our proportionate share of the net proceeds from the increase in AAPs term loan. See Note 7 to the condensed consolidated financial statements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noncontrolling interests.</w:t>
      </w:r>
      <w:r>
        <w:rPr>
          <w:rFonts w:ascii="Times New Roman" w:hAnsi="Times New Roman"/>
        </w:rPr>
        <w:t xml:space="preserve">  </w:t>
      </w:r>
      <w:r>
        <w:rPr>
          <w:rFonts w:ascii="Times New Roman" w:hAnsi="Times New Roman"/>
          <w:sz w:val="17"/>
        </w:rPr>
        <w:t>Noncontrolling interests in our subsidiaries consists of the following: (i) a 98% limited partner interest in PAA, (ii) a 99% limited partner interest in AAP that consists of Class A and Class B units of AAP (a profits interest), (iii) an approximate 37% limited partner interest in PNG and (iv) a 25% interest in SLC Pipeline. During the nine months ended September 30, 2013 and 2012, we paid distributions of approximately $1.2 billion and $737 million, respectively, to our noncontrolling interests. Of the amount distributed during the nine months ended September 30, 2013, approximately $296 million relates to distributions paid for the noncontrolling interests proportionate share of the net proceeds from the increase in AAPs term loan. See Note 7 to the condensed consolidated financial statements for further discussion.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material decrease in our cash flows would likely produce an adverse effect on our borrowing capacity.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of contingencies that may impact us, see Note 11 to our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71" w:name="PB_45_154859_5796"/>
      <w:bookmarkEnd w:id="7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Commitments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Contractual Obligations.</w:t>
      </w:r>
      <w:r>
        <w:rPr>
          <w:rFonts w:ascii="Times New Roman" w:hAnsi="Times New Roman"/>
        </w:rPr>
        <w:t xml:space="preserve">  </w:t>
      </w:r>
      <w:r>
        <w:rPr>
          <w:rFonts w:ascii="Times New Roman" w:hAnsi="Times New Roman"/>
          <w:sz w:val="17"/>
        </w:rPr>
        <w:t>In the ordinary course of doing business, we purchase crude oil and NGL from third parties under contracts, the majority of which range in term from thirty-day evergreen to five years and a limited number of contracts extending up to nine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entities that we deem creditworthy or who have provided credit support we consider adequate.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includes our best estimate of the amount and timing of these payments as well as others due under the specified contractual obligations as of September 30, 2013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96"/>
        <w:gridCol w:w="213"/>
        <w:gridCol w:w="114"/>
        <w:gridCol w:w="667"/>
        <w:gridCol w:w="213"/>
        <w:gridCol w:w="114"/>
        <w:gridCol w:w="667"/>
        <w:gridCol w:w="213"/>
        <w:gridCol w:w="114"/>
        <w:gridCol w:w="667"/>
        <w:gridCol w:w="213"/>
        <w:gridCol w:w="114"/>
        <w:gridCol w:w="667"/>
        <w:gridCol w:w="212"/>
        <w:gridCol w:w="114"/>
        <w:gridCol w:w="667"/>
        <w:gridCol w:w="213"/>
        <w:gridCol w:w="114"/>
        <w:gridCol w:w="783"/>
        <w:gridCol w:w="213"/>
        <w:gridCol w:w="114"/>
        <w:gridCol w:w="676"/>
        <w:gridCol w:w="127"/>
      </w:tblGrid>
      <w:tr>
        <w:trPr/>
        <w:tc>
          <w:tcPr>
            <w:tcW w:w="2996"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shd w:fill="auto" w:val="clear"/>
            <w:vAlign w:val="bottom"/>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shd w:fill="auto" w:val="clear"/>
            <w:vAlign w:val="bottom"/>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shd w:fill="auto" w:val="clear"/>
            <w:vAlign w:val="bottom"/>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shd w:fill="auto" w:val="clear"/>
            <w:vAlign w:val="bottom"/>
          </w:tcPr>
          <w:p>
            <w:pPr>
              <w:pStyle w:val="TableContents"/>
              <w:spacing w:before="0" w:after="0"/>
              <w:ind w:left="0" w:right="0" w:hanging="0"/>
              <w:jc w:val="center"/>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781" w:type="dxa"/>
            <w:gridSpan w:val="2"/>
            <w:tcBorders/>
            <w:shd w:fill="auto" w:val="clear"/>
            <w:vAlign w:val="bottom"/>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89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 and</w:t>
            </w:r>
          </w:p>
        </w:tc>
        <w:tc>
          <w:tcPr>
            <w:tcW w:w="213" w:type="dxa"/>
            <w:tcBorders/>
            <w:shd w:fill="auto" w:val="clear"/>
            <w:vAlign w:val="bottom"/>
          </w:tcPr>
          <w:p>
            <w:pPr>
              <w:pStyle w:val="TableContents"/>
              <w:spacing w:before="0" w:after="0"/>
              <w:ind w:left="0" w:right="0" w:hanging="0"/>
              <w:jc w:val="center"/>
              <w:rPr/>
            </w:pPr>
            <w:r>
              <w:rPr/>
              <w:t> </w:t>
            </w:r>
          </w:p>
        </w:tc>
        <w:tc>
          <w:tcPr>
            <w:tcW w:w="790" w:type="dxa"/>
            <w:gridSpan w:val="2"/>
            <w:tcBorders/>
            <w:shd w:fill="auto" w:val="clear"/>
            <w:vAlign w:val="bottom"/>
          </w:tcPr>
          <w:p>
            <w:pPr>
              <w:pStyle w:val="TableContents"/>
              <w:spacing w:before="0" w:after="0"/>
              <w:ind w:left="0" w:right="0" w:hanging="0"/>
              <w:jc w:val="center"/>
              <w:rPr/>
            </w:pPr>
            <w:r>
              <w:rPr/>
              <w:t> </w:t>
            </w:r>
          </w:p>
        </w:tc>
        <w:tc>
          <w:tcPr>
            <w:tcW w:w="127" w:type="dxa"/>
            <w:tcBorders/>
            <w:shd w:fill="auto" w:val="clear"/>
            <w:vAlign w:val="bottom"/>
          </w:tcPr>
          <w:p>
            <w:pPr>
              <w:pStyle w:val="TableContents"/>
              <w:spacing w:before="0" w:after="0"/>
              <w:ind w:left="0" w:right="0" w:hanging="0"/>
              <w:jc w:val="center"/>
              <w:rPr/>
            </w:pPr>
            <w:r>
              <w:rPr/>
              <w:t> </w:t>
            </w:r>
          </w:p>
        </w:tc>
      </w:tr>
      <w:tr>
        <w:trPr/>
        <w:tc>
          <w:tcPr>
            <w:tcW w:w="2996"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213" w:type="dxa"/>
            <w:tcBorders/>
            <w:shd w:fill="auto" w:val="clear"/>
            <w:vAlign w:val="bottom"/>
          </w:tcPr>
          <w:p>
            <w:pPr>
              <w:pStyle w:val="TableContents"/>
              <w:spacing w:before="0" w:after="0"/>
              <w:ind w:left="0" w:right="0" w:hanging="0"/>
              <w:jc w:val="center"/>
              <w:rPr/>
            </w:pPr>
            <w:r>
              <w:rPr/>
              <w:t> </w:t>
            </w:r>
          </w:p>
        </w:tc>
        <w:tc>
          <w:tcPr>
            <w:tcW w:w="7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2016</w:t>
            </w:r>
          </w:p>
        </w:tc>
        <w:tc>
          <w:tcPr>
            <w:tcW w:w="212" w:type="dxa"/>
            <w:tcBorders/>
            <w:shd w:fill="auto" w:val="clear"/>
            <w:vAlign w:val="bottom"/>
          </w:tcPr>
          <w:p>
            <w:pPr>
              <w:pStyle w:val="TableContents"/>
              <w:spacing w:before="0" w:after="0"/>
              <w:ind w:left="0" w:right="0" w:hanging="0"/>
              <w:jc w:val="center"/>
              <w:rPr/>
            </w:pPr>
            <w:r>
              <w:rPr/>
              <w:t> </w:t>
            </w:r>
          </w:p>
        </w:tc>
        <w:tc>
          <w:tcPr>
            <w:tcW w:w="7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2017</w:t>
            </w:r>
          </w:p>
        </w:tc>
        <w:tc>
          <w:tcPr>
            <w:tcW w:w="213" w:type="dxa"/>
            <w:tcBorders/>
            <w:shd w:fill="auto" w:val="clear"/>
            <w:vAlign w:val="bottom"/>
          </w:tcPr>
          <w:p>
            <w:pPr>
              <w:pStyle w:val="TableContents"/>
              <w:spacing w:before="0" w:after="0"/>
              <w:ind w:left="0" w:right="0" w:hanging="0"/>
              <w:jc w:val="center"/>
              <w:rPr/>
            </w:pPr>
            <w:r>
              <w:rPr/>
              <w:t> </w:t>
            </w:r>
          </w:p>
        </w:tc>
        <w:tc>
          <w:tcPr>
            <w:tcW w:w="8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213" w:type="dxa"/>
            <w:tcBorders/>
            <w:shd w:fill="auto" w:val="clear"/>
            <w:vAlign w:val="bottom"/>
          </w:tcPr>
          <w:p>
            <w:pPr>
              <w:pStyle w:val="TableContents"/>
              <w:spacing w:before="0" w:after="0"/>
              <w:ind w:left="0" w:right="0" w:hanging="0"/>
              <w:jc w:val="center"/>
              <w:rPr/>
            </w:pPr>
            <w:r>
              <w:rPr/>
              <w:t> </w:t>
            </w:r>
          </w:p>
        </w:tc>
        <w:tc>
          <w:tcPr>
            <w:tcW w:w="7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7" w:type="dxa"/>
            <w:tcBorders/>
            <w:shd w:fill="auto" w:val="clear"/>
            <w:vAlign w:val="bottom"/>
          </w:tcPr>
          <w:p>
            <w:pPr>
              <w:pStyle w:val="TableContents"/>
              <w:spacing w:before="0" w:after="0"/>
              <w:ind w:left="0" w:right="0" w:hanging="0"/>
              <w:jc w:val="center"/>
              <w:rPr/>
            </w:pPr>
            <w:r>
              <w:rPr/>
              <w:t> </w:t>
            </w:r>
          </w:p>
        </w:tc>
      </w:tr>
      <w:tr>
        <w:trPr/>
        <w:tc>
          <w:tcPr>
            <w:tcW w:w="2996" w:type="dxa"/>
            <w:tcBorders/>
            <w:shd w:fill="CCEEFF" w:val="clear"/>
          </w:tcPr>
          <w:p>
            <w:pPr>
              <w:pStyle w:val="TableContents"/>
              <w:spacing w:before="0" w:after="0"/>
              <w:ind w:left="0" w:right="0" w:hanging="0"/>
              <w:rPr/>
            </w:pPr>
            <w:r>
              <w:rPr>
                <w:rFonts w:ascii="Times New Roman" w:hAnsi="Times New Roman"/>
                <w:sz w:val="17"/>
              </w:rPr>
              <w:t>Long-term debt, including current maturities and related interest payments</w:t>
            </w:r>
            <w:r>
              <w:rPr/>
              <w:t xml:space="preserve"> </w:t>
            </w:r>
            <w:r>
              <w:rPr>
                <w:sz w:val="11"/>
              </w:rPr>
              <w:t>(1)</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910</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517</w:t>
            </w:r>
          </w:p>
        </w:tc>
        <w:tc>
          <w:tcPr>
            <w:tcW w:w="212"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1,013</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8,725</w:t>
            </w:r>
          </w:p>
        </w:tc>
        <w:tc>
          <w:tcPr>
            <w:tcW w:w="21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11,879</w:t>
            </w:r>
          </w:p>
        </w:tc>
        <w:tc>
          <w:tcPr>
            <w:tcW w:w="127" w:type="dxa"/>
            <w:tcBorders/>
            <w:shd w:fill="CCEEFF" w:val="clear"/>
            <w:vAlign w:val="bottom"/>
          </w:tcPr>
          <w:p>
            <w:pPr>
              <w:pStyle w:val="TableContents"/>
              <w:spacing w:before="0" w:after="0"/>
              <w:ind w:left="0" w:right="0" w:hanging="0"/>
              <w:rPr/>
            </w:pPr>
            <w:r>
              <w:rPr/>
              <w:t> </w:t>
            </w:r>
          </w:p>
        </w:tc>
      </w:tr>
      <w:tr>
        <w:trPr/>
        <w:tc>
          <w:tcPr>
            <w:tcW w:w="2996" w:type="dxa"/>
            <w:tcBorders/>
            <w:shd w:fill="auto" w:val="clear"/>
            <w:vAlign w:val="center"/>
          </w:tcPr>
          <w:p>
            <w:pPr>
              <w:pStyle w:val="TableContents"/>
              <w:spacing w:before="0" w:after="0"/>
              <w:ind w:left="0" w:right="0" w:hanging="0"/>
              <w:rPr/>
            </w:pPr>
            <w:r>
              <w:rPr>
                <w:rFonts w:ascii="Times New Roman" w:hAnsi="Times New Roman"/>
                <w:sz w:val="17"/>
              </w:rPr>
              <w:t>Leases</w:t>
            </w:r>
            <w:r>
              <w:rPr/>
              <w:t xml:space="preserve"> </w:t>
            </w:r>
            <w:r>
              <w:rPr>
                <w:sz w:val="11"/>
              </w:rPr>
              <w:t>(2)</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2"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13"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w:t>
            </w:r>
          </w:p>
        </w:tc>
        <w:tc>
          <w:tcPr>
            <w:tcW w:w="213"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w:t>
            </w:r>
          </w:p>
        </w:tc>
        <w:tc>
          <w:tcPr>
            <w:tcW w:w="127" w:type="dxa"/>
            <w:tcBorders/>
            <w:shd w:fill="auto" w:val="clear"/>
            <w:vAlign w:val="bottom"/>
          </w:tcPr>
          <w:p>
            <w:pPr>
              <w:pStyle w:val="TableContents"/>
              <w:spacing w:before="0" w:after="0"/>
              <w:ind w:left="0" w:right="0" w:hanging="0"/>
              <w:rPr/>
            </w:pPr>
            <w:r>
              <w:rPr/>
              <w:t> </w:t>
            </w:r>
          </w:p>
        </w:tc>
      </w:tr>
      <w:tr>
        <w:trPr/>
        <w:tc>
          <w:tcPr>
            <w:tcW w:w="2996" w:type="dxa"/>
            <w:tcBorders/>
            <w:shd w:fill="CCEEFF" w:val="clear"/>
            <w:vAlign w:val="center"/>
          </w:tcPr>
          <w:p>
            <w:pPr>
              <w:pStyle w:val="TableContents"/>
              <w:spacing w:before="0" w:after="0"/>
              <w:ind w:left="0" w:right="0" w:hanging="0"/>
              <w:rPr/>
            </w:pPr>
            <w:r>
              <w:rPr>
                <w:rFonts w:ascii="Times New Roman" w:hAnsi="Times New Roman"/>
                <w:sz w:val="17"/>
              </w:rPr>
              <w:t>Other obligations</w:t>
            </w:r>
            <w:r>
              <w:rPr/>
              <w:t xml:space="preserve"> </w:t>
            </w:r>
            <w:r>
              <w:rPr>
                <w:sz w:val="11"/>
              </w:rPr>
              <w:t>(3)</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2"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3" w:type="dxa"/>
            <w:tcBorders/>
            <w:shd w:fill="CCEEFF" w:val="clear"/>
            <w:vAlign w:val="bottom"/>
          </w:tcPr>
          <w:p>
            <w:pPr>
              <w:pStyle w:val="TableContents"/>
              <w:spacing w:before="0" w:after="0"/>
              <w:ind w:left="0" w:right="0" w:hanging="0"/>
              <w:rPr/>
            </w:pPr>
            <w:r>
              <w:rPr/>
              <w:t> </w:t>
            </w:r>
          </w:p>
        </w:tc>
        <w:tc>
          <w:tcPr>
            <w:tcW w:w="8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13"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559</w:t>
            </w:r>
          </w:p>
        </w:tc>
        <w:tc>
          <w:tcPr>
            <w:tcW w:w="127" w:type="dxa"/>
            <w:tcBorders/>
            <w:shd w:fill="CCEEFF" w:val="clear"/>
            <w:vAlign w:val="bottom"/>
          </w:tcPr>
          <w:p>
            <w:pPr>
              <w:pStyle w:val="TableContents"/>
              <w:spacing w:before="0" w:after="0"/>
              <w:ind w:left="0" w:right="0" w:hanging="0"/>
              <w:rPr/>
            </w:pPr>
            <w:r>
              <w:rPr/>
              <w:t> </w:t>
            </w:r>
          </w:p>
        </w:tc>
      </w:tr>
      <w:tr>
        <w:trPr/>
        <w:tc>
          <w:tcPr>
            <w:tcW w:w="299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444</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744</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1,116</w:t>
            </w:r>
          </w:p>
        </w:tc>
        <w:tc>
          <w:tcPr>
            <w:tcW w:w="213"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12" w:type="dxa"/>
            <w:tcBorders/>
            <w:shd w:fill="auto" w:val="clear"/>
            <w:vAlign w:val="bottom"/>
          </w:tcPr>
          <w:p>
            <w:pPr>
              <w:pStyle w:val="TableContents"/>
              <w:spacing w:before="0" w:after="0"/>
              <w:ind w:left="0" w:right="0" w:hanging="0"/>
              <w:rPr/>
            </w:pPr>
            <w:r>
              <w:rPr/>
              <w:t> </w:t>
            </w:r>
          </w:p>
        </w:tc>
        <w:tc>
          <w:tcPr>
            <w:tcW w:w="7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1,144</w:t>
            </w:r>
          </w:p>
        </w:tc>
        <w:tc>
          <w:tcPr>
            <w:tcW w:w="213"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9,324</w:t>
            </w:r>
          </w:p>
        </w:tc>
        <w:tc>
          <w:tcPr>
            <w:tcW w:w="213" w:type="dxa"/>
            <w:tcBorders/>
            <w:shd w:fill="auto" w:val="clear"/>
            <w:vAlign w:val="bottom"/>
          </w:tcPr>
          <w:p>
            <w:pPr>
              <w:pStyle w:val="TableContents"/>
              <w:spacing w:before="0" w:after="0"/>
              <w:ind w:left="0" w:right="0" w:hanging="0"/>
              <w:rPr/>
            </w:pPr>
            <w:r>
              <w:rPr/>
              <w:t> </w:t>
            </w:r>
          </w:p>
        </w:tc>
        <w:tc>
          <w:tcPr>
            <w:tcW w:w="7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13,460</w:t>
            </w:r>
          </w:p>
        </w:tc>
        <w:tc>
          <w:tcPr>
            <w:tcW w:w="127" w:type="dxa"/>
            <w:tcBorders/>
            <w:shd w:fill="auto" w:val="clear"/>
            <w:vAlign w:val="bottom"/>
          </w:tcPr>
          <w:p>
            <w:pPr>
              <w:pStyle w:val="TableContents"/>
              <w:spacing w:before="0" w:after="0"/>
              <w:ind w:left="0" w:right="0" w:hanging="0"/>
              <w:rPr/>
            </w:pPr>
            <w:r>
              <w:rPr/>
              <w:t> </w:t>
            </w:r>
          </w:p>
        </w:tc>
      </w:tr>
      <w:tr>
        <w:trPr/>
        <w:tc>
          <w:tcPr>
            <w:tcW w:w="2996" w:type="dxa"/>
            <w:tcBorders/>
            <w:shd w:fill="CCEEFF" w:val="clear"/>
            <w:vAlign w:val="bottom"/>
          </w:tcPr>
          <w:p>
            <w:pPr>
              <w:pStyle w:val="TableContents"/>
              <w:spacing w:before="0" w:after="0"/>
              <w:ind w:left="0" w:right="0" w:hanging="0"/>
              <w:rPr/>
            </w:pPr>
            <w:r>
              <w:rPr>
                <w:rFonts w:ascii="Times New Roman" w:hAnsi="Times New Roman"/>
                <w:sz w:val="17"/>
              </w:rPr>
              <w:t>Crude oil, natural gas, NGL and other purchases</w:t>
            </w:r>
            <w:r>
              <w:rPr/>
              <w:t xml:space="preserve"> </w:t>
            </w:r>
            <w:r>
              <w:rPr>
                <w:sz w:val="11"/>
              </w:rPr>
              <w:t>(4)</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5,620</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4,919</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3,257</w:t>
            </w:r>
          </w:p>
        </w:tc>
        <w:tc>
          <w:tcPr>
            <w:tcW w:w="213"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3,036</w:t>
            </w:r>
          </w:p>
        </w:tc>
        <w:tc>
          <w:tcPr>
            <w:tcW w:w="212" w:type="dxa"/>
            <w:tcBorders/>
            <w:shd w:fill="CCEEFF" w:val="clear"/>
            <w:vAlign w:val="bottom"/>
          </w:tcPr>
          <w:p>
            <w:pPr>
              <w:pStyle w:val="TableContents"/>
              <w:spacing w:before="0" w:after="0"/>
              <w:ind w:left="0" w:right="0" w:hanging="0"/>
              <w:rPr/>
            </w:pPr>
            <w:r>
              <w:rPr/>
              <w:t> </w:t>
            </w:r>
          </w:p>
        </w:tc>
        <w:tc>
          <w:tcPr>
            <w:tcW w:w="7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2,344</w:t>
            </w:r>
          </w:p>
        </w:tc>
        <w:tc>
          <w:tcPr>
            <w:tcW w:w="213" w:type="dxa"/>
            <w:tcBorders/>
            <w:shd w:fill="CCEEFF" w:val="clear"/>
            <w:vAlign w:val="bottom"/>
          </w:tcPr>
          <w:p>
            <w:pPr>
              <w:pStyle w:val="TableContents"/>
              <w:spacing w:before="0" w:after="0"/>
              <w:ind w:left="0" w:right="0" w:hanging="0"/>
              <w:rPr/>
            </w:pPr>
            <w:r>
              <w:rPr/>
              <w:t> </w:t>
            </w:r>
          </w:p>
        </w:tc>
        <w:tc>
          <w:tcPr>
            <w:tcW w:w="8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4,836</w:t>
            </w:r>
          </w:p>
        </w:tc>
        <w:tc>
          <w:tcPr>
            <w:tcW w:w="213" w:type="dxa"/>
            <w:tcBorders/>
            <w:shd w:fill="CCEEFF" w:val="clear"/>
            <w:vAlign w:val="bottom"/>
          </w:tcPr>
          <w:p>
            <w:pPr>
              <w:pStyle w:val="TableContents"/>
              <w:spacing w:before="0" w:after="0"/>
              <w:ind w:left="0" w:right="0" w:hanging="0"/>
              <w:rPr/>
            </w:pPr>
            <w:r>
              <w:rPr/>
              <w:t> </w:t>
            </w:r>
          </w:p>
        </w:tc>
        <w:tc>
          <w:tcPr>
            <w:tcW w:w="7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24,012</w:t>
            </w:r>
          </w:p>
        </w:tc>
        <w:tc>
          <w:tcPr>
            <w:tcW w:w="127" w:type="dxa"/>
            <w:tcBorders/>
            <w:shd w:fill="CCEEFF" w:val="clear"/>
            <w:vAlign w:val="bottom"/>
          </w:tcPr>
          <w:p>
            <w:pPr>
              <w:pStyle w:val="TableContents"/>
              <w:spacing w:before="0" w:after="0"/>
              <w:ind w:left="0" w:right="0" w:hanging="0"/>
              <w:rPr/>
            </w:pPr>
            <w:r>
              <w:rPr/>
              <w:t> </w:t>
            </w:r>
          </w:p>
        </w:tc>
      </w:tr>
      <w:tr>
        <w:trPr/>
        <w:tc>
          <w:tcPr>
            <w:tcW w:w="299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6,064</w:t>
            </w:r>
          </w:p>
        </w:tc>
        <w:tc>
          <w:tcPr>
            <w:tcW w:w="21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5,663</w:t>
            </w:r>
          </w:p>
        </w:tc>
        <w:tc>
          <w:tcPr>
            <w:tcW w:w="21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4,373</w:t>
            </w:r>
          </w:p>
        </w:tc>
        <w:tc>
          <w:tcPr>
            <w:tcW w:w="21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3,724</w:t>
            </w:r>
          </w:p>
        </w:tc>
        <w:tc>
          <w:tcPr>
            <w:tcW w:w="212"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3,488</w:t>
            </w:r>
          </w:p>
        </w:tc>
        <w:tc>
          <w:tcPr>
            <w:tcW w:w="21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14,160</w:t>
            </w:r>
          </w:p>
        </w:tc>
        <w:tc>
          <w:tcPr>
            <w:tcW w:w="21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37,472</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debt service payments, interest payments due on PAAs senior notes, interest payments on long-term borrowings outstanding under the AAP and PNG credit agreements and the commitment fee on assumed available capacity on the AAP, PAA and PNG revolving credit facilities. Although there are outstanding short-term borrowings on the AAP, PAA and PNG revolving credit facilities and the commercial paper program at September 30, 2013, we historically repay and borrow at varying amounts.  As such, we have included only the maximum commitment fee (as if no short-term borrowings were outstanding on the facilities) in the amounts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Leases are primarily for (i) surface rentals, (ii) office rent, (iii) pipeline assets and (iv) trucks, trailers and railcars.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(i) other long-term liabilities, (ii) storage and transportation agreements and (iii) commitments related to our capital expansion projects, including projected contributions for our share of the capital spending of our equity-method investments.  Excludes a long-term liability of approximately $2 million related to derivative activity included in Crude oil, natural gas, NGL and other purchases.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Amounts are primarily based on estimated volumes and market prices based on average activity during September 2013.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Letters of Credit.</w:t>
      </w:r>
      <w:r>
        <w:rPr>
          <w:rFonts w:ascii="Times New Roman" w:hAnsi="Times New Roman"/>
        </w:rPr>
        <w:t xml:space="preserve">  </w:t>
      </w:r>
      <w:r>
        <w:rPr>
          <w:rFonts w:ascii="Times New Roman" w:hAnsi="Times New Roman"/>
          <w:sz w:val="17"/>
        </w:rPr>
        <w:t>In connection with our crude oil supply and logistics activities, we provide certain suppliers with irrevocable standby letters of 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Additionally, we issue letters of credit to support insurance programs and construction activities.  At September 30, 2013 and December 31, 2012, we had outstanding letters of credit of approximately $42 million and $24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no off-balance sheet arrangements as defined by Item 303 of Regulation S-K.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72" w:name="PB_46_155128_2897"/>
      <w:bookmarkEnd w:id="7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2 to our condensed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additional discussion regarding our critical accounting policies and estimates, see Critical Accounting Policies and Estimates in the Final Prospectus.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pay distributions to our Class A shareholders;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expected receipt of, and the amount of, distributions from AAP;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or delays in implementing or capitalizing,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occurrence of a natural disaster, catastrophe, terrorist attack or other event, including attacks on our electronic and computer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tightened capital markets or other factors that increase our cost of capital or limit our access to capital;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PAAs credit rating and ability to receive open credit from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w:t>
      </w:r>
      <w:r>
        <w:rPr>
          <w:rFonts w:ascii="Times New Roman" w:hAnsi="Times New Roman"/>
        </w:rPr>
        <w:t xml:space="preserve"> </w:t>
      </w:r>
      <w:r>
        <w:rPr>
          <w:rFonts w:ascii="Times New Roman" w:hAnsi="Times New Roman"/>
          <w:sz w:val="17"/>
        </w:rPr>
        <w:t>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bookmarkStart w:id="73" w:name="PB_47_155154_3020"/>
      <w:bookmarkEnd w:id="7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non-utilization of our assets and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PAAs units at the time of vesting under its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our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factors described herein, as well as factors that are unknown or unpredictable, could also have a material adverse effect on future results.  Please read Risk Factors discussed in the Final Prospectus.  Except as required by applicable securities laws, we do not intend to update these forward-looking statements and information.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3.  QUANTITATIVE AND QUALITATIVE DISCLOSURES ABOUT MARKET RISK</w:t>
      </w:r>
      <w:bookmarkStart w:id="74" w:name="Item3_QuantitativeAndQualitativeD_155202"/>
      <w:bookmarkEnd w:id="7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derivative instruments to hedge commodity price risk associated with the following commodities: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Crude oil and refined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bookmarkStart w:id="75" w:name="PB_48_155211_7748"/>
      <w:bookmarkEnd w:id="7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Natural gas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NGL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NGL derivatives, primarily butane and propane derivatives, to hedge commodity price risk inherent in our Supply and Logistics segment. Our objectives for these derivatives include hedging anticipated purchases and sales.  We manage these exposures with various instruments including exchange-traded and over-the-counter futures, forwards, swaps and options.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10 to our condensed consolidated financial statements for further discussion regarding our hedging strategies and objectives.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our commodity derivatives and the change in fair value as of September 30, 2013 that would be expected from a 10% price increase or decrease is shown in the table below (in millions):</w:t>
      </w:r>
    </w:p>
    <w:p>
      <w:pPr>
        <w:pStyle w:val="TextBody"/>
        <w:spacing w:before="0" w:after="0"/>
        <w:ind w:left="0" w:right="0" w:hanging="0"/>
        <w:rPr/>
      </w:pPr>
      <w:r>
        <w:rPr/>
        <w:t> </w:t>
      </w:r>
    </w:p>
    <w:tbl>
      <w:tblPr>
        <w:tblW w:w="4900" w:type="pct"/>
        <w:jc w:val="left"/>
        <w:tblInd w:w="0" w:type="dxa"/>
        <w:tblCellMar>
          <w:top w:w="0" w:type="dxa"/>
          <w:left w:w="0" w:type="dxa"/>
          <w:bottom w:w="0" w:type="dxa"/>
          <w:right w:w="0" w:type="dxa"/>
        </w:tblCellMar>
      </w:tblPr>
      <w:tblGrid>
        <w:gridCol w:w="4844"/>
        <w:gridCol w:w="205"/>
        <w:gridCol w:w="217"/>
        <w:gridCol w:w="1138"/>
        <w:gridCol w:w="219"/>
        <w:gridCol w:w="260"/>
        <w:gridCol w:w="1242"/>
        <w:gridCol w:w="219"/>
        <w:gridCol w:w="263"/>
        <w:gridCol w:w="1249"/>
        <w:gridCol w:w="144"/>
      </w:tblGrid>
      <w:tr>
        <w:trPr/>
        <w:tc>
          <w:tcPr>
            <w:tcW w:w="4844"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355" w:type="dxa"/>
            <w:gridSpan w:val="2"/>
            <w:tcBorders/>
            <w:shd w:fill="auto" w:val="clear"/>
            <w:vAlign w:val="bottom"/>
          </w:tcPr>
          <w:p>
            <w:pPr>
              <w:pStyle w:val="TableContents"/>
              <w:spacing w:before="0" w:after="0"/>
              <w:ind w:left="0" w:right="0" w:hanging="0"/>
              <w:jc w:val="center"/>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150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219" w:type="dxa"/>
            <w:tcBorders/>
            <w:shd w:fill="auto" w:val="clear"/>
            <w:vAlign w:val="bottom"/>
          </w:tcPr>
          <w:p>
            <w:pPr>
              <w:pStyle w:val="TableContents"/>
              <w:spacing w:before="0" w:after="0"/>
              <w:ind w:left="0" w:right="0" w:hanging="0"/>
              <w:jc w:val="center"/>
              <w:rPr/>
            </w:pPr>
            <w:r>
              <w:rPr/>
              <w:t> </w:t>
            </w:r>
          </w:p>
        </w:tc>
        <w:tc>
          <w:tcPr>
            <w:tcW w:w="151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144" w:type="dxa"/>
            <w:tcBorders/>
            <w:shd w:fill="auto" w:val="clear"/>
            <w:vAlign w:val="bottom"/>
          </w:tcPr>
          <w:p>
            <w:pPr>
              <w:pStyle w:val="TableContents"/>
              <w:spacing w:before="0" w:after="0"/>
              <w:ind w:left="0" w:right="0" w:hanging="0"/>
              <w:jc w:val="center"/>
              <w:rPr/>
            </w:pPr>
            <w:r>
              <w:rPr/>
              <w:t> </w:t>
            </w:r>
          </w:p>
        </w:tc>
      </w:tr>
      <w:tr>
        <w:trPr/>
        <w:tc>
          <w:tcPr>
            <w:tcW w:w="4844"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19" w:type="dxa"/>
            <w:tcBorders/>
            <w:shd w:fill="auto" w:val="clear"/>
            <w:vAlign w:val="bottom"/>
          </w:tcPr>
          <w:p>
            <w:pPr>
              <w:pStyle w:val="TableContents"/>
              <w:spacing w:before="0" w:after="0"/>
              <w:ind w:left="0" w:right="0" w:hanging="0"/>
              <w:jc w:val="center"/>
              <w:rPr/>
            </w:pPr>
            <w:r>
              <w:rPr/>
              <w:t> </w:t>
            </w:r>
          </w:p>
        </w:tc>
        <w:tc>
          <w:tcPr>
            <w:tcW w:w="15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Increase</w:t>
            </w:r>
          </w:p>
        </w:tc>
        <w:tc>
          <w:tcPr>
            <w:tcW w:w="219" w:type="dxa"/>
            <w:tcBorders/>
            <w:shd w:fill="auto" w:val="clear"/>
            <w:vAlign w:val="bottom"/>
          </w:tcPr>
          <w:p>
            <w:pPr>
              <w:pStyle w:val="TableContents"/>
              <w:spacing w:before="0" w:after="0"/>
              <w:ind w:left="0" w:right="0" w:hanging="0"/>
              <w:jc w:val="center"/>
              <w:rPr/>
            </w:pPr>
            <w:r>
              <w:rPr/>
              <w:t> </w:t>
            </w:r>
          </w:p>
        </w:tc>
        <w:tc>
          <w:tcPr>
            <w:tcW w:w="15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Decrease</w:t>
            </w:r>
          </w:p>
        </w:tc>
        <w:tc>
          <w:tcPr>
            <w:tcW w:w="144" w:type="dxa"/>
            <w:tcBorders/>
            <w:shd w:fill="auto" w:val="clear"/>
            <w:vAlign w:val="bottom"/>
          </w:tcPr>
          <w:p>
            <w:pPr>
              <w:pStyle w:val="TableContents"/>
              <w:spacing w:before="0" w:after="0"/>
              <w:ind w:left="0" w:right="0" w:hanging="0"/>
              <w:jc w:val="center"/>
              <w:rPr/>
            </w:pPr>
            <w:r>
              <w:rPr/>
              <w:t> </w:t>
            </w:r>
          </w:p>
        </w:tc>
      </w:tr>
      <w:tr>
        <w:trPr/>
        <w:tc>
          <w:tcPr>
            <w:tcW w:w="48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and related products </w:t>
            </w:r>
          </w:p>
        </w:tc>
        <w:tc>
          <w:tcPr>
            <w:tcW w:w="205"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9" w:type="dxa"/>
            <w:tcBorders/>
            <w:shd w:fill="CCEEFF" w:val="clear"/>
            <w:vAlign w:val="bottom"/>
          </w:tcPr>
          <w:p>
            <w:pPr>
              <w:pStyle w:val="TableContents"/>
              <w:spacing w:before="0" w:after="0"/>
              <w:ind w:left="0" w:right="0" w:hanging="0"/>
              <w:rPr/>
            </w:pPr>
            <w:r>
              <w:rPr/>
              <w:t> </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8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Natural gas </w:t>
            </w:r>
          </w:p>
        </w:tc>
        <w:tc>
          <w:tcPr>
            <w:tcW w:w="205" w:type="dxa"/>
            <w:tcBorders/>
            <w:shd w:fill="auto" w:val="clear"/>
            <w:vAlign w:val="bottom"/>
          </w:tcPr>
          <w:p>
            <w:pPr>
              <w:pStyle w:val="TableContents"/>
              <w:spacing w:before="0" w:after="0"/>
              <w:ind w:left="0" w:right="0" w:hanging="0"/>
              <w:rPr/>
            </w:pPr>
            <w:r>
              <w:rPr/>
              <w:t> </w:t>
            </w:r>
          </w:p>
        </w:tc>
        <w:tc>
          <w:tcPr>
            <w:tcW w:w="13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44" w:type="dxa"/>
            <w:tcBorders/>
            <w:shd w:fill="auto" w:val="clear"/>
            <w:vAlign w:val="bottom"/>
          </w:tcPr>
          <w:p>
            <w:pPr>
              <w:pStyle w:val="TableContents"/>
              <w:spacing w:before="0" w:after="0"/>
              <w:ind w:left="0" w:right="0" w:hanging="0"/>
              <w:rPr/>
            </w:pPr>
            <w:r>
              <w:rPr/>
              <w:t> </w:t>
            </w:r>
          </w:p>
        </w:tc>
      </w:tr>
      <w:tr>
        <w:trPr/>
        <w:tc>
          <w:tcPr>
            <w:tcW w:w="48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and other </w:t>
            </w:r>
          </w:p>
        </w:tc>
        <w:tc>
          <w:tcPr>
            <w:tcW w:w="205" w:type="dxa"/>
            <w:tcBorders/>
            <w:shd w:fill="CCEEFF" w:val="clear"/>
            <w:vAlign w:val="bottom"/>
          </w:tcPr>
          <w:p>
            <w:pPr>
              <w:pStyle w:val="TableContents"/>
              <w:spacing w:before="0" w:after="0"/>
              <w:ind w:left="0" w:right="0" w:hanging="0"/>
              <w:rPr/>
            </w:pPr>
            <w:r>
              <w:rPr/>
              <w:t> </w:t>
            </w:r>
          </w:p>
        </w:tc>
        <w:tc>
          <w:tcPr>
            <w:tcW w:w="13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9"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44" w:type="dxa"/>
            <w:tcBorders/>
            <w:shd w:fill="CCEEFF" w:val="clear"/>
            <w:vAlign w:val="bottom"/>
          </w:tcPr>
          <w:p>
            <w:pPr>
              <w:pStyle w:val="TableContents"/>
              <w:spacing w:before="0" w:after="0"/>
              <w:ind w:left="0" w:right="0" w:hanging="0"/>
              <w:rPr/>
            </w:pPr>
            <w:r>
              <w:rPr/>
              <w:t> </w:t>
            </w:r>
          </w:p>
        </w:tc>
      </w:tr>
      <w:tr>
        <w:trPr/>
        <w:tc>
          <w:tcPr>
            <w:tcW w:w="48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fair value </w:t>
            </w:r>
          </w:p>
        </w:tc>
        <w:tc>
          <w:tcPr>
            <w:tcW w:w="205" w:type="dxa"/>
            <w:tcBorders/>
            <w:shd w:fill="auto" w:val="clear"/>
            <w:vAlign w:val="bottom"/>
          </w:tcPr>
          <w:p>
            <w:pPr>
              <w:pStyle w:val="TableContents"/>
              <w:spacing w:before="0" w:after="0"/>
              <w:ind w:left="0" w:right="0" w:hanging="0"/>
              <w:rPr/>
            </w:pPr>
            <w:r>
              <w:rPr/>
              <w:t> </w:t>
            </w:r>
          </w:p>
        </w:tc>
        <w:tc>
          <w:tcPr>
            <w:tcW w:w="2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2"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14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PAAs senior notes are fixed rate notes and thus are not subject to interest rate risk. The majority of our variable rate debt at September 30, 2013, approximately $1.07 billion (which excludes $100 million of variable rate debt when giving consideration to PNG interest rate derivatives that swap floating-rate debt for fixed), is subject to interest rate re-sets, which range from one week to three months. The average interest rate of approximately 1.7% is based upon rates in effect during the nine months ended September 30, 2013 without giving consideration to our interest rate swaps. The fair value of our interest rate derivatives is an unrealized gain of approximately $16 million as of September 30, 2013. A 10% increase in the forward LIBOR curve as of September 30, 2013 would result in an increase of approximately $18 million to the fair value of our interest rate derivatives. A 10% decrease in the forward LIBOR curve as of September 30, 2013 would result in a decrease of approximately $18 million to the fair value of our interest rate derivatives. See Note 10 to our condensed consolidated financial statements for a discussion of our interest rate risk hedging activities.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bookmarkStart w:id="76" w:name="PB_49_155308_141"/>
      <w:bookmarkEnd w:id="7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4.  CONTROLS AND PROCEDURES</w:t>
      </w:r>
      <w:bookmarkStart w:id="77" w:name="Item4_ControlsAndProcedures_155310"/>
      <w:bookmarkEnd w:id="77"/>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Disclosure Controls and Procedures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Changes in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information concerning our DCP, we are required to disclose certain changes in our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Certifications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bookmarkStart w:id="78" w:name="PB_50_155342_7608"/>
      <w:bookmarkEnd w:id="7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 OTHER INFORMATION</w:t>
      </w:r>
      <w:bookmarkStart w:id="79" w:name="Partii_OtherInformation_155549"/>
      <w:bookmarkEnd w:id="79"/>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LEGAL PROCEEDINGS</w:t>
      </w:r>
      <w:bookmarkStart w:id="80" w:name="Item1_LegalProceedings_155551"/>
      <w:bookmarkEnd w:id="8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information required by this item is included under the caption Litigation in Note 11 to our condensed consolidated financial statements, and is incorporated herein by reference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1A.</w:t>
      </w:r>
      <w:r>
        <w:rPr>
          <w:rFonts w:ascii="Times New Roman" w:hAnsi="Times New Roman"/>
        </w:rPr>
        <w:t xml:space="preserve">                         </w:t>
      </w:r>
      <w:r>
        <w:rPr>
          <w:rFonts w:ascii="Times New Roman" w:hAnsi="Times New Roman"/>
          <w:b/>
          <w:sz w:val="17"/>
        </w:rPr>
        <w:t>RISK FACTORS</w:t>
      </w:r>
      <w:bookmarkStart w:id="81" w:name="Item1a_RiskFactors_155555"/>
      <w:bookmarkEnd w:id="81"/>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other information set forth in this report, careful consideration should be given to the risk factors discussed in the Risk Factors section of the Final Prospectus. There have been no material changes to the risk factors previously disclosed in the Final Prospectus.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w:t>
      </w:r>
      <w:r>
        <w:rPr>
          <w:rFonts w:ascii="Times New Roman" w:hAnsi="Times New Roman"/>
        </w:rPr>
        <w:t xml:space="preserve">                                  </w:t>
      </w:r>
      <w:r>
        <w:rPr>
          <w:rFonts w:ascii="Times New Roman" w:hAnsi="Times New Roman"/>
          <w:b/>
          <w:sz w:val="17"/>
        </w:rPr>
        <w:t>UNREGISTERED SALES OF EQUITY SECURITIES AND USE OF PROCEEDS</w:t>
      </w:r>
      <w:bookmarkStart w:id="82" w:name="Item2_UnregisteredSalesOfEquitySe_155557"/>
      <w:bookmarkEnd w:id="82"/>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Recent Sales of Unregistered Securities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closing of its IPO, PAGP issued its Class B Shares to the existing owners of AAP (through PAGPs general partner) as partial consideration for their contribution of member interests in GP LLC to PAGP (through PAGPs general partner). The issuance of these Class B Shares was not required to be registered under the Securities Act of 1933, as amended (the Securities Act) because the shares were offered and sold in a transaction exempt from registration requirements of the Securities Act pursuant to Section 4(2) thereof.</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Use of Proceeds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October 16, 2013, PAGP commenced the initial public offering of its common units pursuant to its Registration Statement on Form S-1, Commission File No. 333-190227, which was declared effective by the Securities and Exchange Commission on October 15, 2013. Barclays Capital Inc., Goldman, Sachs &amp; Co., JP Morgan Securities LLC, Merrill Lynch, Pierce, Fenner &amp; Smith Incorporated, Citigroup Global Markets Inc., UBS Securities LLC and Wells Fargo Securities, LLC acted as joint book-running managers of the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October 2013, PAGP issued 132,382,094 Class A Shares, which included 4,382,094 Class A Shares issued pursuant to partial exercise of the underwriters over-allotment option, at a price per unit of $22.00. After deducting underwriting discounts and commissions of approximately $87 million paid to the underwriters, estimated offering expenses of approximately $5 million, the net proceeds from the IPO were approximately $2.8 billion. PAGP distributed all of the net proceeds to the existing owners of AAP who sold a portion of their interests in us in connection with the offering.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DEFAULTS UPON SENIOR SECURITIES</w:t>
      </w:r>
      <w:bookmarkStart w:id="83" w:name="Item3_DefaultsUponSeniorSecuritie_155636"/>
      <w:bookmarkEnd w:id="8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MINE SAFETY DISCLOSURES</w:t>
      </w:r>
      <w:bookmarkStart w:id="84" w:name="Item4_MineSafetyDisclosures_155641"/>
      <w:bookmarkEnd w:id="84"/>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5.</w:t>
      </w:r>
      <w:r>
        <w:rPr>
          <w:rFonts w:ascii="Times New Roman" w:hAnsi="Times New Roman"/>
        </w:rPr>
        <w:t xml:space="preserve">                                  </w:t>
      </w:r>
      <w:r>
        <w:rPr>
          <w:rFonts w:ascii="Times New Roman" w:hAnsi="Times New Roman"/>
          <w:b/>
          <w:sz w:val="17"/>
        </w:rPr>
        <w:t>OTHER INFORMATION</w:t>
      </w:r>
      <w:bookmarkStart w:id="85" w:name="Item5_OtherInformation_155645"/>
      <w:bookmarkEnd w:id="8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6.</w:t>
      </w:r>
      <w:r>
        <w:rPr>
          <w:rFonts w:ascii="Times New Roman" w:hAnsi="Times New Roman"/>
        </w:rPr>
        <w:t xml:space="preserve">                                  </w:t>
      </w:r>
      <w:r>
        <w:rPr>
          <w:rFonts w:ascii="Times New Roman" w:hAnsi="Times New Roman"/>
          <w:b/>
          <w:sz w:val="17"/>
        </w:rPr>
        <w:t>EXHIBITS</w:t>
      </w:r>
      <w:bookmarkStart w:id="86" w:name="Item6_Exhibits_155648"/>
      <w:bookmarkEnd w:id="8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exhibits listed on the accompanying Exhibit Index are filed or incorporated by reference as part of this report, and such Exhibit Index is incorporated herein by reference.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51</w:t>
      </w:r>
      <w:bookmarkStart w:id="87" w:name="PB_51_155654_8146"/>
      <w:bookmarkEnd w:id="8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bookmarkStart w:id="88" w:name="Signatures_160120"/>
      <w:bookmarkEnd w:id="88"/>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411"/>
        <w:gridCol w:w="4640"/>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 its general partner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22, 2013</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Greg L. Armstrong</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Greg L. Armstrong, </w:t>
            </w:r>
            <w:r>
              <w:rPr>
                <w:rFonts w:ascii="Times New Roman" w:hAnsi="Times New Roman"/>
                <w:i/>
                <w:sz w:val="17"/>
              </w:rPr>
              <w:t>Chairman of the Board,</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Executive Officer and Director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Executive Officer)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22, 2013</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Al Swanson</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Al Swanson, </w:t>
            </w:r>
            <w:r>
              <w:rPr>
                <w:rFonts w:ascii="Times New Roman" w:hAnsi="Times New Roman"/>
                <w:i/>
                <w:sz w:val="17"/>
              </w:rPr>
              <w:t>Executive Vice President and</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Financial Officer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Financial Officer)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22, 2013</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Chris Herbold</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Chris Herbold, </w:t>
            </w:r>
            <w:r>
              <w:rPr>
                <w:rFonts w:ascii="Times New Roman" w:hAnsi="Times New Roman"/>
                <w:i/>
                <w:sz w:val="17"/>
              </w:rPr>
              <w:t>Vice President- Accounting and</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Accounting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52</w:t>
      </w:r>
      <w:bookmarkStart w:id="89" w:name="PB_52_160125_7091"/>
      <w:bookmarkEnd w:id="8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36"/>
        <w:gridCol w:w="207"/>
        <w:gridCol w:w="415"/>
        <w:gridCol w:w="207"/>
        <w:gridCol w:w="8440"/>
      </w:tblGrid>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Limited Partnership of Plains GP Holdings, L.P. (incorporated by reference to Exhibit 3.1 to the Registration Statement on Form S-1 (333-190227) filed July 29, 2013).</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Amended and Restated Agreement of Limited Partnership of Plains GP Holdings, L.P. dated as of October 21, 2013 (incorporated by reference to Exhibit 3.1 to the Current Report on Form 8-K filed October 25, 2013).</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Formation of PAA GP Holdings LLC (incorporated by reference to Exhibit 3.3 to the Registration Statement on Form S-1 (333-190227) filed July 29, 2013).</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Amended and Restated Limited Liability Company Agreement of PAA GP Holdings LLC dated as of October 21, 2013 (incorporated by reference to Exhibit 3.2 to the Current Report on Form 8-K filed October 25, 2013).</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Seventh Amended and Restated Limited Partnership Agreement of Plains AAP, L.P. dated as of October 21, 2013 (incorporated by reference to Exhibit 3.3 to the Current Report on Form 8-K filed October 25, 2013).</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Amended and Restated Limited Liability Company Agreement of Plains All American GP LLC dated as of October 21, 2013 (incorporated by reference to Exhibit 3.4 to the Current Report on Form 8-K filed October 25, 2013).</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Shareholder and Registration Rights Agreement dated October 21, 2013 by and among Plains GP Holdings, L.P. and the parties listed therein (incorporated by reference to Exhibit 4.1 to the Current Report on Form 8-K filed October 25, 2013).</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rFonts w:ascii="Times New Roman" w:hAnsi="Times New Roman"/>
                <w:sz w:val="17"/>
              </w:rPr>
              <w:t xml:space="preserve">Administrative Agreement dated October 21, 2013 by and among Plains GP Holdings, L.P., PAA GP Holdings LLC, Plains All American Pipeline, L.P. and Plains All American GP LLC </w:t>
            </w:r>
            <w:r>
              <w:rPr>
                <w:sz w:val="17"/>
              </w:rPr>
              <w:t>(incorporated by reference to Exhibit 10.1 to the Current Report on Form 8-K filed October 25, 2013).</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rFonts w:ascii="Times New Roman" w:hAnsi="Times New Roman"/>
                <w:sz w:val="17"/>
              </w:rPr>
              <w:t xml:space="preserve">Contribution Agreement dated October 21, 2013 by and among Plains GP Holdings, L.P., PAA GP Holdings LLC and the Other Parties signatory thereto </w:t>
            </w:r>
            <w:r>
              <w:rPr>
                <w:sz w:val="17"/>
              </w:rPr>
              <w:t>(incorporated by reference to Exhibit 10.2 to the Current Report on Form 8-K filed October 25, 2013).</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10.3*</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rFonts w:ascii="Times New Roman" w:hAnsi="Times New Roman"/>
                <w:sz w:val="17"/>
              </w:rPr>
              <w:t xml:space="preserve">Plains GP Holdings, L.P. Long-Term Incentive Plan </w:t>
            </w:r>
            <w:r>
              <w:rPr>
                <w:sz w:val="17"/>
              </w:rPr>
              <w:t>(incorporated by reference to Exhibit 10.3 to the Current Report on Form 8-K filed October 25, 2013).</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10.4*</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rFonts w:ascii="Times New Roman" w:hAnsi="Times New Roman"/>
                <w:sz w:val="17"/>
              </w:rPr>
              <w:t xml:space="preserve">Waiver Agreement dated October 21, 2013 to the Amended and Restated Employment Agreement dated June 30, 2001 of Greg L. Armstrong </w:t>
            </w:r>
            <w:r>
              <w:rPr>
                <w:sz w:val="17"/>
              </w:rPr>
              <w:t>(incorporated by reference to Exhibit 10.4 to the Current Report on Form 8-K filed October 25, 2013).</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10.5*</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rFonts w:ascii="Times New Roman" w:hAnsi="Times New Roman"/>
                <w:sz w:val="17"/>
              </w:rPr>
              <w:t xml:space="preserve">Waiver Agreement dated October 21, 2013 to the Amended and Restated Employment Agreement dated June 30, 2001 of Harry N. Pefanis </w:t>
            </w:r>
            <w:r>
              <w:rPr>
                <w:sz w:val="17"/>
              </w:rPr>
              <w:t>(incorporated by reference to Exhibit 10.5 to the Current Report on Form 8-K filed October 25, 2013).</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10.6*</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rFonts w:ascii="Times New Roman" w:hAnsi="Times New Roman"/>
                <w:sz w:val="17"/>
              </w:rPr>
              <w:t xml:space="preserve">Form of First Amendment to the Plains AAP, L.P. Class B Restricted Units Agreement, dated October 18, 2013 </w:t>
            </w:r>
            <w:r>
              <w:rPr>
                <w:sz w:val="17"/>
              </w:rPr>
              <w:t>(incorporated by reference to Exhibit 10.6 to the Current Report on Form 8-K filed October 25, 2013).</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12.1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936"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31.2 </w:t>
            </w:r>
          </w:p>
        </w:tc>
        <w:tc>
          <w:tcPr>
            <w:tcW w:w="207" w:type="dxa"/>
            <w:tcBorders/>
            <w:shd w:fill="auto" w:val="clear"/>
            <w:vAlign w:val="bottom"/>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84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37"/>
        <w:gridCol w:w="206"/>
        <w:gridCol w:w="414"/>
        <w:gridCol w:w="206"/>
        <w:gridCol w:w="8442"/>
      </w:tblGrid>
      <w:tr>
        <w:trPr/>
        <w:tc>
          <w:tcPr>
            <w:tcW w:w="9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32.1 </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93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pPr>
            <w:r>
              <w:rPr/>
              <w:t> </w:t>
            </w:r>
          </w:p>
        </w:tc>
      </w:tr>
      <w:tr>
        <w:trPr/>
        <w:tc>
          <w:tcPr>
            <w:tcW w:w="9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32.2 </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93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pPr>
            <w:r>
              <w:rPr/>
              <w:t> </w:t>
            </w:r>
          </w:p>
        </w:tc>
      </w:tr>
      <w:tr>
        <w:trPr/>
        <w:tc>
          <w:tcPr>
            <w:tcW w:w="9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101.INS</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Instance Document</w:t>
            </w:r>
          </w:p>
        </w:tc>
      </w:tr>
      <w:tr>
        <w:trPr/>
        <w:tc>
          <w:tcPr>
            <w:tcW w:w="93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pPr>
            <w:r>
              <w:rPr/>
              <w:t> </w:t>
            </w:r>
          </w:p>
        </w:tc>
      </w:tr>
      <w:tr>
        <w:trPr/>
        <w:tc>
          <w:tcPr>
            <w:tcW w:w="9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101.SCH</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Schema Document</w:t>
            </w:r>
          </w:p>
        </w:tc>
      </w:tr>
      <w:tr>
        <w:trPr/>
        <w:tc>
          <w:tcPr>
            <w:tcW w:w="93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pPr>
            <w:r>
              <w:rPr/>
              <w:t> </w:t>
            </w:r>
          </w:p>
        </w:tc>
      </w:tr>
      <w:tr>
        <w:trPr/>
        <w:tc>
          <w:tcPr>
            <w:tcW w:w="9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101.CAL</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Calculation Linkbase Document</w:t>
            </w:r>
          </w:p>
        </w:tc>
      </w:tr>
      <w:tr>
        <w:trPr/>
        <w:tc>
          <w:tcPr>
            <w:tcW w:w="93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pPr>
            <w:r>
              <w:rPr/>
              <w:t> </w:t>
            </w:r>
          </w:p>
        </w:tc>
      </w:tr>
      <w:tr>
        <w:trPr/>
        <w:tc>
          <w:tcPr>
            <w:tcW w:w="9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101.DEF</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Definition Linkbase Document</w:t>
            </w:r>
          </w:p>
        </w:tc>
      </w:tr>
      <w:tr>
        <w:trPr/>
        <w:tc>
          <w:tcPr>
            <w:tcW w:w="93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pPr>
            <w:r>
              <w:rPr/>
              <w:t> </w:t>
            </w:r>
          </w:p>
        </w:tc>
      </w:tr>
      <w:tr>
        <w:trPr/>
        <w:tc>
          <w:tcPr>
            <w:tcW w:w="9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101.LAB</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Label Linkbase Document</w:t>
            </w:r>
          </w:p>
        </w:tc>
      </w:tr>
      <w:tr>
        <w:trPr/>
        <w:tc>
          <w:tcPr>
            <w:tcW w:w="937"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pPr>
            <w:r>
              <w:rPr/>
              <w:t> </w:t>
            </w:r>
          </w:p>
        </w:tc>
      </w:tr>
      <w:tr>
        <w:trPr/>
        <w:tc>
          <w:tcPr>
            <w:tcW w:w="9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101.PRE</w:t>
            </w:r>
          </w:p>
        </w:tc>
        <w:tc>
          <w:tcPr>
            <w:tcW w:w="206" w:type="dxa"/>
            <w:tcBorders/>
            <w:shd w:fill="auto" w:val="clear"/>
            <w:vAlign w:val="bottom"/>
          </w:tcPr>
          <w:p>
            <w:pPr>
              <w:pStyle w:val="TableContents"/>
              <w:spacing w:before="0" w:after="0"/>
              <w:ind w:left="0" w:right="0" w:hanging="0"/>
              <w:rPr/>
            </w:pPr>
            <w:r>
              <w:rPr/>
              <w:t> </w:t>
            </w:r>
          </w:p>
        </w:tc>
        <w:tc>
          <w:tcPr>
            <w:tcW w:w="4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8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Presentation Linkbase Document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Filed herewith.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Furnished herewith.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Management compensatory plan or arrangement.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0" w:name="a13-22383_1ex12d1.htm"/>
      <w:bookmarkStart w:id="91" w:name="ksa1322383_1ex12d1"/>
      <w:bookmarkEnd w:id="90"/>
      <w:bookmarkEnd w:id="91"/>
      <w:r>
        <w:rPr>
          <w:rFonts w:ascii="Times New Roman" w:hAnsi="Times New Roman"/>
          <w:b/>
          <w:sz w:val="17"/>
        </w:rPr>
        <w:t>EXHIBIT 12.1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STATEMENT OF COMPUTATION OF RATIO OF EARNINGS TO FIXED CHARGES</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498"/>
        <w:gridCol w:w="195"/>
        <w:gridCol w:w="167"/>
        <w:gridCol w:w="1070"/>
        <w:gridCol w:w="220"/>
        <w:gridCol w:w="137"/>
        <w:gridCol w:w="709"/>
        <w:gridCol w:w="220"/>
        <w:gridCol w:w="137"/>
        <w:gridCol w:w="709"/>
        <w:gridCol w:w="220"/>
        <w:gridCol w:w="137"/>
        <w:gridCol w:w="640"/>
        <w:gridCol w:w="220"/>
        <w:gridCol w:w="137"/>
        <w:gridCol w:w="641"/>
        <w:gridCol w:w="220"/>
        <w:gridCol w:w="137"/>
        <w:gridCol w:w="641"/>
        <w:gridCol w:w="150"/>
      </w:tblGrid>
      <w:tr>
        <w:trPr/>
        <w:tc>
          <w:tcPr>
            <w:tcW w:w="3498"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23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20" w:type="dxa"/>
            <w:tcBorders/>
            <w:shd w:fill="auto" w:val="clear"/>
            <w:vAlign w:val="bottom"/>
          </w:tcPr>
          <w:p>
            <w:pPr>
              <w:pStyle w:val="TableContents"/>
              <w:spacing w:before="0" w:after="0"/>
              <w:ind w:left="0" w:right="0" w:hanging="0"/>
              <w:jc w:val="center"/>
              <w:rPr/>
            </w:pPr>
            <w:r>
              <w:rPr/>
              <w:t> </w:t>
            </w:r>
          </w:p>
        </w:tc>
        <w:tc>
          <w:tcPr>
            <w:tcW w:w="846"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846"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777"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778"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778" w:type="dxa"/>
            <w:gridSpan w:val="2"/>
            <w:tcBorders/>
            <w:shd w:fill="auto" w:val="clear"/>
            <w:vAlign w:val="bottom"/>
          </w:tcPr>
          <w:p>
            <w:pPr>
              <w:pStyle w:val="TableContents"/>
              <w:spacing w:before="0" w:after="0"/>
              <w:ind w:left="0" w:right="0" w:hanging="0"/>
              <w:jc w:val="center"/>
              <w:rPr/>
            </w:pPr>
            <w:r>
              <w:rPr/>
              <w:t> </w:t>
            </w:r>
          </w:p>
        </w:tc>
        <w:tc>
          <w:tcPr>
            <w:tcW w:w="150" w:type="dxa"/>
            <w:tcBorders/>
            <w:shd w:fill="auto" w:val="clear"/>
            <w:vAlign w:val="bottom"/>
          </w:tcPr>
          <w:p>
            <w:pPr>
              <w:pStyle w:val="TableContents"/>
              <w:spacing w:before="0" w:after="0"/>
              <w:ind w:left="0" w:right="0" w:hanging="0"/>
              <w:jc w:val="center"/>
              <w:rPr/>
            </w:pPr>
            <w:r>
              <w:rPr/>
              <w:t> </w:t>
            </w:r>
          </w:p>
        </w:tc>
      </w:tr>
      <w:tr>
        <w:trPr/>
        <w:tc>
          <w:tcPr>
            <w:tcW w:w="3498"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23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20" w:type="dxa"/>
            <w:tcBorders/>
            <w:shd w:fill="auto" w:val="clear"/>
            <w:vAlign w:val="bottom"/>
          </w:tcPr>
          <w:p>
            <w:pPr>
              <w:pStyle w:val="TableContents"/>
              <w:spacing w:before="0" w:after="0"/>
              <w:ind w:left="0" w:right="0" w:hanging="0"/>
              <w:jc w:val="center"/>
              <w:rPr/>
            </w:pPr>
            <w:r>
              <w:rPr/>
              <w:t> </w:t>
            </w:r>
          </w:p>
        </w:tc>
        <w:tc>
          <w:tcPr>
            <w:tcW w:w="846"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846"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777"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778"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778" w:type="dxa"/>
            <w:gridSpan w:val="2"/>
            <w:tcBorders/>
            <w:shd w:fill="auto" w:val="clear"/>
            <w:vAlign w:val="bottom"/>
          </w:tcPr>
          <w:p>
            <w:pPr>
              <w:pStyle w:val="TableContents"/>
              <w:spacing w:before="0" w:after="0"/>
              <w:ind w:left="0" w:right="0" w:hanging="0"/>
              <w:jc w:val="center"/>
              <w:rPr/>
            </w:pPr>
            <w:r>
              <w:rPr/>
              <w:t> </w:t>
            </w:r>
          </w:p>
        </w:tc>
        <w:tc>
          <w:tcPr>
            <w:tcW w:w="150" w:type="dxa"/>
            <w:tcBorders/>
            <w:shd w:fill="auto" w:val="clear"/>
            <w:vAlign w:val="bottom"/>
          </w:tcPr>
          <w:p>
            <w:pPr>
              <w:pStyle w:val="TableContents"/>
              <w:spacing w:before="0" w:after="0"/>
              <w:ind w:left="0" w:right="0" w:hanging="0"/>
              <w:jc w:val="center"/>
              <w:rPr/>
            </w:pPr>
            <w:r>
              <w:rPr/>
              <w:t> </w:t>
            </w:r>
          </w:p>
        </w:tc>
      </w:tr>
      <w:tr>
        <w:trPr/>
        <w:tc>
          <w:tcPr>
            <w:tcW w:w="3498"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20" w:type="dxa"/>
            <w:tcBorders/>
            <w:shd w:fill="auto" w:val="clear"/>
            <w:vAlign w:val="bottom"/>
          </w:tcPr>
          <w:p>
            <w:pPr>
              <w:pStyle w:val="TableContents"/>
              <w:spacing w:before="0" w:after="0"/>
              <w:ind w:left="0" w:right="0" w:hanging="0"/>
              <w:jc w:val="center"/>
              <w:rPr/>
            </w:pPr>
            <w:r>
              <w:rPr/>
              <w:t> </w:t>
            </w:r>
          </w:p>
        </w:tc>
        <w:tc>
          <w:tcPr>
            <w:tcW w:w="4905"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50" w:type="dxa"/>
            <w:tcBorders/>
            <w:shd w:fill="auto" w:val="clear"/>
            <w:vAlign w:val="bottom"/>
          </w:tcPr>
          <w:p>
            <w:pPr>
              <w:pStyle w:val="TableContents"/>
              <w:spacing w:before="0" w:after="0"/>
              <w:ind w:left="0" w:right="0" w:hanging="0"/>
              <w:jc w:val="center"/>
              <w:rPr/>
            </w:pPr>
            <w:r>
              <w:rPr/>
              <w:t> </w:t>
            </w:r>
          </w:p>
        </w:tc>
      </w:tr>
      <w:tr>
        <w:trPr/>
        <w:tc>
          <w:tcPr>
            <w:tcW w:w="3498"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0" w:type="dxa"/>
            <w:tcBorders/>
            <w:shd w:fill="auto" w:val="clear"/>
            <w:vAlign w:val="bottom"/>
          </w:tcPr>
          <w:p>
            <w:pPr>
              <w:pStyle w:val="TableContents"/>
              <w:spacing w:before="0" w:after="0"/>
              <w:ind w:left="0" w:right="0" w:hanging="0"/>
              <w:jc w:val="center"/>
              <w:rPr/>
            </w:pPr>
            <w:r>
              <w:rPr/>
              <w:t> </w:t>
            </w:r>
          </w:p>
        </w:tc>
        <w:tc>
          <w:tcPr>
            <w:tcW w:w="8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0" w:type="dxa"/>
            <w:tcBorders/>
            <w:shd w:fill="auto" w:val="clear"/>
            <w:vAlign w:val="bottom"/>
          </w:tcPr>
          <w:p>
            <w:pPr>
              <w:pStyle w:val="TableContents"/>
              <w:spacing w:before="0" w:after="0"/>
              <w:ind w:left="0" w:right="0" w:hanging="0"/>
              <w:jc w:val="center"/>
              <w:rPr/>
            </w:pPr>
            <w:r>
              <w:rPr/>
              <w:t> </w:t>
            </w:r>
          </w:p>
        </w:tc>
        <w:tc>
          <w:tcPr>
            <w:tcW w:w="8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0" w:type="dxa"/>
            <w:tcBorders/>
            <w:shd w:fill="auto" w:val="clear"/>
            <w:vAlign w:val="bottom"/>
          </w:tcPr>
          <w:p>
            <w:pPr>
              <w:pStyle w:val="TableContents"/>
              <w:spacing w:before="0" w:after="0"/>
              <w:ind w:left="0" w:right="0" w:hanging="0"/>
              <w:jc w:val="center"/>
              <w:rPr/>
            </w:pPr>
            <w:r>
              <w:rPr/>
              <w:t> </w:t>
            </w:r>
          </w:p>
        </w:tc>
        <w:tc>
          <w:tcPr>
            <w:tcW w:w="7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0" w:type="dxa"/>
            <w:tcBorders/>
            <w:shd w:fill="auto" w:val="clear"/>
            <w:vAlign w:val="bottom"/>
          </w:tcPr>
          <w:p>
            <w:pPr>
              <w:pStyle w:val="TableContents"/>
              <w:spacing w:before="0" w:after="0"/>
              <w:ind w:left="0" w:right="0" w:hanging="0"/>
              <w:jc w:val="center"/>
              <w:rPr/>
            </w:pPr>
            <w:r>
              <w:rPr/>
              <w:t> </w:t>
            </w:r>
          </w:p>
        </w:tc>
        <w:tc>
          <w:tcPr>
            <w:tcW w:w="7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0" w:type="dxa"/>
            <w:tcBorders/>
            <w:shd w:fill="auto" w:val="clear"/>
            <w:vAlign w:val="bottom"/>
          </w:tcPr>
          <w:p>
            <w:pPr>
              <w:pStyle w:val="TableContents"/>
              <w:spacing w:before="0" w:after="0"/>
              <w:ind w:left="0" w:right="0" w:hanging="0"/>
              <w:jc w:val="center"/>
              <w:rPr/>
            </w:pPr>
            <w:r>
              <w:rPr/>
              <w:t> </w:t>
            </w:r>
          </w:p>
        </w:tc>
        <w:tc>
          <w:tcPr>
            <w:tcW w:w="7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50" w:type="dxa"/>
            <w:tcBorders/>
            <w:shd w:fill="auto" w:val="clear"/>
            <w:vAlign w:val="bottom"/>
          </w:tcPr>
          <w:p>
            <w:pPr>
              <w:pStyle w:val="TableContents"/>
              <w:spacing w:before="0" w:after="0"/>
              <w:ind w:left="0" w:right="0" w:hanging="0"/>
              <w:jc w:val="center"/>
              <w:rPr/>
            </w:pPr>
            <w:r>
              <w:rPr/>
              <w:t> </w:t>
            </w:r>
          </w:p>
        </w:tc>
      </w:tr>
      <w:tr>
        <w:trPr/>
        <w:tc>
          <w:tcPr>
            <w:tcW w:w="3498" w:type="dxa"/>
            <w:tcBorders/>
            <w:shd w:fill="CCEEFF" w:val="clear"/>
            <w:vAlign w:val="bottom"/>
          </w:tcPr>
          <w:p>
            <w:pPr>
              <w:pStyle w:val="TableContents"/>
              <w:spacing w:before="0" w:after="0"/>
              <w:ind w:left="0" w:right="0" w:hanging="0"/>
              <w:rPr/>
            </w:pPr>
            <w:r>
              <w:rPr>
                <w:rFonts w:ascii="Times New Roman" w:hAnsi="Times New Roman"/>
                <w:b/>
                <w:sz w:val="17"/>
              </w:rPr>
              <w:t xml:space="preserve">EARNINGS </w:t>
            </w:r>
            <w:r>
              <w:rPr>
                <w:b/>
                <w:sz w:val="11"/>
              </w:rPr>
              <w:t>(1)</w:t>
            </w:r>
          </w:p>
        </w:tc>
        <w:tc>
          <w:tcPr>
            <w:tcW w:w="195"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46"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46"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777"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778"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778" w:type="dxa"/>
            <w:gridSpan w:val="2"/>
            <w:tcBorders/>
            <w:shd w:fill="CCEEFF" w:val="clear"/>
            <w:vAlign w:val="bottom"/>
          </w:tcPr>
          <w:p>
            <w:pPr>
              <w:pStyle w:val="TableContents"/>
              <w:spacing w:before="0" w:after="0"/>
              <w:ind w:left="0" w:right="0" w:hanging="0"/>
              <w:jc w:val="right"/>
              <w:rPr/>
            </w:pPr>
            <w:r>
              <w:rPr/>
              <w:t> </w:t>
            </w:r>
          </w:p>
        </w:tc>
        <w:tc>
          <w:tcPr>
            <w:tcW w:w="150" w:type="dxa"/>
            <w:tcBorders/>
            <w:shd w:fill="CCEEFF" w:val="clear"/>
            <w:vAlign w:val="bottom"/>
          </w:tcPr>
          <w:p>
            <w:pPr>
              <w:pStyle w:val="TableContents"/>
              <w:spacing w:before="0" w:after="0"/>
              <w:ind w:left="0" w:right="0" w:hanging="0"/>
              <w:rPr/>
            </w:pPr>
            <w:r>
              <w:rPr/>
              <w:t> </w:t>
            </w:r>
          </w:p>
        </w:tc>
      </w:tr>
      <w:tr>
        <w:trPr/>
        <w:tc>
          <w:tcPr>
            <w:tcW w:w="3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Pre-tax income from continuing operations before noncontrolling interest and income from equity investees </w:t>
            </w:r>
          </w:p>
        </w:tc>
        <w:tc>
          <w:tcPr>
            <w:tcW w:w="195"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1,107</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1,135</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1,019</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499</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559</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422</w:t>
            </w:r>
          </w:p>
        </w:tc>
        <w:tc>
          <w:tcPr>
            <w:tcW w:w="150" w:type="dxa"/>
            <w:tcBorders/>
            <w:shd w:fill="auto" w:val="clear"/>
            <w:vAlign w:val="bottom"/>
          </w:tcPr>
          <w:p>
            <w:pPr>
              <w:pStyle w:val="TableContents"/>
              <w:spacing w:before="0" w:after="0"/>
              <w:ind w:left="0" w:right="0" w:hanging="0"/>
              <w:rPr/>
            </w:pPr>
            <w:r>
              <w:rPr/>
              <w:t> </w:t>
            </w:r>
          </w:p>
        </w:tc>
      </w:tr>
      <w:tr>
        <w:trPr/>
        <w:tc>
          <w:tcPr>
            <w:tcW w:w="34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add: Fixed charges </w:t>
            </w:r>
          </w:p>
        </w:tc>
        <w:tc>
          <w:tcPr>
            <w:tcW w:w="195"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220" w:type="dxa"/>
            <w:tcBorders/>
            <w:shd w:fill="CCEEFF" w:val="clear"/>
            <w:vAlign w:val="bottom"/>
          </w:tcPr>
          <w:p>
            <w:pPr>
              <w:pStyle w:val="TableContents"/>
              <w:spacing w:before="0" w:after="0"/>
              <w:ind w:left="0" w:right="0" w:hanging="0"/>
              <w:rPr/>
            </w:pPr>
            <w:r>
              <w:rPr/>
              <w:t> </w:t>
            </w:r>
          </w:p>
        </w:tc>
        <w:tc>
          <w:tcPr>
            <w:tcW w:w="8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w:t>
            </w:r>
          </w:p>
        </w:tc>
        <w:tc>
          <w:tcPr>
            <w:tcW w:w="220" w:type="dxa"/>
            <w:tcBorders/>
            <w:shd w:fill="CCEEFF" w:val="clear"/>
            <w:vAlign w:val="bottom"/>
          </w:tcPr>
          <w:p>
            <w:pPr>
              <w:pStyle w:val="TableContents"/>
              <w:spacing w:before="0" w:after="0"/>
              <w:ind w:left="0" w:right="0" w:hanging="0"/>
              <w:rPr/>
            </w:pPr>
            <w:r>
              <w:rPr/>
              <w:t> </w:t>
            </w:r>
          </w:p>
        </w:tc>
        <w:tc>
          <w:tcPr>
            <w:tcW w:w="8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20" w:type="dxa"/>
            <w:tcBorders/>
            <w:shd w:fill="CCEEFF" w:val="clear"/>
            <w:vAlign w:val="bottom"/>
          </w:tcPr>
          <w:p>
            <w:pPr>
              <w:pStyle w:val="TableContents"/>
              <w:spacing w:before="0" w:after="0"/>
              <w:ind w:left="0" w:right="0" w:hanging="0"/>
              <w:rPr/>
            </w:pPr>
            <w:r>
              <w:rPr/>
              <w:t> </w:t>
            </w:r>
          </w:p>
        </w:tc>
        <w:tc>
          <w:tcPr>
            <w:tcW w:w="7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20" w:type="dxa"/>
            <w:tcBorders/>
            <w:shd w:fill="CCEEFF" w:val="clear"/>
            <w:vAlign w:val="bottom"/>
          </w:tcPr>
          <w:p>
            <w:pPr>
              <w:pStyle w:val="TableContents"/>
              <w:spacing w:before="0" w:after="0"/>
              <w:ind w:left="0" w:right="0" w:hanging="0"/>
              <w:rPr/>
            </w:pPr>
            <w:r>
              <w:rPr/>
              <w:t> </w:t>
            </w:r>
          </w:p>
        </w:tc>
        <w:tc>
          <w:tcPr>
            <w:tcW w:w="7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20" w:type="dxa"/>
            <w:tcBorders/>
            <w:shd w:fill="CCEEFF" w:val="clear"/>
            <w:vAlign w:val="bottom"/>
          </w:tcPr>
          <w:p>
            <w:pPr>
              <w:pStyle w:val="TableContents"/>
              <w:spacing w:before="0" w:after="0"/>
              <w:ind w:left="0" w:right="0" w:hanging="0"/>
              <w:rPr/>
            </w:pPr>
            <w:r>
              <w:rPr/>
              <w:t> </w:t>
            </w:r>
          </w:p>
        </w:tc>
        <w:tc>
          <w:tcPr>
            <w:tcW w:w="7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50" w:type="dxa"/>
            <w:tcBorders/>
            <w:shd w:fill="CCEEFF" w:val="clear"/>
            <w:vAlign w:val="bottom"/>
          </w:tcPr>
          <w:p>
            <w:pPr>
              <w:pStyle w:val="TableContents"/>
              <w:spacing w:before="0" w:after="0"/>
              <w:ind w:left="0" w:right="0" w:hanging="0"/>
              <w:rPr/>
            </w:pPr>
            <w:r>
              <w:rPr/>
              <w:t> </w:t>
            </w:r>
          </w:p>
        </w:tc>
      </w:tr>
      <w:tr>
        <w:trPr/>
        <w:tc>
          <w:tcPr>
            <w:tcW w:w="3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add: Distributed income of equity investees </w:t>
            </w:r>
          </w:p>
        </w:tc>
        <w:tc>
          <w:tcPr>
            <w:tcW w:w="195"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0" w:type="dxa"/>
            <w:tcBorders/>
            <w:shd w:fill="auto" w:val="clear"/>
            <w:vAlign w:val="bottom"/>
          </w:tcPr>
          <w:p>
            <w:pPr>
              <w:pStyle w:val="TableContents"/>
              <w:spacing w:before="0" w:after="0"/>
              <w:ind w:left="0" w:right="0" w:hanging="0"/>
              <w:rPr/>
            </w:pPr>
            <w:r>
              <w:rPr/>
              <w:t> </w:t>
            </w:r>
          </w:p>
        </w:tc>
        <w:tc>
          <w:tcPr>
            <w:tcW w:w="8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0" w:type="dxa"/>
            <w:tcBorders/>
            <w:shd w:fill="auto" w:val="clear"/>
            <w:vAlign w:val="bottom"/>
          </w:tcPr>
          <w:p>
            <w:pPr>
              <w:pStyle w:val="TableContents"/>
              <w:spacing w:before="0" w:after="0"/>
              <w:ind w:left="0" w:right="0" w:hanging="0"/>
              <w:rPr/>
            </w:pPr>
            <w:r>
              <w:rPr/>
              <w:t> </w:t>
            </w:r>
          </w:p>
        </w:tc>
        <w:tc>
          <w:tcPr>
            <w:tcW w:w="8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0" w:type="dxa"/>
            <w:tcBorders/>
            <w:shd w:fill="auto" w:val="clear"/>
            <w:vAlign w:val="bottom"/>
          </w:tcPr>
          <w:p>
            <w:pPr>
              <w:pStyle w:val="TableContents"/>
              <w:spacing w:before="0" w:after="0"/>
              <w:ind w:left="0" w:right="0" w:hanging="0"/>
              <w:rPr/>
            </w:pPr>
            <w:r>
              <w:rPr/>
              <w:t> </w:t>
            </w:r>
          </w:p>
        </w:tc>
        <w:tc>
          <w:tcPr>
            <w:tcW w:w="7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0" w:type="dxa"/>
            <w:tcBorders/>
            <w:shd w:fill="auto" w:val="clear"/>
            <w:vAlign w:val="bottom"/>
          </w:tcPr>
          <w:p>
            <w:pPr>
              <w:pStyle w:val="TableContents"/>
              <w:spacing w:before="0" w:after="0"/>
              <w:ind w:left="0" w:right="0" w:hanging="0"/>
              <w:rPr/>
            </w:pPr>
            <w:r>
              <w:rPr/>
              <w:t> </w:t>
            </w:r>
          </w:p>
        </w:tc>
        <w:tc>
          <w:tcPr>
            <w:tcW w:w="7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0" w:type="dxa"/>
            <w:tcBorders/>
            <w:shd w:fill="auto" w:val="clear"/>
            <w:vAlign w:val="bottom"/>
          </w:tcPr>
          <w:p>
            <w:pPr>
              <w:pStyle w:val="TableContents"/>
              <w:spacing w:before="0" w:after="0"/>
              <w:ind w:left="0" w:right="0" w:hanging="0"/>
              <w:rPr/>
            </w:pPr>
            <w:r>
              <w:rPr/>
              <w:t> </w:t>
            </w:r>
          </w:p>
        </w:tc>
        <w:tc>
          <w:tcPr>
            <w:tcW w:w="7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50" w:type="dxa"/>
            <w:tcBorders/>
            <w:shd w:fill="auto" w:val="clear"/>
            <w:vAlign w:val="bottom"/>
          </w:tcPr>
          <w:p>
            <w:pPr>
              <w:pStyle w:val="TableContents"/>
              <w:spacing w:before="0" w:after="0"/>
              <w:ind w:left="0" w:right="0" w:hanging="0"/>
              <w:rPr/>
            </w:pPr>
            <w:r>
              <w:rPr/>
              <w:t> </w:t>
            </w:r>
          </w:p>
        </w:tc>
      </w:tr>
      <w:tr>
        <w:trPr/>
        <w:tc>
          <w:tcPr>
            <w:tcW w:w="34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add: Amortization of capitalized interest </w:t>
            </w:r>
          </w:p>
        </w:tc>
        <w:tc>
          <w:tcPr>
            <w:tcW w:w="195"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0" w:type="dxa"/>
            <w:tcBorders/>
            <w:shd w:fill="CCEEFF" w:val="clear"/>
            <w:vAlign w:val="bottom"/>
          </w:tcPr>
          <w:p>
            <w:pPr>
              <w:pStyle w:val="TableContents"/>
              <w:spacing w:before="0" w:after="0"/>
              <w:ind w:left="0" w:right="0" w:hanging="0"/>
              <w:rPr/>
            </w:pPr>
            <w:r>
              <w:rPr/>
              <w:t> </w:t>
            </w:r>
          </w:p>
        </w:tc>
        <w:tc>
          <w:tcPr>
            <w:tcW w:w="8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0" w:type="dxa"/>
            <w:tcBorders/>
            <w:shd w:fill="CCEEFF" w:val="clear"/>
            <w:vAlign w:val="bottom"/>
          </w:tcPr>
          <w:p>
            <w:pPr>
              <w:pStyle w:val="TableContents"/>
              <w:spacing w:before="0" w:after="0"/>
              <w:ind w:left="0" w:right="0" w:hanging="0"/>
              <w:rPr/>
            </w:pPr>
            <w:r>
              <w:rPr/>
              <w:t> </w:t>
            </w:r>
          </w:p>
        </w:tc>
        <w:tc>
          <w:tcPr>
            <w:tcW w:w="8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0" w:type="dxa"/>
            <w:tcBorders/>
            <w:shd w:fill="CCEEFF" w:val="clear"/>
            <w:vAlign w:val="bottom"/>
          </w:tcPr>
          <w:p>
            <w:pPr>
              <w:pStyle w:val="TableContents"/>
              <w:spacing w:before="0" w:after="0"/>
              <w:ind w:left="0" w:right="0" w:hanging="0"/>
              <w:rPr/>
            </w:pPr>
            <w:r>
              <w:rPr/>
              <w:t> </w:t>
            </w:r>
          </w:p>
        </w:tc>
        <w:tc>
          <w:tcPr>
            <w:tcW w:w="7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0" w:type="dxa"/>
            <w:tcBorders/>
            <w:shd w:fill="CCEEFF" w:val="clear"/>
            <w:vAlign w:val="bottom"/>
          </w:tcPr>
          <w:p>
            <w:pPr>
              <w:pStyle w:val="TableContents"/>
              <w:spacing w:before="0" w:after="0"/>
              <w:ind w:left="0" w:right="0" w:hanging="0"/>
              <w:rPr/>
            </w:pPr>
            <w:r>
              <w:rPr/>
              <w:t> </w:t>
            </w:r>
          </w:p>
        </w:tc>
        <w:tc>
          <w:tcPr>
            <w:tcW w:w="7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0" w:type="dxa"/>
            <w:tcBorders/>
            <w:shd w:fill="CCEEFF" w:val="clear"/>
            <w:vAlign w:val="bottom"/>
          </w:tcPr>
          <w:p>
            <w:pPr>
              <w:pStyle w:val="TableContents"/>
              <w:spacing w:before="0" w:after="0"/>
              <w:ind w:left="0" w:right="0" w:hanging="0"/>
              <w:rPr/>
            </w:pPr>
            <w:r>
              <w:rPr/>
              <w:t> </w:t>
            </w:r>
          </w:p>
        </w:tc>
        <w:tc>
          <w:tcPr>
            <w:tcW w:w="7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50" w:type="dxa"/>
            <w:tcBorders/>
            <w:shd w:fill="CCEEFF" w:val="clear"/>
            <w:vAlign w:val="bottom"/>
          </w:tcPr>
          <w:p>
            <w:pPr>
              <w:pStyle w:val="TableContents"/>
              <w:spacing w:before="0" w:after="0"/>
              <w:ind w:left="0" w:right="0" w:hanging="0"/>
              <w:rPr/>
            </w:pPr>
            <w:r>
              <w:rPr/>
              <w:t> </w:t>
            </w:r>
          </w:p>
        </w:tc>
      </w:tr>
      <w:tr>
        <w:trPr/>
        <w:tc>
          <w:tcPr>
            <w:tcW w:w="3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less: Capitalized interest </w:t>
            </w:r>
          </w:p>
        </w:tc>
        <w:tc>
          <w:tcPr>
            <w:tcW w:w="195" w:type="dxa"/>
            <w:tcBorders/>
            <w:shd w:fill="auto" w:val="clear"/>
            <w:vAlign w:val="bottom"/>
          </w:tcPr>
          <w:p>
            <w:pPr>
              <w:pStyle w:val="TableContents"/>
              <w:spacing w:before="0" w:after="0"/>
              <w:ind w:left="0" w:right="0" w:hanging="0"/>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Earnings </w:t>
            </w:r>
          </w:p>
        </w:tc>
        <w:tc>
          <w:tcPr>
            <w:tcW w:w="195"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1,431</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1,528</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1,353</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824</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847</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690</w:t>
            </w:r>
          </w:p>
        </w:tc>
        <w:tc>
          <w:tcPr>
            <w:tcW w:w="150" w:type="dxa"/>
            <w:tcBorders/>
            <w:shd w:fill="CCEEFF" w:val="clear"/>
            <w:vAlign w:val="bottom"/>
          </w:tcPr>
          <w:p>
            <w:pPr>
              <w:pStyle w:val="TableContents"/>
              <w:spacing w:before="0" w:after="0"/>
              <w:ind w:left="0" w:right="0" w:hanging="0"/>
              <w:rPr/>
            </w:pPr>
            <w:r>
              <w:rPr/>
              <w:t> </w:t>
            </w:r>
          </w:p>
        </w:tc>
      </w:tr>
      <w:tr>
        <w:trPr/>
        <w:tc>
          <w:tcPr>
            <w:tcW w:w="3498"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46"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46"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777"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77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778" w:type="dxa"/>
            <w:gridSpan w:val="2"/>
            <w:tcBorders/>
            <w:shd w:fill="auto" w:val="clear"/>
            <w:vAlign w:val="bottom"/>
          </w:tcPr>
          <w:p>
            <w:pPr>
              <w:pStyle w:val="TableContents"/>
              <w:spacing w:before="0" w:after="0"/>
              <w:ind w:left="0" w:right="0" w:hanging="0"/>
              <w:jc w:val="right"/>
              <w:rPr/>
            </w:pPr>
            <w:r>
              <w:rPr/>
              <w:t> </w:t>
            </w:r>
          </w:p>
        </w:tc>
        <w:tc>
          <w:tcPr>
            <w:tcW w:w="150" w:type="dxa"/>
            <w:tcBorders/>
            <w:shd w:fill="auto" w:val="clear"/>
            <w:vAlign w:val="bottom"/>
          </w:tcPr>
          <w:p>
            <w:pPr>
              <w:pStyle w:val="TableContents"/>
              <w:spacing w:before="0" w:after="0"/>
              <w:ind w:left="0" w:right="0" w:hanging="0"/>
              <w:rPr/>
            </w:pPr>
            <w:r>
              <w:rPr/>
              <w:t> </w:t>
            </w:r>
          </w:p>
        </w:tc>
      </w:tr>
      <w:tr>
        <w:trPr/>
        <w:tc>
          <w:tcPr>
            <w:tcW w:w="3498" w:type="dxa"/>
            <w:tcBorders/>
            <w:shd w:fill="CCEEFF" w:val="clear"/>
            <w:vAlign w:val="bottom"/>
          </w:tcPr>
          <w:p>
            <w:pPr>
              <w:pStyle w:val="TableContents"/>
              <w:spacing w:before="0" w:after="0"/>
              <w:ind w:left="0" w:right="0" w:hanging="0"/>
              <w:rPr/>
            </w:pPr>
            <w:r>
              <w:rPr>
                <w:rFonts w:ascii="Times New Roman" w:hAnsi="Times New Roman"/>
                <w:b/>
                <w:sz w:val="17"/>
              </w:rPr>
              <w:t xml:space="preserve">FIXED CHARGES </w:t>
            </w:r>
            <w:r>
              <w:rPr>
                <w:b/>
                <w:sz w:val="11"/>
              </w:rPr>
              <w:t>(1)</w:t>
            </w:r>
          </w:p>
        </w:tc>
        <w:tc>
          <w:tcPr>
            <w:tcW w:w="195"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46"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46"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777"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778"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778" w:type="dxa"/>
            <w:gridSpan w:val="2"/>
            <w:tcBorders/>
            <w:shd w:fill="CCEEFF" w:val="clear"/>
            <w:vAlign w:val="bottom"/>
          </w:tcPr>
          <w:p>
            <w:pPr>
              <w:pStyle w:val="TableContents"/>
              <w:spacing w:before="0" w:after="0"/>
              <w:ind w:left="0" w:right="0" w:hanging="0"/>
              <w:jc w:val="right"/>
              <w:rPr/>
            </w:pPr>
            <w:r>
              <w:rPr/>
              <w:t> </w:t>
            </w:r>
          </w:p>
        </w:tc>
        <w:tc>
          <w:tcPr>
            <w:tcW w:w="150" w:type="dxa"/>
            <w:tcBorders/>
            <w:shd w:fill="CCEEFF" w:val="clear"/>
            <w:vAlign w:val="bottom"/>
          </w:tcPr>
          <w:p>
            <w:pPr>
              <w:pStyle w:val="TableContents"/>
              <w:spacing w:before="0" w:after="0"/>
              <w:ind w:left="0" w:right="0" w:hanging="0"/>
              <w:rPr/>
            </w:pPr>
            <w:r>
              <w:rPr/>
              <w:t> </w:t>
            </w:r>
          </w:p>
        </w:tc>
      </w:tr>
      <w:tr>
        <w:trPr/>
        <w:tc>
          <w:tcPr>
            <w:tcW w:w="3498" w:type="dxa"/>
            <w:tcBorders/>
            <w:shd w:fill="auto" w:val="clear"/>
            <w:vAlign w:val="bottom"/>
          </w:tcPr>
          <w:p>
            <w:pPr>
              <w:pStyle w:val="TableContents"/>
              <w:spacing w:before="0" w:after="0"/>
              <w:ind w:left="0" w:right="0" w:hanging="0"/>
              <w:rPr/>
            </w:pPr>
            <w:r>
              <w:rPr>
                <w:rFonts w:ascii="Times New Roman" w:hAnsi="Times New Roman"/>
                <w:sz w:val="17"/>
              </w:rPr>
              <w:t xml:space="preserve">Interest expensed and capitalized </w:t>
            </w:r>
            <w:r>
              <w:rPr>
                <w:sz w:val="11"/>
              </w:rPr>
              <w:t xml:space="preserve">(2) </w:t>
            </w:r>
          </w:p>
        </w:tc>
        <w:tc>
          <w:tcPr>
            <w:tcW w:w="195"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w:t>
            </w:r>
          </w:p>
        </w:tc>
        <w:tc>
          <w:tcPr>
            <w:tcW w:w="150" w:type="dxa"/>
            <w:tcBorders/>
            <w:shd w:fill="auto" w:val="clear"/>
            <w:vAlign w:val="bottom"/>
          </w:tcPr>
          <w:p>
            <w:pPr>
              <w:pStyle w:val="TableContents"/>
              <w:spacing w:before="0" w:after="0"/>
              <w:ind w:left="0" w:right="0" w:hanging="0"/>
              <w:rPr/>
            </w:pPr>
            <w:r>
              <w:rPr/>
              <w:t> </w:t>
            </w:r>
          </w:p>
        </w:tc>
      </w:tr>
      <w:tr>
        <w:trPr/>
        <w:tc>
          <w:tcPr>
            <w:tcW w:w="34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Amortization of debt expense </w:t>
            </w:r>
          </w:p>
        </w:tc>
        <w:tc>
          <w:tcPr>
            <w:tcW w:w="195"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0" w:type="dxa"/>
            <w:tcBorders/>
            <w:shd w:fill="CCEEFF" w:val="clear"/>
            <w:vAlign w:val="bottom"/>
          </w:tcPr>
          <w:p>
            <w:pPr>
              <w:pStyle w:val="TableContents"/>
              <w:spacing w:before="0" w:after="0"/>
              <w:ind w:left="0" w:right="0" w:hanging="0"/>
              <w:rPr/>
            </w:pPr>
            <w:r>
              <w:rPr/>
              <w:t> </w:t>
            </w:r>
          </w:p>
        </w:tc>
        <w:tc>
          <w:tcPr>
            <w:tcW w:w="8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0" w:type="dxa"/>
            <w:tcBorders/>
            <w:shd w:fill="CCEEFF" w:val="clear"/>
            <w:vAlign w:val="bottom"/>
          </w:tcPr>
          <w:p>
            <w:pPr>
              <w:pStyle w:val="TableContents"/>
              <w:spacing w:before="0" w:after="0"/>
              <w:ind w:left="0" w:right="0" w:hanging="0"/>
              <w:rPr/>
            </w:pPr>
            <w:r>
              <w:rPr/>
              <w:t> </w:t>
            </w:r>
          </w:p>
        </w:tc>
        <w:tc>
          <w:tcPr>
            <w:tcW w:w="8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0" w:type="dxa"/>
            <w:tcBorders/>
            <w:shd w:fill="CCEEFF" w:val="clear"/>
            <w:vAlign w:val="bottom"/>
          </w:tcPr>
          <w:p>
            <w:pPr>
              <w:pStyle w:val="TableContents"/>
              <w:spacing w:before="0" w:after="0"/>
              <w:ind w:left="0" w:right="0" w:hanging="0"/>
              <w:rPr/>
            </w:pPr>
            <w:r>
              <w:rPr/>
              <w:t> </w:t>
            </w:r>
          </w:p>
        </w:tc>
        <w:tc>
          <w:tcPr>
            <w:tcW w:w="7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0" w:type="dxa"/>
            <w:tcBorders/>
            <w:shd w:fill="CCEEFF" w:val="clear"/>
            <w:vAlign w:val="bottom"/>
          </w:tcPr>
          <w:p>
            <w:pPr>
              <w:pStyle w:val="TableContents"/>
              <w:spacing w:before="0" w:after="0"/>
              <w:ind w:left="0" w:right="0" w:hanging="0"/>
              <w:rPr/>
            </w:pPr>
            <w:r>
              <w:rPr/>
              <w:t> </w:t>
            </w:r>
          </w:p>
        </w:tc>
        <w:tc>
          <w:tcPr>
            <w:tcW w:w="7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0" w:type="dxa"/>
            <w:tcBorders/>
            <w:shd w:fill="CCEEFF" w:val="clear"/>
            <w:vAlign w:val="bottom"/>
          </w:tcPr>
          <w:p>
            <w:pPr>
              <w:pStyle w:val="TableContents"/>
              <w:spacing w:before="0" w:after="0"/>
              <w:ind w:left="0" w:right="0" w:hanging="0"/>
              <w:rPr/>
            </w:pPr>
            <w:r>
              <w:rPr/>
              <w:t> </w:t>
            </w:r>
          </w:p>
        </w:tc>
        <w:tc>
          <w:tcPr>
            <w:tcW w:w="7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50" w:type="dxa"/>
            <w:tcBorders/>
            <w:shd w:fill="CCEEFF" w:val="clear"/>
            <w:vAlign w:val="bottom"/>
          </w:tcPr>
          <w:p>
            <w:pPr>
              <w:pStyle w:val="TableContents"/>
              <w:spacing w:before="0" w:after="0"/>
              <w:ind w:left="0" w:right="0" w:hanging="0"/>
              <w:rPr/>
            </w:pPr>
            <w:r>
              <w:rPr/>
              <w:t> </w:t>
            </w:r>
          </w:p>
        </w:tc>
      </w:tr>
      <w:tr>
        <w:trPr/>
        <w:tc>
          <w:tcPr>
            <w:tcW w:w="3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Portion of rent expense related to interest (33.33%) </w:t>
            </w:r>
          </w:p>
        </w:tc>
        <w:tc>
          <w:tcPr>
            <w:tcW w:w="195" w:type="dxa"/>
            <w:tcBorders/>
            <w:shd w:fill="auto" w:val="clear"/>
            <w:vAlign w:val="bottom"/>
          </w:tcPr>
          <w:p>
            <w:pPr>
              <w:pStyle w:val="TableContents"/>
              <w:spacing w:before="0" w:after="0"/>
              <w:ind w:left="0" w:right="0" w:hanging="0"/>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20" w:type="dxa"/>
            <w:tcBorders/>
            <w:shd w:fill="auto" w:val="clear"/>
            <w:vAlign w:val="bottom"/>
          </w:tcPr>
          <w:p>
            <w:pPr>
              <w:pStyle w:val="TableContents"/>
              <w:spacing w:before="0" w:after="0"/>
              <w:ind w:left="0" w:right="0" w:hanging="0"/>
              <w:rPr/>
            </w:pPr>
            <w:r>
              <w:rPr/>
              <w:t> </w:t>
            </w:r>
          </w:p>
        </w:tc>
        <w:tc>
          <w:tcPr>
            <w:tcW w:w="8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20" w:type="dxa"/>
            <w:tcBorders/>
            <w:shd w:fill="auto" w:val="clear"/>
            <w:vAlign w:val="bottom"/>
          </w:tcPr>
          <w:p>
            <w:pPr>
              <w:pStyle w:val="TableContents"/>
              <w:spacing w:before="0" w:after="0"/>
              <w:ind w:left="0" w:right="0" w:hanging="0"/>
              <w:rPr/>
            </w:pPr>
            <w:r>
              <w:rPr/>
              <w:t> </w:t>
            </w:r>
          </w:p>
        </w:tc>
        <w:tc>
          <w:tcPr>
            <w:tcW w:w="8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0" w:type="dxa"/>
            <w:tcBorders/>
            <w:shd w:fill="auto" w:val="clear"/>
            <w:vAlign w:val="bottom"/>
          </w:tcPr>
          <w:p>
            <w:pPr>
              <w:pStyle w:val="TableContents"/>
              <w:spacing w:before="0" w:after="0"/>
              <w:ind w:left="0" w:right="0" w:hanging="0"/>
              <w:rPr/>
            </w:pPr>
            <w:r>
              <w:rPr/>
              <w:t> </w:t>
            </w:r>
          </w:p>
        </w:tc>
        <w:tc>
          <w:tcPr>
            <w:tcW w:w="7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0" w:type="dxa"/>
            <w:tcBorders/>
            <w:shd w:fill="auto" w:val="clear"/>
            <w:vAlign w:val="bottom"/>
          </w:tcPr>
          <w:p>
            <w:pPr>
              <w:pStyle w:val="TableContents"/>
              <w:spacing w:before="0" w:after="0"/>
              <w:ind w:left="0" w:right="0" w:hanging="0"/>
              <w:rPr/>
            </w:pPr>
            <w:r>
              <w:rPr/>
              <w:t> </w:t>
            </w:r>
          </w:p>
        </w:tc>
        <w:tc>
          <w:tcPr>
            <w:tcW w:w="7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20" w:type="dxa"/>
            <w:tcBorders/>
            <w:shd w:fill="auto" w:val="clear"/>
            <w:vAlign w:val="bottom"/>
          </w:tcPr>
          <w:p>
            <w:pPr>
              <w:pStyle w:val="TableContents"/>
              <w:spacing w:before="0" w:after="0"/>
              <w:ind w:left="0" w:right="0" w:hanging="0"/>
              <w:rPr/>
            </w:pPr>
            <w:r>
              <w:rPr/>
              <w:t> </w:t>
            </w:r>
          </w:p>
        </w:tc>
        <w:tc>
          <w:tcPr>
            <w:tcW w:w="7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50" w:type="dxa"/>
            <w:tcBorders/>
            <w:shd w:fill="auto" w:val="clear"/>
            <w:vAlign w:val="bottom"/>
          </w:tcPr>
          <w:p>
            <w:pPr>
              <w:pStyle w:val="TableContents"/>
              <w:spacing w:before="0" w:after="0"/>
              <w:ind w:left="0" w:right="0" w:hanging="0"/>
              <w:rPr/>
            </w:pPr>
            <w:r>
              <w:rPr/>
              <w:t> </w:t>
            </w:r>
          </w:p>
        </w:tc>
      </w:tr>
      <w:tr>
        <w:trPr/>
        <w:tc>
          <w:tcPr>
            <w:tcW w:w="34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Fixed Charges </w:t>
            </w:r>
          </w:p>
        </w:tc>
        <w:tc>
          <w:tcPr>
            <w:tcW w:w="195"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50" w:type="dxa"/>
            <w:tcBorders/>
            <w:shd w:fill="CCEEFF" w:val="clear"/>
            <w:vAlign w:val="bottom"/>
          </w:tcPr>
          <w:p>
            <w:pPr>
              <w:pStyle w:val="TableContents"/>
              <w:spacing w:before="0" w:after="0"/>
              <w:ind w:left="0" w:right="0" w:hanging="0"/>
              <w:rPr/>
            </w:pPr>
            <w:r>
              <w:rPr/>
              <w:t> </w:t>
            </w:r>
          </w:p>
        </w:tc>
      </w:tr>
      <w:tr>
        <w:trPr/>
        <w:tc>
          <w:tcPr>
            <w:tcW w:w="3498"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237"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46"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46"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777"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77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778" w:type="dxa"/>
            <w:gridSpan w:val="2"/>
            <w:tcBorders/>
            <w:shd w:fill="auto" w:val="clear"/>
            <w:vAlign w:val="bottom"/>
          </w:tcPr>
          <w:p>
            <w:pPr>
              <w:pStyle w:val="TableContents"/>
              <w:spacing w:before="0" w:after="0"/>
              <w:ind w:left="0" w:right="0" w:hanging="0"/>
              <w:jc w:val="right"/>
              <w:rPr/>
            </w:pPr>
            <w:r>
              <w:rPr/>
              <w:t> </w:t>
            </w:r>
          </w:p>
        </w:tc>
        <w:tc>
          <w:tcPr>
            <w:tcW w:w="150" w:type="dxa"/>
            <w:tcBorders/>
            <w:shd w:fill="auto" w:val="clear"/>
            <w:vAlign w:val="bottom"/>
          </w:tcPr>
          <w:p>
            <w:pPr>
              <w:pStyle w:val="TableContents"/>
              <w:spacing w:before="0" w:after="0"/>
              <w:ind w:left="0" w:right="0" w:hanging="0"/>
              <w:rPr/>
            </w:pPr>
            <w:r>
              <w:rPr/>
              <w:t> </w:t>
            </w:r>
          </w:p>
        </w:tc>
      </w:tr>
      <w:tr>
        <w:trPr/>
        <w:tc>
          <w:tcPr>
            <w:tcW w:w="3498" w:type="dxa"/>
            <w:tcBorders/>
            <w:shd w:fill="CCEEFF" w:val="clear"/>
            <w:vAlign w:val="bottom"/>
          </w:tcPr>
          <w:p>
            <w:pPr>
              <w:pStyle w:val="TableContents"/>
              <w:spacing w:before="0" w:after="0"/>
              <w:ind w:left="0" w:right="0" w:hanging="0"/>
              <w:rPr/>
            </w:pPr>
            <w:r>
              <w:rPr>
                <w:rFonts w:ascii="Times New Roman" w:hAnsi="Times New Roman"/>
                <w:b/>
                <w:sz w:val="17"/>
              </w:rPr>
              <w:t xml:space="preserve">RATIO OF EARNINGS TO FIXED CHARGES </w:t>
            </w:r>
            <w:r>
              <w:rPr>
                <w:b/>
                <w:sz w:val="11"/>
              </w:rPr>
              <w:t>(3)</w:t>
            </w:r>
          </w:p>
        </w:tc>
        <w:tc>
          <w:tcPr>
            <w:tcW w:w="195" w:type="dxa"/>
            <w:tcBorders/>
            <w:shd w:fill="CCEEFF" w:val="clear"/>
            <w:vAlign w:val="bottom"/>
          </w:tcPr>
          <w:p>
            <w:pPr>
              <w:pStyle w:val="TableContents"/>
              <w:spacing w:before="0" w:after="0"/>
              <w:ind w:left="0" w:right="0" w:hanging="0"/>
              <w:rPr/>
            </w:pPr>
            <w:r>
              <w:rPr/>
              <w:t> </w:t>
            </w:r>
          </w:p>
        </w:tc>
        <w:tc>
          <w:tcPr>
            <w:tcW w:w="123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4.05</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7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b/>
          <w:sz w:val="11"/>
        </w:rPr>
        <w:t>(1)</w:t>
      </w:r>
      <w:r>
        <w:rPr>
          <w:rFonts w:ascii="Times New Roman" w:hAnsi="Times New Roman"/>
        </w:rPr>
        <w:t xml:space="preserve">             </w:t>
      </w:r>
      <w:r>
        <w:rPr>
          <w:rFonts w:ascii="Times New Roman" w:hAnsi="Times New Roman"/>
          <w:sz w:val="17"/>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1"/>
        </w:rPr>
        <w:t>(2)</w:t>
      </w:r>
      <w:r>
        <w:rPr>
          <w:rFonts w:ascii="Times New Roman" w:hAnsi="Times New Roman"/>
        </w:rPr>
        <w:t xml:space="preserve">             </w:t>
      </w:r>
      <w:r>
        <w:rPr>
          <w:rFonts w:ascii="Times New Roman" w:hAnsi="Times New Roman"/>
          <w:sz w:val="17"/>
        </w:rPr>
        <w:t>Includes interest costs attributable to borrowings for hedged inventory purchases of $21 million for the nine months ended September 30, 2013 and $12 million, $20 million, $17 million, $11 million and $21 million for the years ended December 31, 2012, 2011, 2010, 2009 and 2008,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1"/>
        </w:rPr>
        <w:t>(3)</w:t>
      </w:r>
      <w:r>
        <w:rPr>
          <w:rFonts w:ascii="Times New Roman" w:hAnsi="Times New Roman"/>
        </w:rPr>
        <w:t xml:space="preserve">             </w:t>
      </w:r>
      <w:r>
        <w:rPr>
          <w:rFonts w:ascii="Times New Roman" w:hAnsi="Times New Roman"/>
          <w:sz w:val="17"/>
        </w:rPr>
        <w:t>Ratios may not recalculate due to rounding.</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2" w:name="a13-22383_1ex31d1.htm"/>
      <w:bookmarkStart w:id="93" w:name="ksa1322383_1ex31d1"/>
      <w:bookmarkEnd w:id="92"/>
      <w:bookmarkEnd w:id="93"/>
      <w:r>
        <w:rPr>
          <w:rFonts w:ascii="Times New Roman" w:hAnsi="Times New Roman"/>
          <w:b/>
          <w:sz w:val="17"/>
        </w:rPr>
        <w:t>EXHIBIT 31.1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quarterly report on Form 10-Q of Plains GP Holdings,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November 22, 2013</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pPr>
            <w:r>
              <w:rPr>
                <w:rFonts w:ascii="Times New Roman" w:hAnsi="Times New Roman"/>
                <w:sz w:val="17"/>
              </w:rPr>
              <w:t xml:space="preserve">/s/ </w:t>
            </w:r>
            <w:r>
              <w:rPr>
                <w:sz w:val="17"/>
              </w:rPr>
              <w:t>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4" w:name="a13-22383_1ex31d2.htm"/>
      <w:bookmarkStart w:id="95" w:name="ksa1322383_1ex31d2"/>
      <w:bookmarkEnd w:id="94"/>
      <w:bookmarkEnd w:id="95"/>
      <w:r>
        <w:rPr>
          <w:rFonts w:ascii="Times New Roman" w:hAnsi="Times New Roman"/>
          <w:b/>
          <w:sz w:val="17"/>
        </w:rPr>
        <w:t>EXHIBIT 31.2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quarterly report on Form 10-Q of Plains GP Holdings,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November 22, 2013</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pPr>
            <w:r>
              <w:rPr>
                <w:rFonts w:ascii="Times New Roman" w:hAnsi="Times New Roman"/>
                <w:sz w:val="17"/>
              </w:rPr>
              <w:t xml:space="preserve">/s/ </w:t>
            </w:r>
            <w:r>
              <w:rPr>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6" w:name="a13-22383_1ex32d1.htm"/>
      <w:bookmarkStart w:id="97" w:name="ksa1322383_1ex32d1"/>
      <w:bookmarkEnd w:id="96"/>
      <w:bookmarkEnd w:id="97"/>
      <w:r>
        <w:rPr>
          <w:rFonts w:ascii="Times New Roman" w:hAnsi="Times New Roman"/>
          <w:b/>
          <w:sz w:val="17"/>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GP HOLDINGS,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Chief Executive Officer of Plains GP Holdings,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accompanying report on Form 10-Q for the period ended September 30, 2013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sz w:val="17"/>
              </w:rPr>
              <w:t xml:space="preserve">/s/ </w:t>
            </w:r>
            <w:r>
              <w:rPr>
                <w:sz w:val="17"/>
              </w:rPr>
              <w:t>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22, 2013</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8" w:name="a13-22383_1ex32d2.htm"/>
      <w:bookmarkStart w:id="99" w:name="ksa1322383_1ex32d2"/>
      <w:bookmarkEnd w:id="98"/>
      <w:bookmarkEnd w:id="99"/>
      <w:r>
        <w:rPr>
          <w:rFonts w:ascii="Times New Roman" w:hAnsi="Times New Roman"/>
          <w:b/>
          <w:sz w:val="17"/>
        </w:rPr>
        <w:t>EXHIBIT 32.2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GP HOLDINGS,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Chief Financial Officer of Plains GP Holdings,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accompanying report on Form 10-Q for the period ended September 30, 2013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sz w:val="17"/>
              </w:rPr>
              <w:t xml:space="preserve">/s/ </w:t>
            </w:r>
            <w:r>
              <w:rPr>
                <w:sz w:val="17"/>
              </w:rPr>
              <w:t>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22, 2013</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59</Pages>
  <Words>30214</Words>
  <CharactersWithSpaces>190547</CharactersWithSpaces>
  <Paragraphs>9202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