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440" w:type="dxa"/>
            <w:vAlign w:val="bottom"/>
            <w:gridSpan w:val="6"/>
          </w:tcPr>
          <w:p>
            <w:pPr>
              <w:spacing w:after="0" w:line="207"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PAA</w:t>
              </w:r>
              <w:r>
                <w:rPr>
                  <w:rFonts w:ascii="Arial" w:cs="Arial" w:eastAsia="Arial" w:hAnsi="Arial"/>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03/30/2021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7"/>
                <w:szCs w:val="17"/>
                <w:color w:val="0000FF"/>
                <w:w w:val="95"/>
              </w:rPr>
              <w:t>Common Units (Limited Partner Interests)</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FF"/>
              </w:rPr>
              <w:t>03/30/2021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720" w:type="dxa"/>
            <w:vAlign w:val="bottom"/>
            <w:vMerge w:val="restart"/>
          </w:tcPr>
          <w:p>
            <w:pPr>
              <w:jc w:val="right"/>
              <w:ind w:right="13"/>
              <w:spacing w:after="0"/>
              <w:rPr>
                <w:sz w:val="20"/>
                <w:szCs w:val="20"/>
                <w:color w:val="auto"/>
              </w:rPr>
            </w:pPr>
            <w:r>
              <w:rPr>
                <w:rFonts w:ascii="Arial" w:cs="Arial" w:eastAsia="Arial" w:hAnsi="Arial"/>
                <w:sz w:val="17"/>
                <w:szCs w:val="17"/>
                <w:color w:val="0000FF"/>
              </w:rPr>
              <w:t>27,640</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18"/>
                <w:szCs w:val="18"/>
                <w:color w:val="auto"/>
              </w:rPr>
            </w:pPr>
          </w:p>
        </w:tc>
        <w:tc>
          <w:tcPr>
            <w:tcW w:w="580" w:type="dxa"/>
            <w:vAlign w:val="bottom"/>
            <w:gridSpan w:val="3"/>
            <w:vMerge w:val="restart"/>
          </w:tcPr>
          <w:p>
            <w:pPr>
              <w:jc w:val="right"/>
              <w:ind w:right="40"/>
              <w:spacing w:after="0" w:line="382" w:lineRule="exact"/>
              <w:rPr>
                <w:sz w:val="20"/>
                <w:szCs w:val="20"/>
                <w:color w:val="auto"/>
              </w:rPr>
            </w:pPr>
            <w:r>
              <w:rPr>
                <w:rFonts w:ascii="Arial" w:cs="Arial" w:eastAsia="Arial" w:hAnsi="Arial"/>
                <w:sz w:val="34"/>
                <w:szCs w:val="34"/>
                <w:color w:val="000000"/>
                <w:w w:val="88"/>
                <w:vertAlign w:val="subscript"/>
              </w:rPr>
              <w:t>$</w:t>
            </w:r>
            <w:r>
              <w:rPr>
                <w:rFonts w:ascii="Arial" w:cs="Arial" w:eastAsia="Arial" w:hAnsi="Arial"/>
                <w:sz w:val="34"/>
                <w:szCs w:val="34"/>
                <w:color w:val="0000FF"/>
                <w:w w:val="88"/>
                <w:vertAlign w:val="subscript"/>
              </w:rPr>
              <w:t>0</w:t>
            </w:r>
            <w:r>
              <w:rPr>
                <w:rFonts w:ascii="Arial" w:cs="Arial" w:eastAsia="Arial" w:hAnsi="Arial"/>
                <w:sz w:val="11"/>
                <w:szCs w:val="11"/>
                <w:color w:val="008000"/>
                <w:w w:val="88"/>
              </w:rPr>
              <w:t>(1)(2)</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245,528,082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80" w:type="dxa"/>
            <w:vAlign w:val="bottom"/>
            <w:gridSpan w:val="7"/>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7"/>
                <w:szCs w:val="17"/>
                <w:color w:val="0000FF"/>
                <w:w w:val="95"/>
              </w:rPr>
              <w:t>Common Units (Limited Partner Interests)</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FF"/>
              </w:rPr>
              <w:t>03/31/2021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(1)(4)</w:t>
            </w:r>
          </w:p>
        </w:tc>
        <w:tc>
          <w:tcPr>
            <w:tcW w:w="720" w:type="dxa"/>
            <w:vAlign w:val="bottom"/>
            <w:vMerge w:val="restart"/>
          </w:tcPr>
          <w:p>
            <w:pPr>
              <w:jc w:val="right"/>
              <w:ind w:right="53"/>
              <w:spacing w:after="0"/>
              <w:rPr>
                <w:sz w:val="20"/>
                <w:szCs w:val="20"/>
                <w:color w:val="auto"/>
              </w:rPr>
            </w:pPr>
            <w:r>
              <w:rPr>
                <w:rFonts w:ascii="Arial" w:cs="Arial" w:eastAsia="Arial" w:hAnsi="Arial"/>
                <w:sz w:val="17"/>
                <w:szCs w:val="17"/>
                <w:color w:val="0000FF"/>
              </w:rPr>
              <w:t>4,891</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18"/>
                <w:szCs w:val="18"/>
                <w:color w:val="auto"/>
              </w:rPr>
            </w:pPr>
          </w:p>
        </w:tc>
        <w:tc>
          <w:tcPr>
            <w:tcW w:w="580" w:type="dxa"/>
            <w:vAlign w:val="bottom"/>
            <w:gridSpan w:val="3"/>
            <w:vMerge w:val="restart"/>
          </w:tcPr>
          <w:p>
            <w:pPr>
              <w:jc w:val="right"/>
              <w:ind w:right="40"/>
              <w:spacing w:after="0" w:line="382" w:lineRule="exact"/>
              <w:rPr>
                <w:sz w:val="20"/>
                <w:szCs w:val="20"/>
                <w:color w:val="auto"/>
              </w:rPr>
            </w:pPr>
            <w:r>
              <w:rPr>
                <w:rFonts w:ascii="Arial" w:cs="Arial" w:eastAsia="Arial" w:hAnsi="Arial"/>
                <w:sz w:val="34"/>
                <w:szCs w:val="34"/>
                <w:color w:val="000000"/>
                <w:w w:val="88"/>
                <w:vertAlign w:val="subscript"/>
              </w:rPr>
              <w:t>$</w:t>
            </w:r>
            <w:r>
              <w:rPr>
                <w:rFonts w:ascii="Arial" w:cs="Arial" w:eastAsia="Arial" w:hAnsi="Arial"/>
                <w:sz w:val="34"/>
                <w:szCs w:val="34"/>
                <w:color w:val="0000FF"/>
                <w:w w:val="88"/>
                <w:vertAlign w:val="subscript"/>
              </w:rPr>
              <w:t>0</w:t>
            </w:r>
            <w:r>
              <w:rPr>
                <w:rFonts w:ascii="Arial" w:cs="Arial" w:eastAsia="Arial" w:hAnsi="Arial"/>
                <w:sz w:val="11"/>
                <w:szCs w:val="11"/>
                <w:color w:val="008000"/>
                <w:w w:val="88"/>
              </w:rPr>
              <w:t>(1)(4)</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245,523,191</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80" w:type="dxa"/>
            <w:vAlign w:val="bottom"/>
            <w:gridSpan w:val="7"/>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18"/>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PAA GP Holdings LLC</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333 CLAY STREET, STE. 1600</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Plains AAP, L.P.</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333 CLAY STREET, SUITE 1600</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Plains All American GP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w w:val="99"/>
              </w:rPr>
              <w:t>333 CLAY STREET, SUITE 1600</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400" w:type="dxa"/>
            <w:vAlign w:val="bottom"/>
          </w:tcPr>
          <w:p>
            <w:pPr>
              <w:ind w:left="28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1" w:lineRule="exact"/>
              <w:rPr>
                <w:rFonts w:ascii="Arial" w:cs="Arial" w:eastAsia="Arial" w:hAnsi="Arial"/>
                <w:sz w:val="21"/>
                <w:szCs w:val="21"/>
                <w:color w:val="0000EE"/>
                <w:w w:val="96"/>
              </w:rPr>
            </w:pPr>
            <w:hyperlink r:id="rId17">
              <w:r>
                <w:rPr>
                  <w:rFonts w:ascii="Arial" w:cs="Arial" w:eastAsia="Arial" w:hAnsi="Arial"/>
                  <w:sz w:val="21"/>
                  <w:szCs w:val="21"/>
                  <w:color w:val="0000EE"/>
                  <w:w w:val="96"/>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400" w:type="dxa"/>
            <w:vAlign w:val="bottom"/>
          </w:tcPr>
          <w:p>
            <w:pPr>
              <w:ind w:left="28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889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8898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9" w:lineRule="exact"/>
        <w:rPr>
          <w:rFonts w:ascii="Arial" w:cs="Arial" w:eastAsia="Arial" w:hAnsi="Arial"/>
          <w:sz w:val="13"/>
          <w:szCs w:val="13"/>
          <w:color w:val="008000"/>
        </w:rPr>
      </w:pPr>
    </w:p>
    <w:p>
      <w:pPr>
        <w:ind w:left="20" w:right="44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March 30, 2021, a limited partner of AAP exercised the Redemption Right with respect to 27,640 AAP Class A units, resulting in the cancellation of such AAP Class A units and the distribution of 27,640 Common Units from AAP to the redeeming partner.</w:t>
      </w:r>
    </w:p>
    <w:p>
      <w:pPr>
        <w:spacing w:after="0" w:line="15" w:lineRule="exact"/>
        <w:rPr>
          <w:rFonts w:ascii="Arial" w:cs="Arial" w:eastAsia="Arial" w:hAnsi="Arial"/>
          <w:sz w:val="13"/>
          <w:szCs w:val="13"/>
          <w:color w:val="008000"/>
        </w:rPr>
      </w:pPr>
    </w:p>
    <w:p>
      <w:pPr>
        <w:ind w:left="20" w:right="420" w:firstLine="7"/>
        <w:spacing w:after="0" w:line="30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right="3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March 31, 2021, KAFU Holdings (QP), L.P. exercised the Redemption Right with respect to 4,891 AAP Class A units, resulting in the cancellation of such AAP Class A units and the distribution of 4,891 Common Units from AAP to the redeeming partner.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03/31/2021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312"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6"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2021-03-31T16:55:39Z</dcterms:created>
  <dcterms:modified xsi:type="dcterms:W3CDTF">2021-03-31T16:55:39Z</dcterms:modified>
</cp:coreProperties>
</file>