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 2016</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740" w:space="720"/>
            <w:col w:w="3120"/>
          </w:cols>
          <w:pgMar w:left="240" w:top="544" w:right="35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44" w:right="359" w:bottom="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November 2, 2016, the Registrant issued a press release reporting its third quarter 2016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November 2, 2016</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spacing w:after="0"/>
        <w:tabs>
          <w:tab w:leader="none" w:pos="5600" w:val="left"/>
          <w:tab w:leader="none" w:pos="612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4"/>
          <w:szCs w:val="24"/>
          <w:color w:val="auto"/>
        </w:rPr>
      </w:pPr>
    </w:p>
    <w:p>
      <w:pPr>
        <w:spacing w:after="0" w:line="241" w:lineRule="exact"/>
        <w:rPr>
          <w:sz w:val="24"/>
          <w:szCs w:val="24"/>
          <w:color w:val="auto"/>
        </w:rPr>
      </w:pPr>
    </w:p>
    <w:p>
      <w:pPr>
        <w:ind w:left="5620"/>
        <w:spacing w:after="0"/>
        <w:tabs>
          <w:tab w:leader="none" w:pos="6120" w:val="left"/>
        </w:tabs>
        <w:rPr>
          <w:sz w:val="20"/>
          <w:szCs w:val="20"/>
          <w:color w:val="auto"/>
        </w:rPr>
      </w:pPr>
      <w:r>
        <w:rPr>
          <w:rFonts w:ascii="Arial" w:cs="Arial" w:eastAsia="Arial" w:hAnsi="Arial"/>
          <w:sz w:val="18"/>
          <w:szCs w:val="18"/>
          <w:color w:val="auto"/>
        </w:rPr>
        <w:t>By:</w:t>
        <w:tab/>
        <w:t>/S/ Al Swanson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353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ectPr>
          <w:pgSz w:w="11900" w:h="16838" w:orient="portrait"/>
          <w:cols w:equalWidth="0" w:num="1">
            <w:col w:w="11300"/>
          </w:cols>
          <w:pgMar w:left="240" w:top="544" w:right="359" w:bottom="0" w:gutter="0" w:footer="0" w:header="0"/>
          <w:type w:val="continuous"/>
        </w:sectPr>
      </w:pPr>
    </w:p>
    <w:bookmarkStart w:id="1" w:name="page2"/>
    <w:bookmarkEnd w:id="1"/>
    <w:p>
      <w:pPr>
        <w:ind w:left="4940"/>
        <w:spacing w:after="0"/>
        <w:tabs>
          <w:tab w:leader="none" w:pos="5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 Swanson</w:t>
      </w:r>
    </w:p>
    <w:p>
      <w:pPr>
        <w:spacing w:after="0" w:line="23" w:lineRule="exact"/>
        <w:rPr>
          <w:sz w:val="20"/>
          <w:szCs w:val="20"/>
          <w:color w:val="auto"/>
        </w:rPr>
      </w:pPr>
    </w:p>
    <w:p>
      <w:pPr>
        <w:ind w:left="4940"/>
        <w:spacing w:after="0"/>
        <w:tabs>
          <w:tab w:leader="none" w:pos="56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40"/>
          </w:cols>
          <w:pgMar w:left="1440" w:top="125" w:right="9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174740" cy="831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2016 Results</w:t>
      </w:r>
    </w:p>
    <w:p>
      <w:pPr>
        <w:spacing w:after="0" w:line="229" w:lineRule="exact"/>
        <w:rPr>
          <w:sz w:val="20"/>
          <w:szCs w:val="20"/>
          <w:color w:val="auto"/>
        </w:rPr>
      </w:pPr>
    </w:p>
    <w:p>
      <w:pPr>
        <w:ind w:firstLine="706"/>
        <w:spacing w:after="0" w:line="277" w:lineRule="auto"/>
        <w:rPr>
          <w:sz w:val="20"/>
          <w:szCs w:val="20"/>
          <w:color w:val="auto"/>
        </w:rPr>
      </w:pPr>
      <w:r>
        <w:rPr>
          <w:rFonts w:ascii="Arial" w:cs="Arial" w:eastAsia="Arial" w:hAnsi="Arial"/>
          <w:sz w:val="18"/>
          <w:szCs w:val="18"/>
          <w:color w:val="auto"/>
        </w:rPr>
        <w:t>(Houston — November 2, 2016) Plains All American Pipeline, L.P. (NYSE: PAA) and Plains GP Holdings (NYSE: PAGP) today reported third-quarter 2016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120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common units outstanding</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2"/>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120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0.72</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120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1,531</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common unit declared for the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700</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1"/>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“PAA reported third-quarter adjusted EBITDA of $450 million, which included solid performance in our fee-based Facilities segment and in-line performance from our fee-based Transportation segment, offset by Supply and Logistics segment performance that was below the low-end of our third quarter guidance. Our third quarter Supply and Logistics segment was impacted by a combination of delayed EBITDA recognition associated with our NGL inventory costing and the timing of crude oil sales, as well as lower than forecasted EBITDA as a result of continued margin compression and less favorable market conditions for both our crude oil and NGL activities,” said Greg Armstrong, Chairman and CEO of Plains All American.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“Looking forward, we are encouraged by recent signals that indicate the current industry cycle has reached a bottom and are supportive of PAA’s positive intermediate-to-long term view. However, we continue to anticipate a challenging midstream environment over the near term and we have incorporated those expectations into our forward guidance.”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Armstrong noted that in response to the industry downturn that began approximately two years ago, PAA had taken a number of actions to mitigate the adverse impacts and position PAA to manage through challenging market conditions. Such actions include:</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Reducing capital commitments through scope changes and project deferrals;</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Selling non-core assets and entering into strategic joint ventures which collectively raised approximately $550 million, reduced PAA’s capital commitments by approximately $600 million and secured complementary partners/shippers;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Securing $1.6 billion of non-conventional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Intensifying efforts to capture incremental gathering and transportation barrels; and</w:t>
      </w:r>
    </w:p>
    <w:p>
      <w:pPr>
        <w:spacing w:after="0" w:line="225" w:lineRule="exact"/>
        <w:rPr>
          <w:rFonts w:ascii="Arial" w:cs="Arial" w:eastAsia="Arial" w:hAnsi="Arial"/>
          <w:sz w:val="18"/>
          <w:szCs w:val="18"/>
          <w:color w:val="auto"/>
        </w:rPr>
      </w:pPr>
    </w:p>
    <w:p>
      <w:pPr>
        <w:ind w:left="660" w:right="200" w:hanging="328"/>
        <w:spacing w:after="0" w:line="264"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Lowering its incremental cost of equity capital by executing an agreement to eliminate PAA’s incentive distribution rights and, in connection therewith, resetting PAA’s annualized distribution from $2.80 to $2.20 per common unit, which resulted in a $320 million annual reduction in cash distributions.</w:t>
      </w:r>
    </w:p>
    <w:p>
      <w:pPr>
        <w:sectPr>
          <w:pgSz w:w="11900" w:h="16838" w:orient="portrait"/>
          <w:cols w:equalWidth="0" w:num="1">
            <w:col w:w="11420"/>
          </w:cols>
          <w:pgMar w:left="240" w:top="121" w:right="239" w:bottom="0" w:gutter="0" w:footer="0" w:header="0"/>
        </w:sectPr>
      </w:pPr>
    </w:p>
    <w:bookmarkStart w:id="3" w:name="page4"/>
    <w:bookmarkEnd w:id="3"/>
    <w:p>
      <w:pPr>
        <w:ind w:right="60" w:firstLine="648"/>
        <w:spacing w:after="0" w:line="277" w:lineRule="auto"/>
        <w:rPr>
          <w:sz w:val="20"/>
          <w:szCs w:val="20"/>
          <w:color w:val="auto"/>
        </w:rPr>
      </w:pPr>
      <w:r>
        <w:rPr>
          <w:rFonts w:ascii="Arial" w:cs="Arial" w:eastAsia="Arial" w:hAnsi="Arial"/>
          <w:sz w:val="18"/>
          <w:szCs w:val="18"/>
          <w:color w:val="auto"/>
        </w:rPr>
        <w:t>Armstrong continued “As a result of these actions, we believe PAA is positioned to manage through the balance of the down-cycle, benefit significantly during a recovery as U.S. &amp; Canadian oil production increases and capitalize on attractive opportunities.”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third quarter and first nine months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60"/>
          </w:cols>
          <w:pgMar w:left="240" w:top="341" w:right="199" w:bottom="1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Reported segment profit/(loss)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Selected items impacting</w:t>
      </w:r>
    </w:p>
    <w:p>
      <w:pPr>
        <w:spacing w:after="0" w:line="23" w:lineRule="exact"/>
        <w:rPr>
          <w:sz w:val="20"/>
          <w:szCs w:val="20"/>
          <w:color w:val="auto"/>
        </w:rPr>
      </w:pPr>
    </w:p>
    <w:p>
      <w:pPr>
        <w:ind w:left="380" w:right="400"/>
        <w:spacing w:after="0" w:line="220" w:lineRule="auto"/>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segment profit/(loss)</w:t>
      </w:r>
    </w:p>
    <w:p>
      <w:pPr>
        <w:spacing w:after="0" w:line="20" w:lineRule="exact"/>
        <w:rPr>
          <w:sz w:val="20"/>
          <w:szCs w:val="20"/>
          <w:color w:val="auto"/>
        </w:rPr>
      </w:pPr>
    </w:p>
    <w:p>
      <w:pPr>
        <w:ind w:left="180" w:hanging="181"/>
        <w:spacing w:after="0" w:line="271" w:lineRule="auto"/>
        <w:rPr>
          <w:sz w:val="20"/>
          <w:szCs w:val="20"/>
          <w:color w:val="auto"/>
        </w:rPr>
      </w:pPr>
      <w:r>
        <w:rPr>
          <w:rFonts w:ascii="Arial" w:cs="Arial" w:eastAsia="Arial" w:hAnsi="Arial"/>
          <w:sz w:val="17"/>
          <w:szCs w:val="17"/>
          <w:b w:val="1"/>
          <w:bCs w:val="1"/>
          <w:i w:val="1"/>
          <w:iCs w:val="1"/>
          <w:color w:val="auto"/>
        </w:rPr>
        <w:t>Percentage change in reported segment profit/(loss) versus 2015 period</w:t>
      </w:r>
    </w:p>
    <w:p>
      <w:pPr>
        <w:ind w:left="180" w:hanging="181"/>
        <w:spacing w:after="0" w:line="277" w:lineRule="auto"/>
        <w:rPr>
          <w:sz w:val="20"/>
          <w:szCs w:val="20"/>
          <w:color w:val="auto"/>
        </w:rPr>
      </w:pPr>
      <w:r>
        <w:rPr>
          <w:rFonts w:ascii="Arial" w:cs="Arial" w:eastAsia="Arial" w:hAnsi="Arial"/>
          <w:sz w:val="17"/>
          <w:szCs w:val="17"/>
          <w:b w:val="1"/>
          <w:bCs w:val="1"/>
          <w:i w:val="1"/>
          <w:iCs w:val="1"/>
          <w:color w:val="auto"/>
        </w:rPr>
        <w:t>Percentage change in adjusted segment profit/(loss) versus 2015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right="620" w:hanging="181"/>
        <w:spacing w:after="0" w:line="300" w:lineRule="auto"/>
        <w:rPr>
          <w:sz w:val="20"/>
          <w:szCs w:val="20"/>
          <w:color w:val="auto"/>
        </w:rPr>
      </w:pPr>
      <w:r>
        <w:rPr>
          <w:rFonts w:ascii="Arial" w:cs="Arial" w:eastAsia="Arial" w:hAnsi="Arial"/>
          <w:sz w:val="16"/>
          <w:szCs w:val="16"/>
          <w:color w:val="auto"/>
        </w:rPr>
        <w:t>Reported segment profit Selected items impacting</w:t>
      </w:r>
    </w:p>
    <w:p>
      <w:pPr>
        <w:ind w:left="380" w:right="400"/>
        <w:spacing w:after="0" w:line="220" w:lineRule="auto"/>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segment profit</w:t>
      </w:r>
    </w:p>
    <w:p>
      <w:pPr>
        <w:spacing w:after="0" w:line="20" w:lineRule="exact"/>
        <w:rPr>
          <w:sz w:val="20"/>
          <w:szCs w:val="20"/>
          <w:color w:val="auto"/>
        </w:rPr>
      </w:pPr>
    </w:p>
    <w:p>
      <w:pPr>
        <w:ind w:left="180" w:right="340" w:hanging="181"/>
        <w:spacing w:after="0" w:line="256" w:lineRule="auto"/>
        <w:rPr>
          <w:sz w:val="20"/>
          <w:szCs w:val="20"/>
          <w:color w:val="auto"/>
        </w:rPr>
      </w:pPr>
      <w:r>
        <w:rPr>
          <w:rFonts w:ascii="Arial" w:cs="Arial" w:eastAsia="Arial" w:hAnsi="Arial"/>
          <w:sz w:val="18"/>
          <w:szCs w:val="18"/>
          <w:b w:val="1"/>
          <w:bCs w:val="1"/>
          <w:i w:val="1"/>
          <w:iCs w:val="1"/>
          <w:color w:val="auto"/>
        </w:rPr>
        <w:t>Percentage change in reported segment profit versus 2015 period</w:t>
      </w:r>
    </w:p>
    <w:p>
      <w:pPr>
        <w:ind w:left="180" w:right="340" w:hanging="181"/>
        <w:spacing w:after="0" w:line="255" w:lineRule="auto"/>
        <w:rPr>
          <w:sz w:val="20"/>
          <w:szCs w:val="20"/>
          <w:color w:val="auto"/>
        </w:rPr>
      </w:pPr>
      <w:r>
        <w:rPr>
          <w:rFonts w:ascii="Arial" w:cs="Arial" w:eastAsia="Arial" w:hAnsi="Arial"/>
          <w:sz w:val="18"/>
          <w:szCs w:val="18"/>
          <w:b w:val="1"/>
          <w:bCs w:val="1"/>
          <w:i w:val="1"/>
          <w:iCs w:val="1"/>
          <w:color w:val="auto"/>
        </w:rPr>
        <w:t>Percentage change in adjusted segment profit versus 2015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 2016</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Facilities</w:t>
            </w:r>
          </w:p>
        </w:tc>
        <w:tc>
          <w:tcPr>
            <w:tcW w:w="1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tcBorders>
              <w:right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5"/>
              </w:rPr>
              <w:t>Transportation</w:t>
            </w:r>
          </w:p>
        </w:tc>
        <w:tc>
          <w:tcPr>
            <w:tcW w:w="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Borders>
              <w:right w:val="single" w:sz="8" w:color="auto"/>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7"/>
              </w:rPr>
              <w:t>Logistics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right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(107)%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(118)%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 2016</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30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7"/>
              </w:rPr>
              <w:t>Transportation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tcBorders>
              <w:right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2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2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(95)%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(49)%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-3627120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-3069590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-2503805</wp:posOffset>
            </wp:positionV>
            <wp:extent cx="72466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-1551305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-994410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-427990</wp:posOffset>
            </wp:positionV>
            <wp:extent cx="72466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260"/>
            <w:col w:w="8580"/>
          </w:cols>
          <w:pgMar w:left="240" w:top="341" w:right="199" w:bottom="113" w:gutter="0" w:footer="0" w:header="0"/>
          <w:type w:val="continuous"/>
        </w:sectPr>
      </w:pPr>
    </w:p>
    <w:p>
      <w:pPr>
        <w:spacing w:after="0" w:line="231" w:lineRule="exact"/>
        <w:rPr>
          <w:sz w:val="20"/>
          <w:szCs w:val="20"/>
          <w:color w:val="auto"/>
        </w:rPr>
      </w:pPr>
    </w:p>
    <w:p>
      <w:pPr>
        <w:ind w:left="340" w:right="260" w:hanging="332"/>
        <w:spacing w:after="0" w:line="238"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Q3 2016</w:t>
            </w:r>
          </w:p>
        </w:tc>
        <w:tc>
          <w:tcPr>
            <w:tcW w:w="2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Q2 2016</w:t>
            </w:r>
          </w:p>
        </w:tc>
        <w:tc>
          <w:tcPr>
            <w:tcW w:w="24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Q3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0.2065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b w:val="1"/>
                <w:bCs w:val="1"/>
                <w:color w:val="auto"/>
                <w:w w:val="92"/>
              </w:rPr>
              <w:t>Q3 2016 distribution percentage change from prior periods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100" w:type="dxa"/>
            <w:vAlign w:val="bottom"/>
            <w:gridSpan w:val="2"/>
            <w:vMerge w:val="restart"/>
          </w:tcPr>
          <w:p>
            <w:pPr>
              <w:jc w:val="right"/>
              <w:ind w:right="650"/>
              <w:spacing w:after="0"/>
              <w:rPr>
                <w:sz w:val="20"/>
                <w:szCs w:val="20"/>
                <w:color w:val="auto"/>
              </w:rPr>
            </w:pPr>
            <w:r>
              <w:rPr>
                <w:rFonts w:ascii="Arial" w:cs="Arial" w:eastAsia="Arial" w:hAnsi="Arial"/>
                <w:sz w:val="18"/>
                <w:szCs w:val="18"/>
                <w:color w:val="auto"/>
              </w:rPr>
              <w:t>– more –</w:t>
            </w: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2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4"/>
              </w:rPr>
              <w:t>Houston, Texas 77002</w:t>
            </w:r>
          </w:p>
        </w:tc>
        <w:tc>
          <w:tcPr>
            <w:tcW w:w="2760" w:type="dxa"/>
            <w:vAlign w:val="bottom"/>
            <w:gridSpan w:val="4"/>
          </w:tcPr>
          <w:p>
            <w:pPr>
              <w:jc w:val="right"/>
              <w:ind w:right="336"/>
              <w:spacing w:after="0"/>
              <w:rPr>
                <w:sz w:val="20"/>
                <w:szCs w:val="20"/>
                <w:color w:val="auto"/>
              </w:rPr>
            </w:pPr>
            <w:r>
              <w:rPr>
                <w:rFonts w:ascii="Arial" w:cs="Arial" w:eastAsia="Arial" w:hAnsi="Arial"/>
                <w:sz w:val="18"/>
                <w:szCs w:val="18"/>
                <w:b w:val="1"/>
                <w:bCs w:val="1"/>
                <w:color w:val="auto"/>
                <w:w w:val="96"/>
              </w:rPr>
              <w:t>713-646-4100 / 866-809-1291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ectPr>
          <w:pgSz w:w="11900" w:h="16838" w:orient="portrait"/>
          <w:cols w:equalWidth="0" w:num="1">
            <w:col w:w="11460"/>
          </w:cols>
          <w:pgMar w:left="240" w:top="341" w:right="199" w:bottom="113" w:gutter="0" w:footer="0" w:header="0"/>
          <w:type w:val="continuous"/>
        </w:sectPr>
      </w:pPr>
    </w:p>
    <w:bookmarkStart w:id="4" w:name="page5"/>
    <w:bookmarkEnd w:id="4"/>
    <w:p>
      <w:pPr>
        <w:spacing w:after="0" w:line="6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PAA and PAGP will hold a conference call on November 3, 2016 (see details below). Prior to this conference call, PAA will furnish a current report on Form 8-K, which will include material in this news release as well as PAA’s financial and operational guidance for the fourth quarter and full year of 2016.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ET on Thursday, November 3,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third-quarter 2016 performance;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fourth quarter and full year of 2016;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2017 Preliminary Guidance;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97"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w:t>
      </w:r>
    </w:p>
    <w:p>
      <w:pPr>
        <w:sectPr>
          <w:pgSz w:w="11900" w:h="16900" w:orient="portrait"/>
          <w:cols w:equalWidth="0" w:num="1">
            <w:col w:w="11420"/>
          </w:cols>
          <w:pgMar w:left="240" w:top="125" w:right="239" w:bottom="0" w:gutter="0" w:footer="0" w:header="0"/>
        </w:sectPr>
      </w:pPr>
    </w:p>
    <w:bookmarkStart w:id="5" w:name="page6"/>
    <w:bookmarkEnd w:id="5"/>
    <w:p>
      <w:pPr>
        <w:ind w:right="260"/>
        <w:spacing w:after="0" w:line="277" w:lineRule="auto"/>
        <w:rPr>
          <w:sz w:val="20"/>
          <w:szCs w:val="20"/>
          <w:color w:val="auto"/>
        </w:rPr>
      </w:pPr>
      <w:r>
        <w:rPr>
          <w:rFonts w:ascii="Arial" w:cs="Arial" w:eastAsia="Arial" w:hAnsi="Arial"/>
          <w:sz w:val="18"/>
          <w:szCs w:val="18"/>
          <w:color w:val="auto"/>
        </w:rPr>
        <w:t>deficiency payments received from customers who fail to ship or move more than minimum contracted volumes until the related credits expire or are used; non-utilization of our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4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14,231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4,429</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12,000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6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13,454</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349</w:t>
            </w:r>
          </w:p>
        </w:tc>
        <w:tc>
          <w:tcPr>
            <w:tcW w:w="9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777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9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Basic</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0"/>
                <w:szCs w:val="20"/>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r>
      <w:tr>
        <w:trPr>
          <w:trHeight w:val="256"/>
        </w:trPr>
        <w:tc>
          <w:tcPr>
            <w:tcW w:w="4620" w:type="dxa"/>
            <w:vAlign w:val="bottom"/>
          </w:tcPr>
          <w:p>
            <w:pPr>
              <w:ind w:left="180"/>
              <w:spacing w:after="0"/>
              <w:rPr>
                <w:sz w:val="20"/>
                <w:szCs w:val="20"/>
                <w:color w:val="auto"/>
              </w:rPr>
            </w:pPr>
            <w:r>
              <w:rPr>
                <w:rFonts w:ascii="Arial" w:cs="Arial" w:eastAsia="Arial" w:hAnsi="Arial"/>
                <w:sz w:val="18"/>
                <w:szCs w:val="18"/>
                <w:color w:val="auto"/>
              </w:rPr>
              <w:t>Basic net income per common unit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0.40</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0.27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2"/>
                <w:szCs w:val="22"/>
                <w:color w:val="auto"/>
              </w:rPr>
            </w:pPr>
          </w:p>
        </w:tc>
      </w:tr>
      <w:tr>
        <w:trPr>
          <w:trHeight w:val="197"/>
        </w:trPr>
        <w:tc>
          <w:tcPr>
            <w:tcW w:w="46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Diluted</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0.40</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0.27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40" w:hanging="332"/>
        <w:spacing w:after="0" w:line="251"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gains and losses on asset dispositions and asset impairments.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1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1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 more –</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0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8"/>
              </w:rPr>
              <w:t>Houston, Texas 77002</w:t>
            </w:r>
          </w:p>
        </w:tc>
        <w:tc>
          <w:tcPr>
            <w:tcW w:w="180" w:type="dxa"/>
            <w:vAlign w:val="bottom"/>
          </w:tcPr>
          <w:p>
            <w:pPr>
              <w:spacing w:after="0"/>
              <w:rPr>
                <w:sz w:val="19"/>
                <w:szCs w:val="19"/>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713-646-4100 / 866-809-1291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2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3,773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2,353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4,077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14,433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9,016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partners’ capital</w:t>
            </w:r>
          </w:p>
        </w:tc>
        <w:tc>
          <w:tcPr>
            <w:tcW w:w="17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9,074</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1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23,507</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9,634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9,074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7" w:name="page8"/>
    <w:bookmarkEnd w:id="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980" w:type="dxa"/>
            <w:vAlign w:val="bottom"/>
          </w:tcPr>
          <w:p>
            <w:pPr>
              <w:spacing w:after="0"/>
              <w:rPr>
                <w:sz w:val="2"/>
                <w:szCs w:val="2"/>
                <w:color w:val="auto"/>
              </w:rPr>
            </w:pPr>
          </w:p>
        </w:tc>
        <w:tc>
          <w:tcPr>
            <w:tcW w:w="156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40" w:type="dxa"/>
            <w:vAlign w:val="bottom"/>
            <w:gridSpan w:val="2"/>
            <w:vMerge w:val="continue"/>
          </w:tcPr>
          <w:p>
            <w:pPr>
              <w:spacing w:after="0"/>
              <w:rPr>
                <w:sz w:val="21"/>
                <w:szCs w:val="21"/>
                <w:color w:val="auto"/>
              </w:rPr>
            </w:pPr>
          </w:p>
        </w:tc>
        <w:tc>
          <w:tcPr>
            <w:tcW w:w="198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20,092</w:t>
            </w:r>
          </w:p>
        </w:tc>
        <w:tc>
          <w:tcPr>
            <w:tcW w:w="280" w:type="dxa"/>
            <w:vAlign w:val="bottom"/>
            <w:vMerge w:val="continue"/>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19,313</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Arial" w:cs="Arial" w:eastAsia="Arial" w:hAnsi="Arial"/>
                <w:sz w:val="18"/>
                <w:szCs w:val="18"/>
                <w:color w:val="auto"/>
              </w:rPr>
              <w:t>– more –</w:t>
            </w: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713-646-4100 / 866-809-1291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2"/>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segment (average daily volumes in thousands</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of barrels per day):</w:t>
            </w: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Volumes from tariff activities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2,162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1,885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2,129</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Western</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Gulf Coast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423</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576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538</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379</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w:t>
            </w: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7"/>
                <w:szCs w:val="17"/>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100</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7"/>
                <w:szCs w:val="17"/>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(average monthly capacity in millions of barrels)</w:t>
            </w:r>
          </w:p>
        </w:tc>
        <w:tc>
          <w:tcPr>
            <w:tcW w:w="8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w w:val="98"/>
              </w:rPr>
              <w:t>Rail load / unload volumes (average volumes in thousands of</w:t>
            </w:r>
          </w:p>
        </w:tc>
        <w:tc>
          <w:tcPr>
            <w:tcW w:w="8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Borders>
              <w:top w:val="single" w:sz="8" w:color="CCEEFF"/>
            </w:tcBorders>
            <w:vMerge w:val="restart"/>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top w:val="single" w:sz="8" w:color="CCEEFF"/>
            </w:tcBorders>
            <w:vMerge w:val="restart"/>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5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working capacity in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billions of cubic feet)</w:t>
            </w:r>
          </w:p>
        </w:tc>
        <w:tc>
          <w:tcPr>
            <w:tcW w:w="8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NGL fractionation (average volumes in thousands of barrels</w:t>
            </w:r>
          </w:p>
        </w:tc>
        <w:tc>
          <w:tcPr>
            <w:tcW w:w="8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5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 day)</w:t>
            </w:r>
          </w:p>
        </w:tc>
        <w:tc>
          <w:tcPr>
            <w:tcW w:w="8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w w:val="97"/>
              </w:rPr>
              <w:t>Facilities segment total volumes (average monthly volumes in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13"/>
                <w:szCs w:val="13"/>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126</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3"/>
                <w:szCs w:val="13"/>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(3)</w:t>
            </w:r>
          </w:p>
        </w:tc>
        <w:tc>
          <w:tcPr>
            <w:tcW w:w="82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b w:val="1"/>
                <w:bCs w:val="1"/>
                <w:color w:val="auto"/>
              </w:rPr>
              <w:t>thousands of barrels per day):</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Supply and Logistics segment total volumes</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360" w:hanging="332"/>
        <w:spacing w:after="0" w:line="267"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0" w:lineRule="exact"/>
        <w:rPr>
          <w:sz w:val="20"/>
          <w:szCs w:val="20"/>
          <w:color w:val="auto"/>
        </w:rPr>
      </w:pPr>
    </w:p>
    <w:p>
      <w:pPr>
        <w:sectPr>
          <w:pgSz w:w="11900" w:h="16856" w:orient="portrait"/>
          <w:cols w:equalWidth="0" w:num="1">
            <w:col w:w="11460"/>
          </w:cols>
          <w:pgMar w:left="240" w:top="125" w:right="199" w:bottom="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0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297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allocated to common unitholders in accordance with</w:t>
            </w: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vMerge w:val="continue"/>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02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0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0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297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allocated to common unitholders in accordance with</w:t>
            </w: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vMerge w:val="continue"/>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02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w w:val="97"/>
              </w:rPr>
              <w:t xml:space="preserve">Effect of dilutive securities: Weighted average LTIP units </w:t>
            </w:r>
            <w:r>
              <w:rPr>
                <w:rFonts w:ascii="Arial" w:cs="Arial" w:eastAsia="Arial" w:hAnsi="Arial"/>
                <w:sz w:val="23"/>
                <w:szCs w:val="23"/>
                <w:color w:val="auto"/>
                <w:w w:val="97"/>
                <w:vertAlign w:val="superscript"/>
              </w:rPr>
              <w:t>(2)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402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net income per common unit </w:t>
            </w:r>
            <w:r>
              <w:rPr>
                <w:rFonts w:ascii="Arial" w:cs="Arial" w:eastAsia="Arial" w:hAnsi="Arial"/>
                <w:sz w:val="23"/>
                <w:szCs w:val="23"/>
                <w:color w:val="auto"/>
                <w:vertAlign w:val="superscript"/>
              </w:rPr>
              <w:t>(3)</w:t>
            </w:r>
          </w:p>
        </w:tc>
        <w:tc>
          <w:tcPr>
            <w:tcW w:w="10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Net income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ind w:left="340" w:right="20" w:hanging="332"/>
        <w:spacing w:after="0" w:line="234"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Arial" w:cs="Arial" w:eastAsia="Arial" w:hAnsi="Arial"/>
          <w:sz w:val="23"/>
          <w:szCs w:val="23"/>
          <w:color w:val="auto"/>
          <w:vertAlign w:val="superscript"/>
        </w:rPr>
      </w:pPr>
    </w:p>
    <w:p>
      <w:pPr>
        <w:ind w:left="340" w:right="160" w:hanging="332"/>
        <w:spacing w:after="0" w:line="21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and nine months ended September 30,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w w:val="96"/>
              </w:rPr>
              <w:t>September 30,</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134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0"/>
              <w:spacing w:after="0"/>
              <w:rPr>
                <w:sz w:val="20"/>
                <w:szCs w:val="20"/>
                <w:color w:val="auto"/>
              </w:rPr>
            </w:pPr>
            <w:r>
              <w:rPr>
                <w:rFonts w:ascii="Arial" w:cs="Arial" w:eastAsia="Arial" w:hAnsi="Arial"/>
                <w:sz w:val="18"/>
                <w:szCs w:val="18"/>
                <w:color w:val="auto"/>
              </w:rPr>
              <w:t>Selected items impacting comparability of EBITDA</w:t>
            </w:r>
          </w:p>
        </w:tc>
        <w:tc>
          <w:tcPr>
            <w:tcW w:w="5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800" w:type="dxa"/>
            <w:vAlign w:val="bottom"/>
          </w:tcPr>
          <w:p>
            <w:pPr>
              <w:jc w:val="right"/>
              <w:ind w:right="62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16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16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6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Deferred income tax expense </w:t>
            </w:r>
            <w:r>
              <w:rPr>
                <w:rFonts w:ascii="Arial" w:cs="Arial" w:eastAsia="Arial" w:hAnsi="Arial"/>
                <w:sz w:val="22"/>
                <w:szCs w:val="22"/>
                <w:color w:val="auto"/>
                <w:vertAlign w:val="superscript"/>
              </w:rPr>
              <w:t>(8)</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8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77"/>
        </w:trPr>
        <w:tc>
          <w:tcPr>
            <w:tcW w:w="53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7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Selected items impacting comparability of net income attributable to PAA</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420" w:type="dxa"/>
            <w:vAlign w:val="bottom"/>
            <w:gridSpan w:val="2"/>
            <w:shd w:val="clear" w:color="auto" w:fill="CCEEFF"/>
          </w:tcPr>
          <w:p>
            <w:pPr>
              <w:jc w:val="right"/>
              <w:ind w:right="290"/>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common unit</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5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420" w:type="dxa"/>
            <w:vAlign w:val="bottom"/>
            <w:gridSpan w:val="2"/>
            <w:shd w:val="clear" w:color="auto" w:fill="CCEEFF"/>
          </w:tcPr>
          <w:p>
            <w:pPr>
              <w:jc w:val="right"/>
              <w:ind w:right="290"/>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common unit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0.01</w:t>
            </w:r>
          </w:p>
        </w:tc>
        <w:tc>
          <w:tcPr>
            <w:tcW w:w="280" w:type="dxa"/>
            <w:vAlign w:val="bottom"/>
            <w:vMerge w:val="continue"/>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(0.04</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(0.45</w:t>
            </w: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(0.58</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80" w:hanging="332"/>
        <w:spacing w:after="0" w:line="23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 w:lineRule="exact"/>
        <w:rPr>
          <w:rFonts w:ascii="Arial" w:cs="Arial" w:eastAsia="Arial" w:hAnsi="Arial"/>
          <w:sz w:val="23"/>
          <w:szCs w:val="23"/>
          <w:color w:val="auto"/>
          <w:vertAlign w:val="superscript"/>
        </w:rPr>
      </w:pPr>
    </w:p>
    <w:p>
      <w:pPr>
        <w:ind w:left="340" w:right="20" w:hanging="332"/>
        <w:spacing w:after="0" w:line="27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hanging="332"/>
        <w:spacing w:after="0" w:line="21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23"/>
          <w:szCs w:val="23"/>
          <w:color w:val="auto"/>
          <w:vertAlign w:val="superscript"/>
        </w:rPr>
      </w:pPr>
    </w:p>
    <w:p>
      <w:pPr>
        <w:ind w:left="340" w:right="560" w:hanging="332"/>
        <w:spacing w:after="0" w:line="219" w:lineRule="auto"/>
        <w:tabs>
          <w:tab w:leader="none" w:pos="357"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a change in Canadian tax legislation impacting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September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September 30, 2015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Reported segment profit/(loss)</w:t>
            </w: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6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right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(Gains)/losses from derivative activities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of 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24"/>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9"/>
              </w:rPr>
              <w:t>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expense/(benefit)</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on foreign currency revaluation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9"/>
              </w:rPr>
              <w:t>34</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771"/>
              <w:spacing w:after="0"/>
              <w:rPr>
                <w:sz w:val="20"/>
                <w:szCs w:val="20"/>
                <w:color w:val="auto"/>
              </w:rPr>
            </w:pPr>
            <w:r>
              <w:rPr>
                <w:rFonts w:ascii="Arial" w:cs="Arial" w:eastAsia="Arial" w:hAnsi="Arial"/>
                <w:sz w:val="18"/>
                <w:szCs w:val="18"/>
                <w:color w:val="auto"/>
                <w:w w:val="89"/>
              </w:rPr>
              <w:t>29</w:t>
            </w:r>
          </w:p>
        </w:tc>
        <w:tc>
          <w:tcPr>
            <w:tcW w:w="8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6"/>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September 30, 2016</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0"/>
              </w:rPr>
              <w:t>September 30, 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3"/>
              </w:rPr>
              <w:t>(69)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(13,031)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3"/>
              </w:rPr>
              <w:t>(67)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3"/>
              </w:rPr>
              <w:t>(10)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Reported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Losses from derivative activities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9"/>
              </w:rPr>
              <w:t>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040" w:type="dxa"/>
            <w:vAlign w:val="bottom"/>
          </w:tcPr>
          <w:p>
            <w:pPr>
              <w:jc w:val="center"/>
              <w:ind w:left="791"/>
              <w:spacing w:after="0"/>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(gain)/loss on foreign currency</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9"/>
              </w:rPr>
              <w:t>65</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771"/>
              <w:spacing w:after="0"/>
              <w:rPr>
                <w:sz w:val="20"/>
                <w:szCs w:val="20"/>
                <w:color w:val="auto"/>
              </w:rPr>
            </w:pPr>
            <w:r>
              <w:rPr>
                <w:rFonts w:ascii="Arial" w:cs="Arial" w:eastAsia="Arial" w:hAnsi="Arial"/>
                <w:sz w:val="18"/>
                <w:szCs w:val="18"/>
                <w:color w:val="auto"/>
                <w:w w:val="89"/>
              </w:rPr>
              <w:t>86</w:t>
            </w:r>
          </w:p>
        </w:tc>
        <w:tc>
          <w:tcPr>
            <w:tcW w:w="8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340" w:right="280" w:hanging="332"/>
        <w:spacing w:after="0" w:line="24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0"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459"/>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78"/>
        </w:trPr>
        <w:tc>
          <w:tcPr>
            <w:tcW w:w="57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Amortization (“EBITDA”), Excluding Selected Items Impacting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Comparability (“Adjusted EBITDA”) and Implied Distributable Cash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Flow (“DCF”) Reconciliations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5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w:t>
            </w: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66</w:t>
            </w:r>
          </w:p>
        </w:tc>
      </w:tr>
    </w:tbl>
    <w:p>
      <w:pPr>
        <w:sectPr>
          <w:pgSz w:w="11900" w:h="16900" w:orient="portrait"/>
          <w:cols w:equalWidth="0" w:num="1">
            <w:col w:w="11420"/>
          </w:cols>
          <w:pgMar w:left="240" w:top="134"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EBITDA</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8"/>
                <w:szCs w:val="18"/>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Adjusted EBITDA</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8"/>
                <w:szCs w:val="18"/>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584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(4)</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 w:lineRule="exact"/>
        <w:rPr>
          <w:rFonts w:ascii="Arial" w:cs="Arial" w:eastAsia="Arial" w:hAnsi="Arial"/>
          <w:sz w:val="23"/>
          <w:szCs w:val="23"/>
          <w:color w:val="auto"/>
          <w:vertAlign w:val="superscript"/>
        </w:rPr>
      </w:pPr>
    </w:p>
    <w:p>
      <w:pPr>
        <w:ind w:left="340" w:right="46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Including costs recognized during the period related to the Line 901 incident that occurred during May 2015, Implied DCF would have been $1,027 million for the nine months ended September 30, 2015.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NET INCOME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w w:val="98"/>
              </w:rPr>
              <w:t>September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60"/>
              <w:spacing w:after="0" w:line="162" w:lineRule="exact"/>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Adjusted net income allocated to common unitholders in accordance with</w:t>
            </w: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4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9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0.73</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60"/>
              <w:spacing w:after="0" w:line="162" w:lineRule="exact"/>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Adjusted net income allocated to common unitholders in accordance with</w:t>
            </w: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4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(4)</w:t>
            </w:r>
          </w:p>
        </w:tc>
        <w:tc>
          <w:tcPr>
            <w:tcW w:w="9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0.72</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Adjusted net income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ectPr>
          <w:pgSz w:w="11900" w:h="16838" w:orient="portrait"/>
          <w:cols w:equalWidth="0" w:num="1">
            <w:col w:w="11420"/>
          </w:cols>
          <w:pgMar w:left="240" w:top="140" w:right="239" w:bottom="0" w:gutter="0" w:footer="0" w:header="0"/>
        </w:sectPr>
      </w:pPr>
    </w:p>
    <w:bookmarkStart w:id="12" w:name="page13"/>
    <w:bookmarkEnd w:id="12"/>
    <w:p>
      <w:pPr>
        <w:ind w:left="340" w:right="20" w:hanging="332"/>
        <w:spacing w:after="0" w:line="238"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ind w:left="340" w:right="18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and nine months ended September 30,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2016</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2015</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4,429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780" w:hanging="332"/>
        <w:spacing w:after="0" w:line="251"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Page 16</w:t>
      </w:r>
    </w:p>
    <w:p>
      <w:pPr>
        <w:sectPr>
          <w:pgSz w:w="11900" w:h="16838" w:orient="portrait"/>
          <w:cols w:equalWidth="0" w:num="1">
            <w:col w:w="11420"/>
          </w:cols>
          <w:pgMar w:left="240" w:top="125" w:right="239" w:bottom="0" w:gutter="0" w:footer="0" w:header="0"/>
          <w:type w:val="continuous"/>
        </w:sectPr>
      </w:pPr>
    </w:p>
    <w:bookmarkStart w:id="13" w:name="page14"/>
    <w:bookmarkEnd w:id="13"/>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September 30, 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13,457</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(564)</w:t>
            </w: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780" w:hanging="332"/>
        <w:spacing w:after="0" w:line="251"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PAA</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3,776</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1,886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color w:val="auto"/>
              </w:rPr>
              <w:t>1,886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1,835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bl>
    <w:p>
      <w:pPr>
        <w:sectPr>
          <w:pgSz w:w="11900" w:h="16900" w:orient="portrait"/>
          <w:cols w:equalWidth="0" w:num="1">
            <w:col w:w="11420"/>
          </w:cols>
          <w:pgMar w:left="240" w:top="337"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Long-term inventory</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25,411</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 discounts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and debt issuance costs</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9,130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 debt, net of unamortized</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1,106</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w:t>
            </w: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Other long-term liabilities and deferred</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credits</w:t>
            </w: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567</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1,768</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(6,119)</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8,548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8,606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7,414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25,411</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8"/>
          <w:szCs w:val="8"/>
          <w:color w:val="auto"/>
        </w:rPr>
      </w:pPr>
      <w:r>
        <w:rPr>
          <w:rFonts w:ascii="Arial" w:cs="Arial" w:eastAsia="Arial" w:hAnsi="Arial"/>
          <w:sz w:val="18"/>
          <w:szCs w:val="18"/>
          <w:color w:val="auto"/>
        </w:rPr>
        <w:t>Represents the aggregate consolidating adjustments necessary to produce consolidated financial statements for PAGP.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2016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 xml:space="preserve">Q3 2016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0.2450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Common Units Outstanding at 10/31/16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Plus: Borrowings to Fund True-up Distribution </w:t>
            </w:r>
            <w:r>
              <w:rPr>
                <w:rFonts w:ascii="Arial" w:cs="Arial" w:eastAsia="Arial" w:hAnsi="Arial"/>
                <w:sz w:val="23"/>
                <w:szCs w:val="23"/>
                <w:color w:val="auto"/>
                <w:vertAlign w:val="superscript"/>
              </w:rPr>
              <w:t>(3)</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Direct AAP Owners &amp; AAP Management (59% economic interest)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PAGP (41% economic interest)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Class A Shares Outstanding at 10/31/16</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536"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Plains AAP, L.P. (“AAP”) is the general partner of PAA.</w:t>
      </w:r>
    </w:p>
    <w:p>
      <w:pPr>
        <w:spacing w:after="0" w:line="32" w:lineRule="exact"/>
        <w:rPr>
          <w:sz w:val="20"/>
          <w:szCs w:val="20"/>
          <w:color w:val="auto"/>
        </w:rPr>
      </w:pPr>
    </w:p>
    <w:p>
      <w:pPr>
        <w:sectPr>
          <w:pgSz w:w="11900" w:h="16838" w:orient="portrait"/>
          <w:cols w:equalWidth="0" w:num="2">
            <w:col w:w="140" w:space="180"/>
            <w:col w:w="11100"/>
          </w:cols>
          <w:pgMar w:left="240" w:top="140" w:right="239" w:bottom="536" w:gutter="0" w:footer="0" w:header="0"/>
          <w:type w:val="continuous"/>
        </w:sectPr>
      </w:pPr>
    </w:p>
    <w:p>
      <w:pPr>
        <w:ind w:left="340" w:hanging="332"/>
        <w:spacing w:after="0" w:line="261" w:lineRule="auto"/>
        <w:tabs>
          <w:tab w:leader="none" w:pos="32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AAP has agreed to borrow funds under its credit agreement as necessary to make a special ‘‘true-up’’ distribution to its partners that, when added to the distributions to be paid to AAP in respect of the 2% general partner interest in PAA and the IDRs, equals the total distribution AAP’s partners would have received if the closing of the Simplification Transactions had occurred immediately prior to the record date for the third quarter distribution.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536"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7" w:lineRule="exact"/>
        <w:rPr>
          <w:sz w:val="20"/>
          <w:szCs w:val="20"/>
          <w:color w:val="auto"/>
        </w:rPr>
      </w:pPr>
    </w:p>
    <w:p>
      <w:pPr>
        <w:ind w:right="4800" w:firstLine="14"/>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1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Incremental net income allocated to PAGP resulting from</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2"/>
              </w:rPr>
              <w:t>assumed exchange of AAP units and AAP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Net income allocated to PAGP including incremental net</w:t>
            </w: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w w:val="97"/>
              </w:rPr>
              <w:t>income from assumed exchange of AAP units and AAP</w:t>
            </w: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240</w:t>
            </w: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Management Units</w:t>
            </w:r>
          </w:p>
        </w:tc>
        <w:tc>
          <w:tcPr>
            <w:tcW w:w="60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263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Dilutive shares resulting from assumed exchange of AAP</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units and AAP Management 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Diluted net income per Class A share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Contacts:</w:t>
            </w: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700" w:type="dxa"/>
            <w:vAlign w:val="bottom"/>
            <w:gridSpan w:val="3"/>
          </w:tcPr>
          <w:p>
            <w:pPr>
              <w:spacing w:after="0"/>
              <w:rPr>
                <w:sz w:val="20"/>
                <w:szCs w:val="20"/>
                <w:color w:val="auto"/>
              </w:rPr>
            </w:pPr>
            <w:r>
              <w:rPr>
                <w:rFonts w:ascii="Arial" w:cs="Arial" w:eastAsia="Arial" w:hAnsi="Arial"/>
                <w:sz w:val="18"/>
                <w:szCs w:val="18"/>
                <w:color w:val="auto"/>
              </w:rPr>
              <w:t>Ryan Smith</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w w:val="96"/>
              </w:rPr>
              <w:t>Al Swanson</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Director, Investor Relations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8"/>
                <w:szCs w:val="18"/>
                <w:color w:val="auto"/>
                <w:w w:val="98"/>
              </w:rPr>
              <w:t>Executive Vice President, CFO</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(866) 809-1291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ind w:left="420"/>
              <w:spacing w:after="0"/>
              <w:rPr>
                <w:sz w:val="20"/>
                <w:szCs w:val="20"/>
                <w:color w:val="auto"/>
              </w:rPr>
            </w:pPr>
            <w:r>
              <w:rPr>
                <w:rFonts w:ascii="Arial" w:cs="Arial" w:eastAsia="Arial" w:hAnsi="Arial"/>
                <w:sz w:val="18"/>
                <w:szCs w:val="18"/>
                <w:color w:val="auto"/>
                <w:w w:val="94"/>
              </w:rPr>
              <w:t>(800) 564-3036</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60" w:type="dxa"/>
            <w:vAlign w:val="bottom"/>
          </w:tcPr>
          <w:p>
            <w:pPr>
              <w:ind w:left="1660"/>
              <w:spacing w:after="0"/>
              <w:rPr>
                <w:sz w:val="20"/>
                <w:szCs w:val="20"/>
                <w:color w:val="auto"/>
              </w:rPr>
            </w:pPr>
            <w:r>
              <w:rPr>
                <w:rFonts w:ascii="Arial" w:cs="Arial" w:eastAsia="Arial" w:hAnsi="Arial"/>
                <w:sz w:val="18"/>
                <w:szCs w:val="18"/>
                <w:b w:val="1"/>
                <w:bCs w:val="1"/>
                <w:color w:val="auto"/>
              </w:rPr>
              <w:t>333 Clay Street, Suite 1600</w:t>
            </w:r>
          </w:p>
        </w:tc>
        <w:tc>
          <w:tcPr>
            <w:tcW w:w="19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3"/>
              </w:rPr>
              <w:t>Houston, Texas 77002</w:t>
            </w:r>
          </w:p>
        </w:tc>
        <w:tc>
          <w:tcPr>
            <w:tcW w:w="240" w:type="dxa"/>
            <w:vAlign w:val="bottom"/>
          </w:tcPr>
          <w:p>
            <w:pPr>
              <w:spacing w:after="0"/>
              <w:rPr>
                <w:sz w:val="20"/>
                <w:szCs w:val="20"/>
                <w:color w:val="auto"/>
              </w:rPr>
            </w:pPr>
          </w:p>
        </w:tc>
        <w:tc>
          <w:tcPr>
            <w:tcW w:w="2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713-646-4100 / 866-809-1291</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2020-01-21T17:02:57Z</dcterms:created>
  <dcterms:modified xsi:type="dcterms:W3CDTF">2020-01-21T17:02:57Z</dcterms:modified>
</cp:coreProperties>
</file>