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93"/>
              </w:rPr>
              <w:t>Delaware</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90-1005472</w:t>
            </w:r>
          </w:p>
        </w:tc>
      </w:tr>
      <w:tr>
        <w:trPr>
          <w:trHeight w:val="251"/>
        </w:trPr>
        <w:tc>
          <w:tcPr>
            <w:tcW w:w="6700" w:type="dxa"/>
            <w:vAlign w:val="bottom"/>
          </w:tcPr>
          <w:p>
            <w:pPr>
              <w:jc w:val="center"/>
              <w:ind w:right="3293"/>
              <w:spacing w:after="0"/>
              <w:rPr>
                <w:sz w:val="20"/>
                <w:szCs w:val="20"/>
                <w:color w:val="auto"/>
              </w:rPr>
            </w:pPr>
            <w:r>
              <w:rPr>
                <w:rFonts w:ascii="Arial" w:cs="Arial" w:eastAsia="Arial" w:hAnsi="Arial"/>
                <w:sz w:val="16"/>
                <w:szCs w:val="16"/>
                <w:color w:val="auto"/>
                <w:w w:val="93"/>
              </w:rPr>
              <w:t>(State or other jurisdiction of</w:t>
            </w: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3"/>
              </w:rPr>
              <w:t>incorporation or organization)</w:t>
            </w:r>
          </w:p>
        </w:tc>
        <w:tc>
          <w:tcPr>
            <w:tcW w:w="120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11"/>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00" w:type="dxa"/>
            <w:vAlign w:val="bottom"/>
          </w:tcPr>
          <w:p>
            <w:pPr>
              <w:jc w:val="right"/>
              <w:ind w:right="275"/>
              <w:spacing w:after="0"/>
              <w:rPr>
                <w:sz w:val="20"/>
                <w:szCs w:val="20"/>
                <w:color w:val="auto"/>
              </w:rPr>
            </w:pPr>
            <w:r>
              <w:rPr>
                <w:rFonts w:ascii="Arial" w:cs="Arial" w:eastAsia="Arial" w:hAnsi="Arial"/>
                <w:sz w:val="18"/>
                <w:szCs w:val="18"/>
                <w:b w:val="1"/>
                <w:bCs w:val="1"/>
                <w:color w:val="auto"/>
              </w:rPr>
              <w:t>77002</w:t>
            </w:r>
          </w:p>
        </w:tc>
      </w:tr>
      <w:tr>
        <w:trPr>
          <w:trHeight w:val="251"/>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4"/>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437"/>
        </w:trPr>
        <w:tc>
          <w:tcPr>
            <w:tcW w:w="6700" w:type="dxa"/>
            <w:vAlign w:val="bottom"/>
          </w:tcPr>
          <w:p>
            <w:pPr>
              <w:jc w:val="right"/>
              <w:ind w:right="1273"/>
              <w:spacing w:after="0"/>
              <w:rPr>
                <w:sz w:val="20"/>
                <w:szCs w:val="20"/>
                <w:color w:val="auto"/>
              </w:rPr>
            </w:pPr>
            <w:r>
              <w:rPr>
                <w:rFonts w:ascii="Arial" w:cs="Arial" w:eastAsia="Arial" w:hAnsi="Arial"/>
                <w:sz w:val="18"/>
                <w:szCs w:val="18"/>
                <w:b w:val="1"/>
                <w:bCs w:val="1"/>
                <w:color w:val="auto"/>
              </w:rPr>
              <w:t>(713) 646-4100</w:t>
            </w:r>
          </w:p>
        </w:tc>
        <w:tc>
          <w:tcPr>
            <w:tcW w:w="1200" w:type="dxa"/>
            <w:vAlign w:val="bottom"/>
          </w:tcPr>
          <w:p>
            <w:pPr>
              <w:spacing w:after="0"/>
              <w:rPr>
                <w:sz w:val="24"/>
                <w:szCs w:val="24"/>
                <w:color w:val="auto"/>
              </w:rPr>
            </w:pPr>
          </w:p>
        </w:tc>
      </w:tr>
      <w:tr>
        <w:trPr>
          <w:trHeight w:val="216"/>
        </w:trPr>
        <w:tc>
          <w:tcPr>
            <w:tcW w:w="6700" w:type="dxa"/>
            <w:vAlign w:val="bottom"/>
          </w:tcPr>
          <w:p>
            <w:pPr>
              <w:ind w:left="2860"/>
              <w:spacing w:after="0"/>
              <w:rPr>
                <w:sz w:val="20"/>
                <w:szCs w:val="20"/>
                <w:color w:val="auto"/>
              </w:rPr>
            </w:pPr>
            <w:r>
              <w:rPr>
                <w:rFonts w:ascii="Arial" w:cs="Arial" w:eastAsia="Arial" w:hAnsi="Arial"/>
                <w:sz w:val="18"/>
                <w:szCs w:val="18"/>
                <w:color w:val="auto"/>
                <w:w w:val="90"/>
              </w:rPr>
              <w:t>(Registrant’s telephone number, including area code)</w:t>
            </w:r>
          </w:p>
        </w:tc>
        <w:tc>
          <w:tcPr>
            <w:tcW w:w="120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 Yes o No</w:t>
      </w:r>
    </w:p>
    <w:p>
      <w:pPr>
        <w:spacing w:after="0" w:line="2" w:lineRule="exact"/>
        <w:rPr>
          <w:sz w:val="24"/>
          <w:szCs w:val="24"/>
          <w:color w:val="auto"/>
        </w:rPr>
      </w:pPr>
    </w:p>
    <w:p>
      <w:pPr>
        <w:ind w:left="40" w:right="2200" w:hanging="34"/>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July 31, 2017, there were 153,472,898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248920</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80" w:type="dxa"/>
            <w:vAlign w:val="bottom"/>
            <w:gridSpan w:val="17"/>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140" w:type="dxa"/>
            <w:vAlign w:val="bottom"/>
            <w:gridSpan w:val="3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6260" w:type="dxa"/>
            <w:vAlign w:val="bottom"/>
            <w:tcBorders>
              <w:top w:val="single" w:sz="8" w:color="0000EE"/>
            </w:tcBorders>
            <w:gridSpan w:val="2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2017 and December 31, 2016</w:t>
              </w:r>
            </w:hyperlink>
          </w:p>
        </w:tc>
        <w:tc>
          <w:tcPr>
            <w:tcW w:w="374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04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2017 and 2016</w:t>
              </w:r>
            </w:hyperlink>
          </w:p>
        </w:tc>
        <w:tc>
          <w:tcPr>
            <w:tcW w:w="1960" w:type="dxa"/>
            <w:vAlign w:val="bottom"/>
            <w:gridSpan w:val="5"/>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96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2017 and 2016</w:t>
              </w:r>
            </w:hyperlink>
          </w:p>
        </w:tc>
        <w:tc>
          <w:tcPr>
            <w:tcW w:w="1040" w:type="dxa"/>
            <w:vAlign w:val="bottom"/>
            <w:gridSpan w:val="3"/>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96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six months ended June 30,</w:t>
              </w:r>
            </w:hyperlink>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gridSpan w:val="3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 and 2016</w:t>
              </w:r>
            </w:hyperlink>
          </w:p>
        </w:tc>
        <w:tc>
          <w:tcPr>
            <w:tcW w:w="124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8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2017 and 2016</w:t>
              </w:r>
            </w:hyperlink>
          </w:p>
        </w:tc>
        <w:tc>
          <w:tcPr>
            <w:tcW w:w="2620" w:type="dxa"/>
            <w:vAlign w:val="bottom"/>
            <w:gridSpan w:val="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60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six months ended June 30, 2017 and 2016</w:t>
              </w:r>
            </w:hyperlink>
          </w:p>
        </w:tc>
        <w:tc>
          <w:tcPr>
            <w:tcW w:w="140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700" w:type="dxa"/>
            <w:vAlign w:val="bottom"/>
            <w:gridSpan w:val="13"/>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19"/>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440" w:type="dxa"/>
            <w:vAlign w:val="bottom"/>
            <w:gridSpan w:val="1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2680" w:type="dxa"/>
            <w:vAlign w:val="bottom"/>
            <w:gridSpan w:val="15"/>
          </w:tcPr>
          <w:p>
            <w:pPr>
              <w:ind w:left="2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Recent Accounting Pronouncements</w:t>
              </w:r>
            </w:hyperlink>
          </w:p>
        </w:tc>
        <w:tc>
          <w:tcPr>
            <w:tcW w:w="6960" w:type="dxa"/>
            <w:vAlign w:val="bottom"/>
            <w:gridSpan w:val="1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3.</w:t>
              </w:r>
            </w:hyperlink>
          </w:p>
        </w:tc>
        <w:tc>
          <w:tcPr>
            <w:tcW w:w="2180" w:type="dxa"/>
            <w:vAlign w:val="bottom"/>
            <w:gridSpan w:val="11"/>
          </w:tcPr>
          <w:p>
            <w:pPr>
              <w:ind w:left="20"/>
              <w:spacing w:after="0"/>
              <w:rPr>
                <w:rFonts w:ascii="Arial" w:cs="Arial" w:eastAsia="Arial" w:hAnsi="Arial"/>
                <w:sz w:val="18"/>
                <w:szCs w:val="18"/>
                <w:color w:val="0000EE"/>
                <w:w w:val="86"/>
              </w:rPr>
            </w:pPr>
            <w:hyperlink w:anchor="page12">
              <w:r>
                <w:rPr>
                  <w:rFonts w:ascii="Arial" w:cs="Arial" w:eastAsia="Arial" w:hAnsi="Arial"/>
                  <w:sz w:val="18"/>
                  <w:szCs w:val="18"/>
                  <w:color w:val="0000EE"/>
                  <w:w w:val="86"/>
                </w:rPr>
                <w:t>Net Income Per Class A Share</w:t>
              </w:r>
            </w:hyperlink>
          </w:p>
        </w:tc>
        <w:tc>
          <w:tcPr>
            <w:tcW w:w="500" w:type="dxa"/>
            <w:vAlign w:val="bottom"/>
            <w:gridSpan w:val="4"/>
          </w:tcPr>
          <w:p>
            <w:pPr>
              <w:spacing w:after="0"/>
              <w:rPr>
                <w:sz w:val="21"/>
                <w:szCs w:val="21"/>
                <w:color w:val="auto"/>
              </w:rPr>
            </w:pPr>
          </w:p>
        </w:tc>
        <w:tc>
          <w:tcPr>
            <w:tcW w:w="6960" w:type="dxa"/>
            <w:vAlign w:val="bottom"/>
            <w:gridSpan w:val="1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4.</w:t>
              </w:r>
            </w:hyperlink>
          </w:p>
        </w:tc>
        <w:tc>
          <w:tcPr>
            <w:tcW w:w="2180" w:type="dxa"/>
            <w:vAlign w:val="bottom"/>
            <w:gridSpan w:val="11"/>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Accounts Receivable, Net</w:t>
              </w:r>
            </w:hyperlink>
          </w:p>
        </w:tc>
        <w:tc>
          <w:tcPr>
            <w:tcW w:w="7460" w:type="dxa"/>
            <w:vAlign w:val="bottom"/>
            <w:gridSpan w:val="2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5.</w:t>
              </w:r>
            </w:hyperlink>
          </w:p>
        </w:tc>
        <w:tc>
          <w:tcPr>
            <w:tcW w:w="4240" w:type="dxa"/>
            <w:vAlign w:val="bottom"/>
            <w:gridSpan w:val="20"/>
          </w:tcPr>
          <w:p>
            <w:pPr>
              <w:ind w:left="20"/>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Inventory, Linefill and Base Gas and Long-term Inventory</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6.</w:t>
              </w:r>
            </w:hyperlink>
          </w:p>
        </w:tc>
        <w:tc>
          <w:tcPr>
            <w:tcW w:w="4240" w:type="dxa"/>
            <w:vAlign w:val="bottom"/>
            <w:gridSpan w:val="20"/>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Acquisitions and Dispositions</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7.</w:t>
              </w:r>
            </w:hyperlink>
          </w:p>
        </w:tc>
        <w:tc>
          <w:tcPr>
            <w:tcW w:w="2180" w:type="dxa"/>
            <w:vAlign w:val="bottom"/>
            <w:gridSpan w:val="11"/>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Goodwill</w:t>
              </w:r>
            </w:hyperlink>
          </w:p>
        </w:tc>
        <w:tc>
          <w:tcPr>
            <w:tcW w:w="7460" w:type="dxa"/>
            <w:vAlign w:val="bottom"/>
            <w:gridSpan w:val="2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8940" w:type="dxa"/>
            <w:vAlign w:val="bottom"/>
            <w:gridSpan w:val="2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Partners’ Capital and Distributions</w:t>
              </w:r>
            </w:hyperlink>
          </w:p>
        </w:tc>
        <w:tc>
          <w:tcPr>
            <w:tcW w:w="7140" w:type="dxa"/>
            <w:vAlign w:val="bottom"/>
            <w:gridSpan w:val="1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18"/>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10. Derivatives and Risk Management Activities</w:t>
              </w:r>
            </w:hyperlink>
          </w:p>
        </w:tc>
        <w:tc>
          <w:tcPr>
            <w:tcW w:w="628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11. Related Party Transactions</w:t>
              </w:r>
            </w:hyperlink>
          </w:p>
        </w:tc>
        <w:tc>
          <w:tcPr>
            <w:tcW w:w="628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12. Commitments and Contingencies</w:t>
              </w:r>
            </w:hyperlink>
          </w:p>
        </w:tc>
        <w:tc>
          <w:tcPr>
            <w:tcW w:w="7140" w:type="dxa"/>
            <w:vAlign w:val="bottom"/>
            <w:gridSpan w:val="1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13. Operating Segments</w:t>
              </w:r>
            </w:hyperlink>
          </w:p>
        </w:tc>
        <w:tc>
          <w:tcPr>
            <w:tcW w:w="7140" w:type="dxa"/>
            <w:vAlign w:val="bottom"/>
            <w:gridSpan w:val="1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3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140" w:type="dxa"/>
            <w:vAlign w:val="bottom"/>
            <w:gridSpan w:val="3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7"/>
          </w:tcPr>
          <w:p>
            <w:pPr>
              <w:spacing w:after="0"/>
              <w:rPr>
                <w:rFonts w:ascii="Arial" w:cs="Arial" w:eastAsia="Arial" w:hAnsi="Arial"/>
                <w:sz w:val="18"/>
                <w:szCs w:val="18"/>
                <w:color w:val="0000EE"/>
                <w:w w:val="97"/>
              </w:rPr>
            </w:pPr>
            <w:hyperlink w:anchor="page64">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680" w:type="dxa"/>
            <w:vAlign w:val="bottom"/>
            <w:gridSpan w:val="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18"/>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Item 4. CONTROLS AND PROCEDURES</w:t>
              </w:r>
            </w:hyperlink>
          </w:p>
        </w:tc>
        <w:tc>
          <w:tcPr>
            <w:tcW w:w="3520" w:type="dxa"/>
            <w:vAlign w:val="bottom"/>
            <w:gridSpan w:val="9"/>
          </w:tcPr>
          <w:p>
            <w:pPr>
              <w:spacing w:after="0"/>
              <w:rPr>
                <w:sz w:val="21"/>
                <w:szCs w:val="21"/>
                <w:color w:val="auto"/>
              </w:rPr>
            </w:pPr>
          </w:p>
        </w:tc>
        <w:tc>
          <w:tcPr>
            <w:tcW w:w="3440" w:type="dxa"/>
            <w:vAlign w:val="bottom"/>
            <w:gridSpan w:val="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520"/>
        </w:trPr>
        <w:tc>
          <w:tcPr>
            <w:tcW w:w="27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3"/>
          </w:tcPr>
          <w:p>
            <w:pPr>
              <w:spacing w:after="0"/>
              <w:rPr>
                <w:sz w:val="24"/>
                <w:szCs w:val="24"/>
                <w:color w:val="auto"/>
              </w:rPr>
            </w:pPr>
          </w:p>
        </w:tc>
        <w:tc>
          <w:tcPr>
            <w:tcW w:w="6960" w:type="dxa"/>
            <w:vAlign w:val="bottom"/>
            <w:gridSpan w:val="16"/>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140" w:type="dxa"/>
            <w:vAlign w:val="bottom"/>
            <w:gridSpan w:val="3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 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1A. RISK FACTORS</w:t>
              </w:r>
            </w:hyperlink>
          </w:p>
        </w:tc>
        <w:tc>
          <w:tcPr>
            <w:tcW w:w="7720" w:type="dxa"/>
            <w:vAlign w:val="bottom"/>
            <w:gridSpan w:val="2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3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19"/>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Item 3. DEFAULTS UPON SENIOR SECURITIES</w:t>
              </w:r>
            </w:hyperlink>
          </w:p>
        </w:tc>
        <w:tc>
          <w:tcPr>
            <w:tcW w:w="2880" w:type="dxa"/>
            <w:vAlign w:val="bottom"/>
            <w:gridSpan w:val="7"/>
          </w:tcPr>
          <w:p>
            <w:pPr>
              <w:spacing w:after="0"/>
              <w:rPr>
                <w:sz w:val="21"/>
                <w:szCs w:val="21"/>
                <w:color w:val="auto"/>
              </w:rPr>
            </w:pPr>
          </w:p>
        </w:tc>
        <w:tc>
          <w:tcPr>
            <w:tcW w:w="352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6"/>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Item 4. MINE SAFETY DISCLOSURES</w:t>
              </w:r>
            </w:hyperlink>
          </w:p>
        </w:tc>
        <w:tc>
          <w:tcPr>
            <w:tcW w:w="740" w:type="dxa"/>
            <w:vAlign w:val="bottom"/>
            <w:gridSpan w:val="3"/>
          </w:tcPr>
          <w:p>
            <w:pPr>
              <w:spacing w:after="0"/>
              <w:rPr>
                <w:sz w:val="21"/>
                <w:szCs w:val="21"/>
                <w:color w:val="auto"/>
              </w:rPr>
            </w:pPr>
          </w:p>
        </w:tc>
        <w:tc>
          <w:tcPr>
            <w:tcW w:w="640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140" w:type="dxa"/>
            <w:vAlign w:val="bottom"/>
            <w:gridSpan w:val="1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140" w:type="dxa"/>
            <w:vAlign w:val="bottom"/>
            <w:gridSpan w:val="1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700" w:type="dxa"/>
            <w:vAlign w:val="bottom"/>
            <w:gridSpan w:val="2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6. EXHIBITS</w:t>
              </w:r>
            </w:hyperlink>
          </w:p>
        </w:tc>
        <w:tc>
          <w:tcPr>
            <w:tcW w:w="7700" w:type="dxa"/>
            <w:vAlign w:val="bottom"/>
            <w:gridSpan w:val="2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780" w:type="dxa"/>
            <w:vAlign w:val="bottom"/>
            <w:gridSpan w:val="2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5"/>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8780" w:type="dxa"/>
            <w:vAlign w:val="bottom"/>
            <w:gridSpan w:val="2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723"/>
        </w:trPr>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260" w:type="dxa"/>
            <w:vAlign w:val="bottom"/>
            <w:gridSpan w:val="19"/>
          </w:tcPr>
          <w:p>
            <w:pPr>
              <w:jc w:val="right"/>
              <w:ind w:right="6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3"/>
          </w:tcPr>
          <w:p>
            <w:pPr>
              <w:ind w:left="4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16,890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16,261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14,338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27,235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10,746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Class A Shareholders (153,472,898 and 101,206,526 shares outstanding, respectively)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10,152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12,730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27,235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7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1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13"/>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5,781</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11,901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3"/>
              </w:rPr>
              <w:t>Interest expense (net of capitalized interest of $9, $12, $15 and $26,</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w:t>
            </w:r>
          </w:p>
        </w:tc>
        <w:tc>
          <w:tcPr>
            <w:tcW w:w="90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w:t>
            </w:r>
          </w:p>
        </w:tc>
        <w:tc>
          <w:tcPr>
            <w:tcW w:w="90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9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3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w w:val="91"/>
              </w:rPr>
              <w:t>Comprehensive (income)/loss attributable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2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foreign currency revaluation</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23"/>
        </w:trPr>
        <w:tc>
          <w:tcPr>
            <w:tcW w:w="8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(1,654)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PAA commercial paper program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borrowings/(repayments) under PAA senior secured hedged inventory facility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AAP senior secured revolving credit facility</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PAA senior notes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Class A shares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Series A preferred units by a subsidiary</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common units by a subsidiary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Class A shareholders (Note 9)</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noncontrolling interests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23"/>
        </w:trPr>
        <w:tc>
          <w:tcPr>
            <w:tcW w:w="8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8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34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34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 (Note 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common units by a subsidiary for acquisition of interest in Advantage Joint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 (Note 6)</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Series A preferred units by a subsidiary</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20" w:right="248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June 30, 2017,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June 30, 2017, PAGP owned (i) a 100% managing member interest in Plains All American GP LLC (“GP LLC”) that has also elected to be taxed as a corporation for United States federal income tax purposes and (ii) an approximate 53% limited partner interest in Plains AAP, L.P. (“AAP”) through our direct ownership of approximately 152.5 million Class A units of AAP (“AAP units”) and indirect ownership of approximately 1.0 million AAP units through GP LLC. GP LLC is a Delaware limited liability company that holds the non-economic general partner interest in AAP. AAP is a Delaware limited partnership that, as of June 30, 2017, directly owned an approximate 36% limited partner interest in PAA represented by approximately 288.3 million PAA common units. AAP is the sole member of PAA GP LLC (“PAA GP”), a Delaware limited liability company that directly holds the non-economic general partner interest in PAA.</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permanent elimination of PAA’s incentive distribution rights (“IDRs”) and the economic rights associated with its 2% general partner interest in exchange for the issuance by PAA to AAP of 245.5 million PAA common units (including approximately 0.8 million units to be issued in the future) and the assumption by PAA of all of AAP’s outstanding debt ($642 million);</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our general partner assumed oversight responsibility over both us and PAA;</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 for annual shareholder meetings beginning in 2018 for the purpose of electing certain directors with expiring terms in 2018, and the participation of PAA’s common unitholders and Series A preferred unitholders in such elections through PAA’s ownership of our newly issued Class C shares, which provide PAA, as the sole holder of such</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C shares, the right to vote in elections of eligible directors together with the holders of our Class A and Class B shares;</w:t>
      </w:r>
    </w:p>
    <w:p>
      <w:pPr>
        <w:spacing w:after="0" w:line="239" w:lineRule="exact"/>
        <w:rPr>
          <w:sz w:val="20"/>
          <w:szCs w:val="20"/>
          <w:color w:val="auto"/>
        </w:rPr>
      </w:pPr>
    </w:p>
    <w:p>
      <w:pPr>
        <w:ind w:left="660" w:hanging="328"/>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execution by AAP of a reverse split to adjust the number of AAP units such that the number of outstanding AAP units (assuming the conversion of AAP Class B units (the “AAP Management Units”) into AAP units) equaled the number of PAA common units received by AAP at the closing of the Simplification Transactions. Simultaneously, we executed a reverse split to adjust the number of Class A and Class B shares outstanding to equal the number of AAP units we own following AAP’s reverse unit split. These reverse splits, along with the Omnibus Agreement, resulted in economic alignment between our Class A shareholders and PAA’s common unitholders, such that the number of outstanding Class A shares equals the number of AAP units owned by us, which in turn equals the number of PAA common units held by AAP that are attributable to our interest in AAP. The Plains Entities also entered into an Omnibus Agreement, pursuant to which such one-to-one relationship will be maintained subsequent to the closing of the Simplification Transactions; and</w:t>
      </w:r>
    </w:p>
    <w:p>
      <w:pPr>
        <w:spacing w:after="0" w:line="178" w:lineRule="exact"/>
        <w:rPr>
          <w:rFonts w:ascii="Arial" w:cs="Arial" w:eastAsia="Arial" w:hAnsi="Arial"/>
          <w:sz w:val="17"/>
          <w:szCs w:val="17"/>
          <w:color w:val="auto"/>
        </w:rPr>
      </w:pPr>
    </w:p>
    <w:p>
      <w:pPr>
        <w:ind w:left="660" w:right="14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creation of a right for certain holders of the AAP units to cause AAP to redeem such AAP units in exchange for an equal number of PAA common units held by AAP. Holders of AAP units other than us and GP LLC continue to have the right to exchange their AAP units (together with the corresponding Class B shares and, if applicable, units of our general partner) for our Class A shares on a one-for-one basis.</w:t>
      </w:r>
    </w:p>
    <w:p>
      <w:pPr>
        <w:spacing w:after="0" w:line="1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Simplification Transactions were between and among consolidated subsidiaries of PAGP that are considered entities under common control. These equity transactions did not result in a change in the carrying value of the underlying assets and liabilities. In addition, the Simplification Transactions did not result in a change in ownership interest of PAGP in PAA as described in Accounting Standards Codification (“ASC”) 810-10-45-22, but instead were designed to be an exchange of equal economic ownership interests.</w:t>
      </w:r>
    </w:p>
    <w:p>
      <w:pPr>
        <w:spacing w:after="0" w:line="18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As part of the Simplification Transactions, as discussed above, we effected a reverse split of our Class A and Class B shares, in each case, at a ratio of approximately 1-for-2.663. The effect of the reverse split has been retroactively applied to all share and per-share amounts presented in this Form 10-Q.</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2016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2016 was derived from audited financial statements, but does not include all disclosures required by GAAP. The results of operations for the three and six months ended June 30, 2017 should not be taken as indicative of results to be expected for the entire year.</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Upon the completion of the Simplification Transactions, our governance and corporate structure was modified, and based on the guidance contained in ASC 810-10-35-4, we reconsidered our prior determination that our subsidiaries, AAP and PAA, were VIEs. Based on the analysis performed at that time, we concluded that both entities were no longer VIEs. Therefore we concluded that AAP and PAA should be assessed using the voting interest entity model ("VOE"). Under the VOE model, we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considered the new governance and corporate structure introduced by the Simplification Transactions and concluded that PAGP should continue to consolidate AAP and P AA. However, for the second quarter of 2017, we reassessed our consideration of whether PAA and AAP are VIEs and concluded that, contrary to our conclusion at the time of the Simplification Transactions, both PAA and AAP are more appropriately considered VIEs. This conclusion does not change our consolidation conclusion, has no impact on our financial statements and has limited impact on our related disclosures. We have determined that PAA and AAP are VIEs and should be consolidated by PAGP because:</w:t>
      </w:r>
    </w:p>
    <w:p>
      <w:pPr>
        <w:spacing w:after="0" w:line="173" w:lineRule="exact"/>
        <w:rPr>
          <w:sz w:val="20"/>
          <w:szCs w:val="20"/>
          <w:color w:val="auto"/>
        </w:rPr>
      </w:pPr>
    </w:p>
    <w:p>
      <w:pPr>
        <w:ind w:left="980" w:right="40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the exception of a deferred tax asset of $2,214 million and $1,876 million as of June 30, 2017 and December 31, 2016, respectively, substantially all assets and liabilities presented on PAGP’s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2017 or the year ended December 31, 2016, respectively. See Note 15 to our Consolidated Financial Statements included in Part IV of our 2016 Annual Report on Form 10-K for information regarding the Omnibus Agreement entered into in connection with the Simplification Transactions.</w:t>
      </w:r>
    </w:p>
    <w:p>
      <w:pPr>
        <w:spacing w:after="0" w:line="19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2016 Annual Report on Form 10-K, there have been no new accounting pronouncements that have become effective or have been issued during the six months ended June 30, 2017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simplified several aspects of the accounting for share-based payment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transactions, including the income tax consequences, forfeitures, classification of awards as either equity or liabilities and classification of certain related payments on the statement of cash flows. This guidance was effective for interim and annual periods beginning after December 15, 2016, with early adoption permitted. We adopted the applicable provisions of the ASU on January 1, 2017 and (i) elected to account for forfeitures as they occur, utilizing the modified retrospective approach of adoption, and (ii) will classify units directly withheld for tax-withholding purposes as a financing activity on our Condensed Consolidated Statement of Cash Flows for all periods presented. Our adoption did not have a material impact on our financial position, results of operations or cash flows for the periods presented.</w:t>
      </w:r>
    </w:p>
    <w:p>
      <w:pPr>
        <w:spacing w:after="0" w:line="19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The amendments within this ASU eliminate Step 2 from the goodwill impairment test, which currently requires an entity to determine goodwill impairment by calculating the implied fair value of goodwill by hypothetically assigning the fair value of a reporting unit to all of its assets and liabilities as if that reporting unit had been acquired in a business combination. Under the amended standard, goodwill impairment will instead be measured using Step 1 of the goodwill impairment test with goodwill impairment being equal to the amount by which a reporting unit’s carrying value exceeds its fair value, not to exceed the carrying value of goodwill. This guidance is effective for annual periods beginning after December 15, 2019, and interim periods within those annual periods, with early adoption permitted. We early adopted this ASU in the first quarter of 2017 and applied the amendments therein to our 2017 annual goodwill impairment test.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improves the guidance for determining whether a transaction involves the purchase or disposal of a business or an asset. This guidance becomes effective for fiscal years and interim periods beginning after December 15, 2017, with early adoption permitted, and prospective application required. We plan to adopt this guidance on January 1, 2018 and will apply the new guidance to applicable transactions occurring after that date.</w:t>
      </w:r>
    </w:p>
    <w:p>
      <w:pPr>
        <w:spacing w:after="0" w:line="17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 xml:space="preserve">Other Income — Gains and Losses from the Derecognition of Nonfinancial Assets (Subtopic 610-20): Clarifying the Scope of Asset Derecognition Guidance and Accounting for Partial Sales of Nonfinancial Assets. </w:t>
      </w:r>
      <w:r>
        <w:rPr>
          <w:rFonts w:ascii="Arial" w:cs="Arial" w:eastAsia="Arial" w:hAnsi="Arial"/>
          <w:sz w:val="16"/>
          <w:szCs w:val="16"/>
          <w:color w:val="auto"/>
        </w:rPr>
        <w:t>The update includes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clarifications: (i) nonfinancial assets within the scope of Subtopic 610-20 may include nonfinancial assets transferred within a legal entity to a counterparty,</w:t>
      </w:r>
    </w:p>
    <w:p>
      <w:pPr>
        <w:ind w:right="80" w:firstLine="8"/>
        <w:spacing w:after="0" w:line="281"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entity should allocate consideration to each distinct asset by applying the guidance in Topic 606 on allocating the transaction price to performance obligations and (iii) requires entities to derecognize a distinct nonfinancial asset or distinct in substance nonfinancial asset in a partial sale transaction when it</w:t>
      </w:r>
    </w:p>
    <w:p>
      <w:pPr>
        <w:spacing w:after="0" w:line="1" w:lineRule="exact"/>
        <w:rPr>
          <w:rFonts w:ascii="Arial" w:cs="Arial" w:eastAsia="Arial" w:hAnsi="Arial"/>
          <w:sz w:val="16"/>
          <w:szCs w:val="16"/>
          <w:color w:val="auto"/>
        </w:rPr>
      </w:pPr>
    </w:p>
    <w:p>
      <w:pPr>
        <w:ind w:right="240"/>
        <w:spacing w:after="0" w:line="254" w:lineRule="auto"/>
        <w:rPr>
          <w:rFonts w:ascii="Arial" w:cs="Arial" w:eastAsia="Arial" w:hAnsi="Arial"/>
          <w:sz w:val="16"/>
          <w:szCs w:val="16"/>
          <w:color w:val="auto"/>
        </w:rPr>
      </w:pPr>
      <w:r>
        <w:rPr>
          <w:rFonts w:ascii="Arial" w:cs="Arial" w:eastAsia="Arial" w:hAnsi="Arial"/>
          <w:sz w:val="18"/>
          <w:szCs w:val="18"/>
          <w:color w:val="auto"/>
        </w:rPr>
        <w:t>(1) does not have (or ceases to have) a controlling financial interest in the legal entity that holds the asset in accordance with Subtopic 810-10 and (2) transfers control of the asset in accordance with Topic 606. This guidance is effective beginning after December 15, 2017, including interim periods within those periods and must be adopted at the same time as ASC 606. We will adopt this guidance on January 1, 2018 and are currently evaluating the impact of the adoption on our financial position, results of operations and cash flows.</w:t>
      </w:r>
    </w:p>
    <w:p>
      <w:pPr>
        <w:spacing w:after="0" w:line="19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xml:space="preserve"> to provide guidance about which changes to the terms or conditions of a share-based payment award require an entity to apply modification accounting. Under the new guidance, modification accounting is required only if the fair value (or calculated value or intrinsic value, if such alternative method is used), the vesting conditions, or the classification of the award (equity or liability) changes as a result of the change in terms or conditions. This guidance will become effective for interim and annual periods beginning after December 31, 2017, with early adoption permitted, and prospective application required. We expect to adopt this guidance on January 1, 2018, and we do not currently anticipate that our adoption will have a material impact on our financial position,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with the underlying principle that an entity will recognize revenue to reflect amounts expected to be received in exchange for the provision of goods and services to customers upon the transfer of those goods or services. This ASU also requires additional disclosures. This ASU can be adopted either with a full retrospective approach or a modified retrospective approach with a cumulative-effect adjustment as of the date of adoption and is effective for interim and annual periods beginning after December 15, 2017. We implemented a process to evaluate the impact of adopting this ASU on each type of revenue contract entered into with customers and our implementation team is in the process of determining appropriate changes to our business processes, systems and controls to support recognition and disclosure under the new standard. We have not identified any significant revenue recognition timing differences for types of revenue streams assessed to date; however, our evaluation is not complete. In addition, we are assessing the impact of changes to disclosures and expect an increase in disclosures about the nature, amount, timing and uncertainty of revenue and the related cash flows. We will adopt this guidance on January 1, 2018, and currently anticipate that we will apply the modified retrospective approach.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9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w:t>
      </w:r>
    </w:p>
    <w:p>
      <w:pPr>
        <w:spacing w:after="0" w:line="19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For the three and six months ended June 30, 2017, the possible exchange of any AAP units and certain AAP Management Units would not have had a dilutive effect on basic net income per Class A share. For the three months ended June 30, 2016, the possible exchange of any AAP units would have had a dilutive effect on basic net income per Class A share and the possible exchange of certain AAP Management Units would not have had a dilutive effect on basic net income per Class A share. For the six month ended June 30, 2016, the possible exchange of any AAP units and certain AAP Management Units would have had a dilutive effect on basic net income per Class A share. For the three and six months ended June 30, 2017 and 2016, our PAGP LTIP awards were dilutive; however, there were less than 0.1 million dilutive LTIP awards for each period, which did not change the presentation of weighted average Class A shares outstanding or net income per Class A share.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0.16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Incremental net income attributable to PAGP resulting from assumed exchange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AAP units and AAP Management Units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 including incremental net income from</w:t>
            </w:r>
          </w:p>
        </w:tc>
        <w:tc>
          <w:tcPr>
            <w:tcW w:w="820" w:type="dxa"/>
            <w:vAlign w:val="bottom"/>
            <w:tcBorders>
              <w:top w:val="single" w:sz="8" w:color="auto"/>
            </w:tcBorders>
            <w:vMerge w:val="restart"/>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0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assumed exchange of AAP units and AAP Management Units</w:t>
            </w:r>
          </w:p>
        </w:tc>
        <w:tc>
          <w:tcPr>
            <w:tcW w:w="8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Dilutive shares resulting from assumed exchange of AAP units and AAP</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Management Units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Diluted net income per Class A share</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1"/>
              </w:rPr>
              <w:t>0.16</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Note 4—Accounts Receivable, Net</w:t>
            </w: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June 30, 2017 and December 31, 2016, we had received $92 million and $89 million, respectively, of advance cash payments from third parties to mitigate credit risk. We also received $50 million and $66 million as of June 30, 2017 and December 31, 2016,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receivables and payables with those counterparties against each other on our balance sheet) for a majority of net-cash settled arrangements.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2017 and December 31, 2016, substantially all of our trade accounts receivable (net of allowance for doubtful accounts) were less than 30 days past their scheduled invoice date. Our allowance for doubtful accounts receivable totaled $3 million at both June 30, 2017 and December 31, 2016. Although we consider our allowance for doubtful accounts receivable to be adequate, actual amounts could vary significantly from estimated amounts.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14,854</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45.44</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11,507</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3.16</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27.69</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1,863</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21.47</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$35 million during the three and six months ended June 30, 2017 primarily related to the writedown of our crude oil inventory due to a decline in prices. Substantially all of this inventory valuation adjustment was offset by the recognition of gains on derivative instruments being utilized to hedge future sales of our crude oil inventory. Such gains were recorded to “Supply and Logistics segment revenues” in our accompanying Condensed Consolidated Statements of Operations. See Note 10 for discussion of our derivative and risk management activities. We recorded an inventory valuation adjustment of $3 million during the six months ended June 30,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Crude Connector Acquisition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February 14, 2017, we acquired all of the issued and outstanding membership interests in Alpha Holding Company, LLC for cash consideration of approximately $1.217 billion, subject to working capital and other adjustments (the “ACC Acquisition”). The ACC Acquisition was initially funded through borrowings under PAA's senior unsecured revolving credit facility. Such borrowings were subsequently repaid with proceeds from PAA's March 2017 issuance of its common units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AAP pursuant to the Omnibus Agreement and in connection with our underwritten equity offering. See Note 9 for additional information.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“Alpha Crude Connector” (the “ACC System”) located in the Northern Delaware Basin in Southeastern New Mexico and West Texas. The ACC System comprises 515 miles of gathering and transmission lines and five market interconnects, including to our Basin Pipeline at Wink. We intend to make additional interconnects to our existing Northern Delaware Basin systems as well as additional enhancements intended to increase the ACC System capacity to approximately 350,000 barrels per day, depending on the level of volume at each delivery point. The ACC System is supported by acreage dedications covering approximately 315,000 gross acres, and include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determination of the acquisition-date fair value of the assets acquired and liabilities assumed is preliminary. We expect to finalize our fair value determination in 2017. The following table reflects the preliminary fair value determination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120" w:type="dxa"/>
            <w:vAlign w:val="bottom"/>
            <w:vMerge w:val="restart"/>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6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1600" w:type="dxa"/>
            <w:vAlign w:val="bottom"/>
          </w:tcPr>
          <w:p>
            <w:pPr>
              <w:jc w:val="right"/>
              <w:ind w:right="6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 and liabilities, net (including $4 million of cash acquired)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Intangible assets are included in “Other long-term assets, net” on our Condensed Consolidated Balance Sheets. The preliminary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$4 million for the period from February 14, 2017 through June 30, 2017, and the future amortization expense is estimated as follows for the next five years (in millions):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2017</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2018</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2020</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566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During the three and six months ended June 30, 2017, we incurred approximately $1 million and $6 million of acquisition-related costs associated with the ACC Acquisition. Such costs are reflected as a component of general and administrative expenses in our Condensed Consolidated Statements of Operations.</w:t>
      </w:r>
    </w:p>
    <w:p>
      <w:pPr>
        <w:spacing w:after="0" w:line="18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Pro forma financial information assuming the ACC Acquisition had occurred as of the beginning of the calendar year prior to the year of acquisition, as well as the revenues and earnings generated during the period since the acquisition date, were not material for disclosure purposes.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Acquisition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for a purchase price of $133 million through a newly formed 50/50 joint venture (the “Advantage Joint Venture”). For our 50% share ($66.5 million), we contributed approximately 1.3 million PAA common units with a value of approximately $40 million and approximately $26 million in cash. We account for our interest in the Advantage Joint Venture under the equity method of accounting.</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Advantage owns a 70-mile, 16-inch crude oil pipeline located in the southern Delaware Basin (the “Advantage Pipeline”). Noble will serve as operator and will construct a pipeline to deliver crude oil to the Advantage Pipeline from its central gathering facility in the southern Delaware Basin. We will construct a pipeline to connect our Wolfbone Ranch facility to the Advantage Pipeline near Highway 285 in Reeves County, Texas. The connections are estimated to be completed in 2017. The Advantage Pipeline is contractually supported by a third-party acreage dedication and a volume commitment from our wholly-owned marketing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Divestitures and Assets Held for Sale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six months ended June 30, 2017, we sold certain non-core assets for proceeds of approximately $389 million. These sales primarily included (i) our Bluewater natural gas storage facility located in Michigan, (ii) a non-core pipeline segment located in the Midwestern United States and (iii) a 40% undivided interest in a segment of our Red River Pipeline extending from Cushing, Oklahoma to the Hewitt Station near Ardmore, Oklahoma (the “Hewitt Segment”) for our net book value. We retained a 60% undivided interest in the Hewitt Segment and a 100% interest in the remaining portion of the Red River Pipeline that extends from Ardmore to Longview, Texas.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recognized a net gain of $36 million during the six months ended June 30, 2017 related to the sale of the non-core pipeline segment, including the write-off of a portion of the remaining book value. In addition, during the six months ended June 30, 2017, we recognized a loss of $35 million related to assets that were classified as held for sale prior to the closing of the transactions. Such gains and losses are included in “Depreciation and amortization” on our Condensed Consolidated Statements of Operations.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June 30, 2017, we classified approximately $275 million of Facilities segment assets, primarily property and equipment, as held for sale on our Condensed Consolidated Balance Sheet (in “Other current assets”) related to definitive agreements to sell such assets. We expect these transactions to close during 2017.</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third quarter of 2017, we entered into a definitive agreement to sell our interests in certain non-core pipelines in the Rocky Mountains for proceeds of approximately $250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75"/>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040" w:type="dxa"/>
            <w:vAlign w:val="bottom"/>
          </w:tcPr>
          <w:p>
            <w:pPr>
              <w:ind w:left="180"/>
              <w:spacing w:after="0" w:line="251"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(1)</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271</w:t>
            </w: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8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completed our goodwill impairment test as of June 30, 2017 using a qualitative assessment. We determined that it was more likely than not that the fair value of each reporting unit was greater than its respective book value; therefore, additional impairment testing was not necessary and goodwill was not considered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8820" w:type="dxa"/>
        <w:tblCellMar>
          <w:top w:w="0" w:type="dxa"/>
          <w:left w:w="0" w:type="dxa"/>
          <w:bottom w:w="0" w:type="dxa"/>
          <w:right w:w="0" w:type="dxa"/>
        </w:tblCellMar>
      </w:tblPr>
      <w:tr>
        <w:trPr>
          <w:trHeight w:val="161"/>
        </w:trPr>
        <w:tc>
          <w:tcPr>
            <w:tcW w:w="900" w:type="dxa"/>
            <w:vAlign w:val="bottom"/>
          </w:tcPr>
          <w:p>
            <w:pPr>
              <w:jc w:val="center"/>
              <w:ind w:right="328"/>
              <w:spacing w:after="0"/>
              <w:rPr>
                <w:sz w:val="20"/>
                <w:szCs w:val="20"/>
                <w:color w:val="auto"/>
              </w:rPr>
            </w:pPr>
            <w:r>
              <w:rPr>
                <w:rFonts w:ascii="Arial" w:cs="Arial" w:eastAsia="Arial" w:hAnsi="Arial"/>
                <w:sz w:val="14"/>
                <w:szCs w:val="14"/>
                <w:b w:val="1"/>
                <w:bCs w:val="1"/>
                <w:color w:val="auto"/>
                <w:w w:val="89"/>
              </w:rPr>
              <w:t>June 30,</w:t>
            </w:r>
          </w:p>
        </w:tc>
        <w:tc>
          <w:tcPr>
            <w:tcW w:w="154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86"/>
        </w:trPr>
        <w:tc>
          <w:tcPr>
            <w:tcW w:w="90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Commercial paper notes, bearing a weighted-average interest rate of 2.0% and 1.6%, respectively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6" w:lineRule="exact"/>
        <w:rPr>
          <w:sz w:val="20"/>
          <w:szCs w:val="20"/>
          <w:color w:val="auto"/>
        </w:rPr>
      </w:pPr>
    </w:p>
    <w:p>
      <w:pPr>
        <w:ind w:left="200" w:right="340" w:hanging="161"/>
        <w:spacing w:after="0" w:line="241" w:lineRule="auto"/>
        <w:rPr>
          <w:sz w:val="20"/>
          <w:szCs w:val="20"/>
          <w:color w:val="auto"/>
        </w:rPr>
      </w:pPr>
      <w:r>
        <w:rPr>
          <w:rFonts w:ascii="Arial" w:cs="Arial" w:eastAsia="Arial" w:hAnsi="Arial"/>
          <w:sz w:val="18"/>
          <w:szCs w:val="18"/>
          <w:color w:val="auto"/>
        </w:rPr>
        <w:t xml:space="preserve">Senior secured hedged inventory facility, bearing a weighted-average interest rate of 2.3% and 1.8%, respectively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6.13% senior notes due January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Senior notes, net of unamortized discounts and debt issuance costs of $72 and $76, respectively </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Commercial paper notes, bearing a weighted-average interest rate of 2.0% and 1.6%, respectively </w:t>
      </w:r>
      <w:r>
        <w:rPr>
          <w:rFonts w:ascii="Arial" w:cs="Arial" w:eastAsia="Arial" w:hAnsi="Arial"/>
          <w:sz w:val="22"/>
          <w:szCs w:val="22"/>
          <w:color w:val="auto"/>
          <w:vertAlign w:val="superscript"/>
        </w:rPr>
        <w:t>(3)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tabs>
          <w:tab w:leader="none" w:pos="1080" w:val="left"/>
          <w:tab w:leader="none" w:pos="1600" w:val="left"/>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677</w:t>
        <w:tab/>
        <w:t>$</w:t>
      </w:r>
      <w:r>
        <w:rPr>
          <w:sz w:val="20"/>
          <w:szCs w:val="20"/>
          <w:color w:val="auto"/>
        </w:rPr>
        <w:tab/>
      </w:r>
      <w:r>
        <w:rPr>
          <w:rFonts w:ascii="Arial" w:cs="Arial" w:eastAsia="Arial" w:hAnsi="Arial"/>
          <w:sz w:val="16"/>
          <w:szCs w:val="16"/>
          <w:color w:val="auto"/>
        </w:rPr>
        <w:t>563</w:t>
      </w:r>
    </w:p>
    <w:p>
      <w:pPr>
        <w:spacing w:after="0" w:line="279"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300</w:t>
      </w:r>
      <w:r>
        <w:rPr>
          <w:sz w:val="20"/>
          <w:szCs w:val="20"/>
          <w:color w:val="auto"/>
        </w:rPr>
        <w:tab/>
      </w:r>
      <w:r>
        <w:rPr>
          <w:rFonts w:ascii="Arial" w:cs="Arial" w:eastAsia="Arial" w:hAnsi="Arial"/>
          <w:sz w:val="18"/>
          <w:szCs w:val="18"/>
          <w:color w:val="auto"/>
        </w:rPr>
        <w:t>750</w:t>
      </w:r>
    </w:p>
    <w:p>
      <w:pPr>
        <w:spacing w:after="0" w:line="333" w:lineRule="exact"/>
        <w:rPr>
          <w:sz w:val="20"/>
          <w:szCs w:val="20"/>
          <w:color w:val="auto"/>
        </w:rPr>
      </w:pPr>
    </w:p>
    <w:p>
      <w:pPr>
        <w:jc w:val="both"/>
        <w:ind w:left="1200"/>
        <w:spacing w:after="0"/>
        <w:tabs>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400</w:t>
      </w:r>
    </w:p>
    <w:p>
      <w:pPr>
        <w:spacing w:after="0" w:line="63" w:lineRule="exact"/>
        <w:rPr>
          <w:sz w:val="20"/>
          <w:szCs w:val="20"/>
          <w:color w:val="auto"/>
        </w:rPr>
      </w:pPr>
    </w:p>
    <w:p>
      <w:pPr>
        <w:jc w:val="both"/>
        <w:ind w:left="1100"/>
        <w:spacing w:after="0"/>
        <w:tabs>
          <w:tab w:leader="none" w:pos="28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2</w:t>
      </w:r>
    </w:p>
    <w:p>
      <w:pPr>
        <w:spacing w:after="0" w:line="77"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8"/>
          <w:szCs w:val="18"/>
          <w:color w:val="auto"/>
        </w:rPr>
        <w:t>1,715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960"/>
        <w:spacing w:after="0"/>
        <w:tabs>
          <w:tab w:leader="none" w:pos="2520" w:val="left"/>
        </w:tabs>
        <w:rPr>
          <w:sz w:val="20"/>
          <w:szCs w:val="20"/>
          <w:color w:val="auto"/>
        </w:rPr>
      </w:pPr>
      <w:r>
        <w:rPr>
          <w:rFonts w:ascii="Arial" w:cs="Arial" w:eastAsia="Arial" w:hAnsi="Arial"/>
          <w:sz w:val="18"/>
          <w:szCs w:val="18"/>
          <w:color w:val="auto"/>
        </w:rPr>
        <w:t>9,878</w:t>
      </w:r>
      <w:r>
        <w:rPr>
          <w:sz w:val="20"/>
          <w:szCs w:val="20"/>
          <w:color w:val="auto"/>
        </w:rPr>
        <w:tab/>
      </w:r>
      <w:r>
        <w:rPr>
          <w:rFonts w:ascii="Arial" w:cs="Arial" w:eastAsia="Arial" w:hAnsi="Arial"/>
          <w:sz w:val="18"/>
          <w:szCs w:val="18"/>
          <w:color w:val="auto"/>
        </w:rPr>
        <w:t>9,874</w:t>
      </w:r>
    </w:p>
    <w:p>
      <w:pPr>
        <w:spacing w:after="0" w:line="63"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247</w:t>
      </w:r>
    </w:p>
    <w:p>
      <w:pPr>
        <w:spacing w:after="0" w:line="63" w:lineRule="exact"/>
        <w:rPr>
          <w:sz w:val="20"/>
          <w:szCs w:val="20"/>
          <w:color w:val="auto"/>
        </w:rPr>
      </w:pPr>
    </w:p>
    <w:p>
      <w:pPr>
        <w:jc w:val="both"/>
        <w:ind w:left="1280"/>
        <w:spacing w:after="0"/>
        <w:tabs>
          <w:tab w:leader="none" w:pos="2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spacing w:after="0" w:line="77" w:lineRule="exact"/>
        <w:rPr>
          <w:sz w:val="20"/>
          <w:szCs w:val="20"/>
          <w:color w:val="auto"/>
        </w:rPr>
      </w:pPr>
    </w:p>
    <w:p>
      <w:pPr>
        <w:jc w:val="both"/>
        <w:ind w:left="880"/>
        <w:spacing w:after="0"/>
        <w:tabs>
          <w:tab w:leader="none" w:pos="2440" w:val="left"/>
        </w:tabs>
        <w:rPr>
          <w:sz w:val="20"/>
          <w:szCs w:val="20"/>
          <w:color w:val="auto"/>
        </w:rPr>
      </w:pPr>
      <w:r>
        <w:rPr>
          <w:rFonts w:ascii="Arial" w:cs="Arial" w:eastAsia="Arial" w:hAnsi="Arial"/>
          <w:sz w:val="18"/>
          <w:szCs w:val="18"/>
          <w:color w:val="auto"/>
        </w:rPr>
        <w:t>10,040</w:t>
      </w:r>
      <w:r>
        <w:rPr>
          <w:sz w:val="20"/>
          <w:szCs w:val="20"/>
          <w:color w:val="auto"/>
        </w:rPr>
        <w:tab/>
      </w:r>
      <w:r>
        <w:rPr>
          <w:rFonts w:ascii="Arial" w:cs="Arial" w:eastAsia="Arial" w:hAnsi="Arial"/>
          <w:sz w:val="18"/>
          <w:szCs w:val="18"/>
          <w:color w:val="auto"/>
        </w:rPr>
        <w:t>10,124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spacing w:after="0"/>
        <w:tabs>
          <w:tab w:leader="none" w:pos="860" w:val="left"/>
          <w:tab w:leader="none" w:pos="160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11,154</w:t>
        <w:tab/>
        <w:t>$</w:t>
      </w:r>
      <w:r>
        <w:rPr>
          <w:sz w:val="20"/>
          <w:szCs w:val="20"/>
          <w:color w:val="auto"/>
        </w:rPr>
        <w:tab/>
      </w:r>
      <w:r>
        <w:rPr>
          <w:rFonts w:ascii="Arial" w:cs="Arial" w:eastAsia="Arial" w:hAnsi="Arial"/>
          <w:sz w:val="16"/>
          <w:szCs w:val="16"/>
          <w:color w:val="auto"/>
        </w:rPr>
        <w:t>11,839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7640" w:space="720"/>
            <w:col w:w="3040"/>
          </w:cols>
          <w:pgMar w:left="240" w:top="125" w:right="259" w:bottom="1440" w:gutter="0" w:footer="0" w:header="0"/>
          <w:type w:val="continuous"/>
        </w:sectPr>
      </w:pPr>
    </w:p>
    <w:p>
      <w:pPr>
        <w:spacing w:after="0" w:line="53" w:lineRule="exact"/>
        <w:rPr>
          <w:sz w:val="20"/>
          <w:szCs w:val="20"/>
          <w:color w:val="auto"/>
        </w:rPr>
      </w:pPr>
    </w:p>
    <w:p>
      <w:pPr>
        <w:jc w:val="both"/>
        <w:ind w:left="660" w:right="180" w:hanging="652"/>
        <w:spacing w:after="0" w:line="22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June 30, 2017 and December 31, 2016,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24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June 30, 2017 and December 31, 2016, balance includes borrowings of $12 million and $410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320" w:hanging="652"/>
        <w:spacing w:after="0" w:line="22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June 30, 2017, we have classified PAA's $600 million, 6.50% senior notes due May 2018 as long-term and as of June 30, 2017 and December 31, 2016, we have classified a portion of PAA's commercial paper notes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hanging="652"/>
        <w:spacing w:after="0" w:line="254"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PAA’s fixed-rate senior notes (including current maturities) had a face value of approximately $9.9 billion and $10.3 billion as of June 30, 2017 and December 31, 2016, respectively. We estimated the aggregate fair value of these notes as of June 30, 2017 and December 31, 2016 to be approximately $10.1 billion and $10.4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-2275840</wp:posOffset>
            </wp:positionV>
            <wp:extent cx="250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Total borrowings under the credit facilities and the PAA commercial paper program for the six months ended June 30, 2017 and 2016 were approximately $36.8 billion and $23.0 billion, respectively. Total repayments under the credit facilities and the PAA commercial paper program were approximately $37.2 billion and $23.6 billion for the six months ended June 30, 2017 and 2016,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June 30, 2017 and December 31, 2016, we had outstanding letters of credit of $105 million and $73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PAA's $400 million, 6.13% senior notes were repaid in January 2017. We utilized cash on hand and available capacity under PAA's commercial paper program and credit facilities to repay these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20" w:type="dxa"/>
            <w:vAlign w:val="bottom"/>
            <w:gridSpan w:val="3"/>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101,206,526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138,043,486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491,910,863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1,557,860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2,172,236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(2,172,236)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(3,486,333)</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3,486,333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50,086,326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4,033,567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common units by a subsidiary for acquisition of interest in Advantage Joint</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 (Note 6)</w:t>
            </w:r>
          </w:p>
        </w:tc>
        <w:tc>
          <w:tcPr>
            <w:tcW w:w="1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2,601,300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122,344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153,472,898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133,942,777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503,406,676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A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B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86,099,037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141,485,588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6,742,383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14,169,317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(14,169,317)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Class A shares under LTIP</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7,811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100,276,165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134,058,654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___________________________________________</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0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See Note 11 to our Consolidated Financial Statements included in Part IV of our 2016 Annual Report on Form 10-K for information regarding conversions of AAP Management Units, Exchange Rights and Redemption Rights.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details the distributions paid to our Class A shareholders during or pertaining to the first six months of 2017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ind w:left="400"/>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2140" w:type="dxa"/>
            <w:vAlign w:val="bottom"/>
          </w:tcPr>
          <w:p>
            <w:pPr>
              <w:jc w:val="right"/>
              <w:ind w:right="677"/>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Class A Shareholders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August 14, 2017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May 15, 2017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7"/>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Payable to shareholders of record at the close of business on July 31, 2017 for the period April 1, 2017 through June 30, 2017.</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amount of cash available to distribute to our Class A shareholders is completely dependent upon the amount of cash distributed by PAA to AAP in respect of its common units; therefore, any change in the distribution level on PAA's common units will have a corresponding impact on the distribution level on our Class A shares. On August 7, 2017, PAA's management announced that it was engaged in discussions with our Board of Directors regarding a reassessment of PAA's approach to distributions. See "—Subsidiary Distributions" below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Class A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sales of Class A shares during the six months ended June 30, 2017 (net proceeds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16"/>
                <w:szCs w:val="16"/>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1,786,326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Underwritten Offering</w:t>
            </w:r>
          </w:p>
        </w:tc>
        <w:tc>
          <w:tcPr>
            <w:tcW w:w="3300" w:type="dxa"/>
            <w:vAlign w:val="bottom"/>
          </w:tcPr>
          <w:p>
            <w:pPr>
              <w:jc w:val="right"/>
              <w:ind w:right="14"/>
              <w:spacing w:after="0"/>
              <w:rPr>
                <w:sz w:val="20"/>
                <w:szCs w:val="20"/>
                <w:color w:val="auto"/>
              </w:rPr>
            </w:pPr>
            <w:r>
              <w:rPr>
                <w:rFonts w:ascii="Arial" w:cs="Arial" w:eastAsia="Arial" w:hAnsi="Arial"/>
                <w:sz w:val="18"/>
                <w:szCs w:val="18"/>
                <w:color w:val="auto"/>
              </w:rPr>
              <w:t>48,300,000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6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34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50,086,326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2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1,535</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six months ended June 30, 2017.</w:t>
      </w:r>
    </w:p>
    <w:p>
      <w:pPr>
        <w:spacing w:after="0" w:line="311" w:lineRule="exact"/>
        <w:rPr>
          <w:sz w:val="20"/>
          <w:szCs w:val="20"/>
          <w:color w:val="auto"/>
        </w:rPr>
      </w:pPr>
    </w:p>
    <w:p>
      <w:pPr>
        <w:ind w:right="20" w:firstLine="716"/>
        <w:spacing w:after="0" w:line="276" w:lineRule="auto"/>
        <w:rPr>
          <w:sz w:val="20"/>
          <w:szCs w:val="20"/>
          <w:color w:val="auto"/>
        </w:rPr>
      </w:pPr>
      <w:r>
        <w:rPr>
          <w:rFonts w:ascii="Arial" w:cs="Arial" w:eastAsia="Arial" w:hAnsi="Arial"/>
          <w:sz w:val="17"/>
          <w:szCs w:val="17"/>
          <w:color w:val="auto"/>
        </w:rPr>
        <w:t>Pursuant to the Omnibus Agreement entered into by the Plains Entities in connection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"—Subsidiary Sales of Common Units" below.</w:t>
      </w:r>
    </w:p>
    <w:p>
      <w:pPr>
        <w:spacing w:after="0" w:line="173" w:lineRule="exact"/>
        <w:rPr>
          <w:sz w:val="20"/>
          <w:szCs w:val="20"/>
          <w:color w:val="auto"/>
        </w:rPr>
      </w:pPr>
    </w:p>
    <w:p>
      <w:pPr>
        <w:ind w:right="20" w:firstLine="716"/>
        <w:spacing w:after="0" w:line="255" w:lineRule="auto"/>
        <w:rPr>
          <w:sz w:val="20"/>
          <w:szCs w:val="20"/>
          <w:color w:val="auto"/>
        </w:rPr>
      </w:pPr>
      <w:r>
        <w:rPr>
          <w:rFonts w:ascii="Arial" w:cs="Arial" w:eastAsia="Arial" w:hAnsi="Arial"/>
          <w:sz w:val="18"/>
          <w:szCs w:val="18"/>
          <w:color w:val="auto"/>
        </w:rPr>
        <w:t>The cash purchase by PAGP of additional units issued by AAP and corresponding cash purchase by AAP of additional common units issued by PAA results in the allocation of the fair value of the proceeds between controlling and noncontrolling interests in AAP and PAA based on their respective ownership percentages. Additionally, in accordance with ASC 810, an adjustment in partners' capital based on historical carrying value is recognized by PAGP's Class A shareholders on their increase in ownership of subsidiary entities and a corresponding adjustment is recognized in partners' capital by PAGP's noncontrolling interests due to the dilution of their ownership interest. The allocation to noncontrolling interests results from the difference between the fair value per unit of the additional units issued and the historical carrying value per unit. Such amounts are reflected in "Sales of Class A shares" on our Condensed Consolidated Statements of Changes in Partners'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June 30, 2017, noncontrolling interests in our subsidiaries consisted of (i) a 64% limited partner interest in PAA, (ii) an approximate 47% limited partner interest in AAP and (iii) a 25% interest in SLC Pipeline LLC.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Sales of Common Units</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Continuous Offering Program. </w:t>
      </w:r>
      <w:r>
        <w:rPr>
          <w:rFonts w:ascii="Arial" w:cs="Arial" w:eastAsia="Arial" w:hAnsi="Arial"/>
          <w:sz w:val="17"/>
          <w:szCs w:val="17"/>
          <w:color w:val="auto"/>
        </w:rPr>
        <w:t>During the six months ended June 30, 2017, PAA issued an aggregate of approximately 4.0 million common units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its continuous offering program, generating proceeds of $129 million, net of $1 million of commissions paid to its sales agents.</w:t>
      </w:r>
    </w:p>
    <w:p>
      <w:pPr>
        <w:spacing w:after="0" w:line="147" w:lineRule="exact"/>
        <w:rPr>
          <w:sz w:val="20"/>
          <w:szCs w:val="20"/>
          <w:color w:val="auto"/>
        </w:rPr>
      </w:pPr>
    </w:p>
    <w:p>
      <w:pPr>
        <w:ind w:right="60" w:firstLine="716"/>
        <w:spacing w:after="0" w:line="273" w:lineRule="auto"/>
        <w:rPr>
          <w:sz w:val="20"/>
          <w:szCs w:val="20"/>
          <w:color w:val="auto"/>
        </w:rPr>
      </w:pPr>
      <w:r>
        <w:rPr>
          <w:rFonts w:ascii="Arial" w:cs="Arial" w:eastAsia="Arial" w:hAnsi="Arial"/>
          <w:sz w:val="17"/>
          <w:szCs w:val="17"/>
          <w:color w:val="auto"/>
        </w:rPr>
        <w:t>The proceeds from the issuance of PAA common units were allocated among all of PAA’s common unitholders, including AAP, based on their percentage ownership of common units. Additionally, PAA’s capital attributable to AAP was adjusted based on historical carrying value, in accordance with ASC 810, to reflect the dilution of its interest in PAA as a result of the issuance of additional common units to the public unitholders. These adjustments were recognized by PAGP in proportion to PAGP’s ownership interest in AAP, which resulted in a net increase in partners’ capital attributable to PAGP resulting from the difference between the fair value per unit of the additional units issued and the historical carrying value per unit. Such amounts are reflected in "Sales of common units by a subsidiary" on our Condensed Consolidated Statements of Changes in Partners' Capital.</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During the six months ended June 30, 2017, pursuant to the Omnibus Agreement discussed above, PAA sold (i)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1.8 million common units to AAP in connection with our issuance of Class A shares under our Continuous Offering Program and (ii) 48.3 million common units to AAP in connection with our March 2017 underwritten offering.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PAA Cash Distributions. </w:t>
      </w:r>
      <w:r>
        <w:rPr>
          <w:rFonts w:ascii="Arial" w:cs="Arial" w:eastAsia="Arial" w:hAnsi="Arial"/>
          <w:sz w:val="18"/>
          <w:szCs w:val="18"/>
          <w:color w:val="auto"/>
        </w:rPr>
        <w:t>The following table details the distributions to PAA’s partners paid in cash during or pertaining to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2017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May 15, 2017</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220" w:type="dxa"/>
            <w:vAlign w:val="bottom"/>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2017</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134</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July 31, 2017 for the period April 1, 2017 through June 30, 2017.</w:t>
      </w:r>
    </w:p>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August 7, 2017, PAA's management announced that it was engaged in discussions with our Board of Directors regarding a reassessment of PAA's approach to distributions, with a focus on resetting PAA's common unit distribution to a level supported by the distributable cash flow from PAA's fee-based Transportation and Facilities segments. As of such date, no final decisions had been made regarding such potential change, but PAA indicated that it intended to complete its reassessment and finalize any changes over the course of the ensuing sixty day period.</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PAA In-Kind Distributions</w:t>
      </w:r>
      <w:r>
        <w:rPr>
          <w:rFonts w:ascii="Arial" w:cs="Arial" w:eastAsia="Arial" w:hAnsi="Arial"/>
          <w:sz w:val="17"/>
          <w:szCs w:val="17"/>
          <w:color w:val="auto"/>
        </w:rPr>
        <w:t>. On February 14, 2017, PAA issued 1,287,773 Series A preferred units in lieu of a cash distribution of $34 million on</w:t>
      </w:r>
      <w:r>
        <w:rPr>
          <w:rFonts w:ascii="Arial" w:cs="Arial" w:eastAsia="Arial" w:hAnsi="Arial"/>
          <w:sz w:val="17"/>
          <w:szCs w:val="17"/>
          <w:i w:val="1"/>
          <w:iCs w:val="1"/>
          <w:color w:val="auto"/>
        </w:rPr>
        <w:t xml:space="preserve"> </w:t>
      </w:r>
      <w:r>
        <w:rPr>
          <w:rFonts w:ascii="Arial" w:cs="Arial" w:eastAsia="Arial" w:hAnsi="Arial"/>
          <w:sz w:val="17"/>
          <w:szCs w:val="17"/>
          <w:color w:val="auto"/>
        </w:rPr>
        <w:t>PAA's Series A preferred units outstanding as of the record date for such distribution. On May 15, 2017, PAA issued 1,313,527 Series A preferred units in lieu of a cash distribution of $34 million on PAA's Series A preferred units outstanding as of the record date for such distribution.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August 14, 2017, PAA will issue 1,339,796 Series A preferred units in lieu of a cash distribution of $35 million on PAA's Series A preferred units outstanding as of July 31, 2017, the record date for such distribution.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six months of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Distribution to AAP's Partners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70"/>
        </w:trPr>
        <w:tc>
          <w:tcPr>
            <w:tcW w:w="20" w:type="dxa"/>
            <w:vAlign w:val="bottom"/>
          </w:tcPr>
          <w:p>
            <w:pPr>
              <w:spacing w:after="0"/>
              <w:rPr>
                <w:sz w:val="23"/>
                <w:szCs w:val="23"/>
                <w:color w:val="auto"/>
              </w:rPr>
            </w:pPr>
          </w:p>
        </w:tc>
        <w:tc>
          <w:tcPr>
            <w:tcW w:w="53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August 14, 2017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r>
      <w:tr>
        <w:trPr>
          <w:trHeight w:val="243"/>
        </w:trPr>
        <w:tc>
          <w:tcPr>
            <w:tcW w:w="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May 15, 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ind w:left="660" w:hanging="652"/>
        <w:spacing w:after="0" w:line="213"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July 31, 2017 for the period April 1, 2017 through June 30, 2017.</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During the six months ended June 30, 2017, distributions of $1 million were paid to noncontrolling interests in SLC Pipeline LLC.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 Impact from the Sale of Subsidiary Units</w:t>
      </w:r>
    </w:p>
    <w:p>
      <w:pPr>
        <w:spacing w:after="0" w:line="225" w:lineRule="exact"/>
        <w:rPr>
          <w:sz w:val="20"/>
          <w:szCs w:val="20"/>
          <w:color w:val="auto"/>
        </w:rPr>
      </w:pPr>
    </w:p>
    <w:p>
      <w:pPr>
        <w:jc w:val="both"/>
        <w:ind w:right="20" w:firstLine="716"/>
        <w:spacing w:after="0" w:line="259" w:lineRule="auto"/>
        <w:rPr>
          <w:sz w:val="20"/>
          <w:szCs w:val="20"/>
          <w:color w:val="auto"/>
        </w:rPr>
      </w:pPr>
      <w:r>
        <w:rPr>
          <w:rFonts w:ascii="Arial" w:cs="Arial" w:eastAsia="Arial" w:hAnsi="Arial"/>
          <w:sz w:val="18"/>
          <w:szCs w:val="18"/>
          <w:color w:val="auto"/>
        </w:rPr>
        <w:t>In connection with the sales of AAP units and PAA common units referenced above, a deferred asset was created. The tax basis of PAGP’s purchase of the additional units was accounted for at fair market value for U.S. federal income tax purposes, but the GAAP basis was impacted by the adjustments that are based on historical carrying value. The resulting basis difference resulted in a deferred tax asset that was recorded as a component of partner’s capital as it results from transactions with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2017, net derivative positions related to these activities included:</w:t>
      </w:r>
    </w:p>
    <w:p>
      <w:pPr>
        <w:spacing w:after="0" w:line="147" w:lineRule="exact"/>
        <w:rPr>
          <w:sz w:val="20"/>
          <w:szCs w:val="20"/>
          <w:color w:val="auto"/>
        </w:rPr>
      </w:pPr>
    </w:p>
    <w:p>
      <w:pPr>
        <w:ind w:left="980" w:right="5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long position of 1.4 million barrels associated with our crude oil purchases, which was unwound ratably during July 2017 to match monthly average pricing.</w:t>
      </w:r>
    </w:p>
    <w:p>
      <w:pPr>
        <w:spacing w:after="0" w:line="116"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short time spread position of 2.5 million barrels, which hedges a portion of our anticipated crude oil lease gathering purchases through October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crude oil grade basis position of 37.5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net short position of 16.7 million barrels through December 2020 related to anticipated net sales of our crude oil and NGL inventory.</w:t>
      </w:r>
    </w:p>
    <w:p>
      <w:pPr>
        <w:spacing w:after="0" w:line="2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June 30, 2017, our PLA hedges included a long call option position of 0.7 million barrels through December 2018.</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2017, we had a long natural gas position of 56.6 Bcf which hedges our natural gas processing and operational needs through December 2020. We also had a short propane position of 8.5 million barrels through December 2018, a short butane position of 2.6 million barrels through December 2018 and a short WTI position of 0.7 million barrels through December 2018. In addition, we had a long power position of 0.5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risk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payments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terms of our outstanding interest derivatives as of June 30, 2017 (notional 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16 forward starting swaps (30-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forwards and options.</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As of June 30, 2017,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2017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At June 30, 2017 and December 31, 2016, the fair value of this embedded derivative was a liability of approximately $35 million and $32 million, respectively. We recognized a gain of approximately $2 million during the three months ended June 30, 2017 and a net loss of approximately $2 million during the six months ended June 30, 2017. We recognized a gain of $25 million during the three and six months ended June 30, 2016. See Note 11 to our Consolidated Financial Statements included in Part IV of our 2016 Annual Report on Form 10-K for additional information regarding the Preferred Distribution Rate Reset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June 30, 2017</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Three Months Ended June 30, 2016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93"/>
              </w:rPr>
              <w:t>Six Months Ended June 30,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92"/>
              </w:rPr>
              <w:t>Six Months Ended June 30,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0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0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Preferred Distribution Rate Reset Option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46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jc w:val="both"/>
        <w:ind w:left="660" w:right="220" w:hanging="652"/>
        <w:spacing w:after="0" w:line="232"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During the three and six months ended June 30, 2017 we reclassified a loss of approximately $2 million to Interest expense, net due to anticipated hedged transactions being probable of not occurring. During the three and six months ended June 30, 2016 we reclassified losses of approximately $2 million and $2 million to Supply and Logistics segment revenues and Interest expense, net, respectively, due to anticipated hedged transactions being probable of not occurring.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June 30,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vMerge w:val="restart"/>
          </w:tcPr>
          <w:p>
            <w:pPr>
              <w:ind w:left="26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54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4080" w:type="dxa"/>
            <w:vAlign w:val="bottom"/>
          </w:tcPr>
          <w:p>
            <w:pPr>
              <w:ind w:left="40"/>
              <w:spacing w:after="0"/>
              <w:rPr>
                <w:sz w:val="20"/>
                <w:szCs w:val="20"/>
                <w:color w:val="auto"/>
              </w:rPr>
            </w:pPr>
            <w:r>
              <w:rPr>
                <w:rFonts w:ascii="Arial" w:cs="Arial" w:eastAsia="Arial" w:hAnsi="Arial"/>
                <w:sz w:val="18"/>
                <w:szCs w:val="18"/>
                <w:color w:val="auto"/>
              </w:rPr>
              <w:t>Variation margin posted/(returned)</w:t>
            </w:r>
          </w:p>
        </w:tc>
        <w:tc>
          <w:tcPr>
            <w:tcW w:w="4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broker receivable/(payable)</w:t>
            </w:r>
          </w:p>
        </w:tc>
        <w:tc>
          <w:tcPr>
            <w:tcW w:w="54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28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8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0"/>
              </w:rPr>
              <w:t>June 30, 2017</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2016</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June 30, 2017, there was a net loss of $231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June 30, 2017, we expect to reclassify a net loss of $8 million to earnings in the next twelve months. The remaining deferred loss of $223 million is expected to be reclassified to earnings through 2049. A portion of these amounts is based on market prices as of June 30, 2017;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6"/>
              </w:rPr>
              <w:t>2016</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40" w:firstLine="594"/>
        <w:spacing w:after="0" w:line="264" w:lineRule="auto"/>
        <w:rPr>
          <w:sz w:val="20"/>
          <w:szCs w:val="20"/>
          <w:color w:val="auto"/>
        </w:rPr>
      </w:pPr>
      <w:r>
        <w:rPr>
          <w:rFonts w:ascii="Arial" w:cs="Arial" w:eastAsia="Arial" w:hAnsi="Arial"/>
          <w:sz w:val="18"/>
          <w:szCs w:val="18"/>
          <w:color w:val="auto"/>
        </w:rPr>
        <w:t>At June 30, 2017 and December 31, 2016,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as of June 30, 2017</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2016</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PAA’s partnership agreement which is classified as an embedded derivative.</w:t>
      </w:r>
    </w:p>
    <w:p>
      <w:pPr>
        <w:spacing w:after="0" w:line="170" w:lineRule="exact"/>
        <w:rPr>
          <w:sz w:val="20"/>
          <w:szCs w:val="20"/>
          <w:color w:val="auto"/>
        </w:rPr>
      </w:pPr>
    </w:p>
    <w:p>
      <w:pPr>
        <w:ind w:left="660" w:right="300"/>
        <w:spacing w:after="0" w:line="259" w:lineRule="auto"/>
        <w:rPr>
          <w:sz w:val="20"/>
          <w:szCs w:val="20"/>
          <w:color w:val="auto"/>
        </w:rPr>
      </w:pPr>
      <w:r>
        <w:rPr>
          <w:rFonts w:ascii="Arial" w:cs="Arial" w:eastAsia="Arial" w:hAnsi="Arial"/>
          <w:sz w:val="18"/>
          <w:szCs w:val="18"/>
          <w:color w:val="auto"/>
        </w:rPr>
        <w:t>The fair value of our Level 3 physical commodity contracts is based on a valuation model utilizing timing estimates, which involve management judgment. Significant changes in timing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8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9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9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Change in unrealized gains/(losses) included in earnings relating to</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Level 3 derivatives still held at the end of the period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675"/>
        </w:trPr>
        <w:tc>
          <w:tcPr>
            <w:tcW w:w="5160" w:type="dxa"/>
            <w:vAlign w:val="bottom"/>
          </w:tcPr>
          <w:p>
            <w:pPr>
              <w:spacing w:after="0"/>
              <w:rPr>
                <w:sz w:val="24"/>
                <w:szCs w:val="24"/>
                <w:color w:val="auto"/>
              </w:rPr>
            </w:pP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2016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As of June 30, 2017, Oxy had a representative on the board of directors of our general partner and owned approximately 10% of the limited partner interests in AAP. During the three and six months ended June 30, 2017 and 2016,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w:t>
            </w: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60" w:hanging="652"/>
        <w:spacing w:after="0" w:line="21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June 30, 2017, our estimated undiscounted reserve for environmental liabilities (including liabilities related to the Line 901 incident, as discussed further below) totaled $150 million, of which $64 million was classified as short-term and $86 million was classified as long-term. At December 31, 2016, our estimated undiscounted reserve for environmental liabilities (including liabilities related to the Line 901 incident) totaled $147 million, of which $61 million was classified as short-term and $86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2017, we had recorded receivables totaling $44 million for amounts probable of recovery under insurance and from third parties under indemnification agreements, of which $26 million was reflected in “Trade accounts receivable and other receivables, net” and $18 million was reflected in “Other long-term assets, net” on our Condensed Consolidated Balance Sheet. At December 31, 2016, we had recorded $56 million of such receivables, of which $39 million was reflected in “Trade accounts receivable and other receivables, net” and $17 million was reflected in “Other long-term assets, net” on our Condensed Consolidated Balance Sheet.</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complete, and the Unified Command has been dissolved. Our estimate of the amount of oil spilled, based on relevant facts, data and information, is approximately 2,934 barrels; of this amount, we estimate that 598 barrels reached the Pacific Ocean.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the section of Line 903 between Pentland Pump Station and Emidio Pump Station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20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indictment included a total of 46 counts, 36 of which were misdemeanor charges relating to wildlife allegedly taken as a result of the accidental release. The remaining 10 counts (currently three felony and seven misdemeanor charges) relate to the release of crude oil or reporting of the release. PAA believes that the criminal charges are unwarranted and that neither PAA nor any of its employees engaged in any criminal behavior at any time in connection with this accident. PAA intends to continue to vigorously defend itself against the charges. On July 28, 2016, at an arraignment hearing held in California Superior Court in Santa Barbara County, PAA pled not guilty to all counts.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(“DOJ”) began an investigation into whether there were any violations of federal criminal statutes in connection with the Line 901 incident, including potential violations of the federal Clean Water Act. We 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commercial fishermen who landed fish in certain specified fishing blocks in the waters adjacent to Santa Barbara County or from persons or businesses who resold commercial seafood landed in such areas, certain owners of oceanfront and/or beachfront property on the Pacific Coast of California, and other classes of individuals and businesses that were allegedly impacted by the release. To date, only the commercial fisherman and seafood reseller class has been certified by the court.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 claims against all defendants. Plaintiffs have refiled their complaint and we are opposing their claims.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PAA,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in the two remaining lawsuits claim that PAA suffered unspecified damages as a result of the actions of the various defendants and seek to hold the defendants liable for such damages, in addition to other remedies. The defendants deny the allegations in these lawsuits and have responded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8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Taking the foregoing into account, as of June 30, 2017, we estimate that the aggregate total costs we have incurred or will incur with respect to the Line 901 incident will be approximately $300 million, which estimate includes actual and projected emergency response and clean-up costs, natural resource damage assessments and certain third party claims settlements, as well as estimates for fines, penalties and certain legal fees. We accrued such estimate of aggregate total costs to “Field operating costs” primarily during 2015.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3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June 30, 2017, we had a remaining undiscounted gross liability of $78 million related to this event, of which approximately $53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2017, we had collected, subject to customary reservations, $166 million out of the approximate $205 million of release costs that we believe are probable of recovery from insurance carriers, net of deductibles. Therefore, as of June 30, 2017, we have recognized a receivable of approximately $39 million for the portion of the release costs that we believe is probable of recovery from insurance, net of deductibles and amounts already collected. Of this amount, approximately $21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Mesa to Basin Pipeline</w:t>
      </w:r>
      <w:r>
        <w:rPr>
          <w:rFonts w:ascii="Arial" w:cs="Arial" w:eastAsia="Arial" w:hAnsi="Arial"/>
          <w:sz w:val="17"/>
          <w:szCs w:val="17"/>
          <w:color w:val="auto"/>
        </w:rPr>
        <w:t>. On January 6, 2016, PHMSA issued a Notice of Probable Violation and Proposed Civil Penalty relating to an approximate</w:t>
      </w:r>
      <w:r>
        <w:rPr>
          <w:rFonts w:ascii="Arial" w:cs="Arial" w:eastAsia="Arial" w:hAnsi="Arial"/>
          <w:sz w:val="17"/>
          <w:szCs w:val="17"/>
          <w:i w:val="1"/>
          <w:iCs w:val="1"/>
          <w:color w:val="auto"/>
        </w:rPr>
        <w:t xml:space="preserve"> </w:t>
      </w:r>
      <w:r>
        <w:rPr>
          <w:rFonts w:ascii="Arial" w:cs="Arial" w:eastAsia="Arial" w:hAnsi="Arial"/>
          <w:sz w:val="17"/>
          <w:szCs w:val="17"/>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In early March 2017, PHMSA issued a final order that concluded that we followed our pipeline excavation/ditching and backfill procedures, but maintained that we failed to carry out our written damage prevention program and imposed a civil penalty of $184,300. We have since paid such penalty in full and do not anticipate any further action by PHMSA with respect to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CODM (our Chief Executive Officer) evaluates segment performance based on measures including segment adjusted EBITDA (as defined below) and maintenance capital investment.</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Segment adjusted EBITDA excludes depreciation and amortization. Maintenance capital consists of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Adjustment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5,781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5,783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2016</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4,648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200" w:type="dxa"/>
            <w:vAlign w:val="bottom"/>
          </w:tcPr>
          <w:p>
            <w:pPr>
              <w:spacing w:after="0"/>
              <w:rPr>
                <w:sz w:val="24"/>
                <w:szCs w:val="2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24"/>
                <w:szCs w:val="24"/>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Facilities</w:t>
            </w:r>
          </w:p>
        </w:tc>
        <w:tc>
          <w:tcPr>
            <w:tcW w:w="260" w:type="dxa"/>
            <w:vAlign w:val="bottom"/>
          </w:tcPr>
          <w:p>
            <w:pPr>
              <w:spacing w:after="0"/>
              <w:rPr>
                <w:sz w:val="24"/>
                <w:szCs w:val="2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12,176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12,745</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13,580</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2016</w:t>
            </w:r>
          </w:p>
        </w:tc>
        <w:tc>
          <w:tcPr>
            <w:tcW w:w="200" w:type="dxa"/>
            <w:vAlign w:val="bottom"/>
          </w:tcPr>
          <w:p>
            <w:pPr>
              <w:spacing w:after="0"/>
              <w:rPr>
                <w:sz w:val="24"/>
                <w:szCs w:val="2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24"/>
                <w:szCs w:val="24"/>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Facilities</w:t>
            </w:r>
          </w:p>
        </w:tc>
        <w:tc>
          <w:tcPr>
            <w:tcW w:w="260" w:type="dxa"/>
            <w:vAlign w:val="bottom"/>
          </w:tcPr>
          <w:p>
            <w:pPr>
              <w:spacing w:after="0"/>
              <w:rPr>
                <w:sz w:val="24"/>
                <w:szCs w:val="2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8,467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73" w:lineRule="auto"/>
        <w:tabs>
          <w:tab w:leader="none" w:pos="6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to our Consolidated Financial Statements included in Part IV of our 2016 Annual Report on Form 10-K for a discussion of our related accounting policy. We have included an estimate of the revenues from these inventory exchanges in our Transportation segment revenue presented above and adjusted those revenues out such that Total revenue from External customers reconciles to our Condensed Consolidated Statements of Operations. This presentation is consistent with the information provided to our CODM.</w:t>
      </w:r>
    </w:p>
    <w:p>
      <w:pPr>
        <w:spacing w:after="0" w:line="70" w:lineRule="exact"/>
        <w:rPr>
          <w:rFonts w:ascii="Arial" w:cs="Arial" w:eastAsia="Arial" w:hAnsi="Arial"/>
          <w:sz w:val="22"/>
          <w:szCs w:val="22"/>
          <w:color w:val="auto"/>
          <w:vertAlign w:val="superscript"/>
        </w:rPr>
      </w:pPr>
    </w:p>
    <w:p>
      <w:pPr>
        <w:ind w:left="660" w:right="120" w:hanging="652"/>
        <w:spacing w:after="0" w:line="22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Gains/(losses) from derivative activities net of inventory valuation</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7"/>
        </w:trPr>
        <w:tc>
          <w:tcPr>
            <w:tcW w:w="56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88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70"/>
        </w:trPr>
        <w:tc>
          <w:tcPr>
            <w:tcW w:w="56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8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56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8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8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8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PAGP</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or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60" w:hanging="652"/>
        <w:spacing w:after="0" w:line="250" w:lineRule="auto"/>
        <w:tabs>
          <w:tab w:leader="none" w:pos="66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160"/>
        <w:spacing w:after="0" w:line="323" w:lineRule="auto"/>
        <w:rPr>
          <w:sz w:val="20"/>
          <w:szCs w:val="20"/>
          <w:color w:val="auto"/>
        </w:rPr>
      </w:pPr>
      <w:r>
        <w:rPr>
          <w:rFonts w:ascii="Arial" w:cs="Arial" w:eastAsia="Arial" w:hAnsi="Arial"/>
          <w:sz w:val="17"/>
          <w:szCs w:val="17"/>
          <w:color w:val="auto"/>
        </w:rPr>
        <w:t>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ind w:left="660" w:hanging="652"/>
        <w:spacing w:after="0" w:line="227"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145"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00" w:hanging="652"/>
        <w:spacing w:after="0" w:line="214"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hanging="652"/>
        <w:spacing w:after="0" w:line="232"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for additional discussion. An adjustment for these non-recurring expenses is included in the calculation of segment adjusted EBITDA for the three and six months ended June 30, 2017 as our CODM does not view such expenses as integral to understanding our core segment operating performance. Acquisition-related expenses for the 2016 period were not significant to segment adjusted EBITDA.</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2016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purposes. As of June 30, 2017, our sole assets consisted of (i) a 100% managing member interest in Plains All American GP LLC (“GP LLC”) that has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elected to be taxed as a corporation for United States federal income tax purposes and (ii) an approximate 53% limited partner interest in AAP through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 ownership of approximately 152.5 million AAP units and indirect ownership of approximately 1.0 million AAP units through GP LLC. GP LLC is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that also holds the non-economic general partner interest in AAP. AAP is a Delaware limited partnership that,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2017, directly owns an approximate 36% limited partner interest in PAA represented by approximately 288.3 million PAA common units. AAP is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sole member of PAA GP LLC (“PAA GP”), a Delaware limited liability company that directly holds the non-economic general partner interest in PAA.</w:t>
      </w:r>
    </w:p>
    <w:p>
      <w:pPr>
        <w:spacing w:after="0" w:line="22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first six months of 2017, we recognized net income of $575 million as compared to net income of $259 million recognized during the first six months of 2016. Our financial results for the comparative periods were impacted by:</w:t>
      </w:r>
    </w:p>
    <w:p>
      <w:pPr>
        <w:spacing w:after="0" w:line="170" w:lineRule="exact"/>
        <w:rPr>
          <w:sz w:val="20"/>
          <w:szCs w:val="20"/>
          <w:color w:val="auto"/>
        </w:rPr>
      </w:pPr>
    </w:p>
    <w:p>
      <w:pPr>
        <w:ind w:left="1300" w:right="300" w:hanging="320"/>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favorable impact of gains on certain derivative instruments and contributions from our recently completed acquisitions and capital expansion projects, partially offset by less favorable crude oil and NGL market conditions and margin compression caused by continued intense competition;</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depreciation and amortization expense primarily due to impairment losses recognized during the 2016 period;</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mark-to-market of PAA's Preferred Distribution Rate Reset Option, resulting in a loss in the current period compared to a gain in the prior period; and</w:t>
      </w:r>
    </w:p>
    <w:p>
      <w:pPr>
        <w:spacing w:after="0" w:line="170" w:lineRule="exact"/>
        <w:rPr>
          <w:rFonts w:ascii="Arial" w:cs="Arial" w:eastAsia="Arial" w:hAnsi="Arial"/>
          <w:sz w:val="18"/>
          <w:szCs w:val="18"/>
          <w:color w:val="auto"/>
        </w:rPr>
      </w:pPr>
    </w:p>
    <w:p>
      <w:pPr>
        <w:ind w:left="1300" w:right="62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income tax expense primarily due to higher year-over-year income as impacted by fluctuations in derivative mark-to-market valuations in our Canadian operations.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invested $614 million in midstream infrastructure projects during the six months ended June 30, 2017, with a targeted expansion capital plan for the full year of 2017 of approximately $950 million. Additionally, in February 2017, we acquired a crude oil gathering system located in the Northern Delaware Basin for approximately $1.217 billion and a marine propane terminal for $41 million. In April 2017, we completed the formation of a 50/50 joint venture, which subsequently acquired a crude oil pipeline located in the Southern Delaware Basin for $133 million. For our 50% share ($66.5 million), PAA contributed approximately 1.3 million of its common units and approximately $26 million in cash. To fund such capital activities, we sold PAGP and PAA equity securities for net proceeds of approximately $1.7 billion. We also continued to advance our strategic divestiture program, completing three non-core asset sales during the first half of 2017 for cash proceeds of approximately $389 million. In addition, we entered into a definitive agreement in 2016 for an approximately $290 million sale of non-core assets for which regulatory approval is still pending. During the third quarter of 2017, we also entered into an additional definitive agreement to sell our interests in certain non-core pipelines in the Rocky Mountains for proceeds of approximately $250 million, and we are in various stages of discussion or advanced discussion and negotiations regarding additional sales of non-core assets or partial sales of assets to strategic partners for potential additional proceeds of approximately $150 million to $350 million.</w:t>
      </w:r>
    </w:p>
    <w:p>
      <w:pPr>
        <w:spacing w:after="0" w:line="18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paid approximately $771 million of cash distributions to our Class A shareholders and noncontrolling interests during the six months ended June 30, 2017, and we declared a quarterly distribution of $0.55 per Class A share to be paid on August 14,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1,325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(3)</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709</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2,070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875</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40" w:hanging="652"/>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six months of 2017 primarily relates to the ACC Acquisition. See Note 6 to our Condensed Consolidated Financial Statements for further discussion regarding our acquisition activities.</w:t>
      </w:r>
    </w:p>
    <w:p>
      <w:pPr>
        <w:spacing w:after="0" w:line="149"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2017 and the estimated cost for the year ending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9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Permian Basin Area Systems</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180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Saskatchewan Facility Projects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r>
      <w:tr>
        <w:trPr>
          <w:trHeight w:val="270"/>
        </w:trPr>
        <w:tc>
          <w:tcPr>
            <w:tcW w:w="9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STACK Projects </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Cushing Terminal Expansions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St. James Terminal Projects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270</w:t>
            </w:r>
          </w:p>
        </w:tc>
      </w:tr>
      <w:tr>
        <w:trPr>
          <w:trHeight w:val="237"/>
        </w:trPr>
        <w:tc>
          <w:tcPr>
            <w:tcW w:w="9820" w:type="dxa"/>
            <w:vAlign w:val="bottom"/>
            <w:gridSpan w:val="2"/>
          </w:tcPr>
          <w:p>
            <w:pPr>
              <w:ind w:left="180"/>
              <w:spacing w:after="0"/>
              <w:rPr>
                <w:sz w:val="20"/>
                <w:szCs w:val="20"/>
                <w:color w:val="auto"/>
              </w:rPr>
            </w:pPr>
            <w:r>
              <w:rPr>
                <w:rFonts w:ascii="Arial" w:cs="Arial" w:eastAsia="Arial" w:hAnsi="Arial"/>
                <w:sz w:val="18"/>
                <w:szCs w:val="18"/>
                <w:color w:val="auto"/>
              </w:rPr>
              <w:t>Total Projected 2017 Expansion Capital Expenditures</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$950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investment interest.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Transportation segment adjusted EBITDA</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w w:val="97"/>
              </w:rPr>
              <w:t xml:space="preserve">Facilities segment adjusted EBITDA </w:t>
            </w:r>
            <w:r>
              <w:rPr>
                <w:rFonts w:ascii="Arial" w:cs="Arial" w:eastAsia="Arial" w:hAnsi="Arial"/>
                <w:sz w:val="25"/>
                <w:szCs w:val="25"/>
                <w:color w:val="auto"/>
                <w:w w:val="97"/>
                <w:vertAlign w:val="superscript"/>
              </w:rPr>
              <w:t>(1)</w:t>
            </w:r>
          </w:p>
        </w:tc>
        <w:tc>
          <w:tcPr>
            <w:tcW w:w="2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Supply and Logistics segment adjusted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3"/>
              </w:rPr>
              <w:t>Selected items impacting comparability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 segment adjusted EBITDA</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Unallocated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7"/>
        </w:trPr>
        <w:tc>
          <w:tcPr>
            <w:tcW w:w="3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w w:val="98"/>
              </w:rPr>
              <w:t xml:space="preserve">Basic net income per Class A share </w:t>
            </w:r>
            <w:r>
              <w:rPr>
                <w:rFonts w:ascii="Arial" w:cs="Arial" w:eastAsia="Arial" w:hAnsi="Arial"/>
                <w:sz w:val="25"/>
                <w:szCs w:val="25"/>
                <w:color w:val="auto"/>
                <w:w w:val="98"/>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 xml:space="preserve">Diluted net income per Class A share </w:t>
            </w:r>
            <w:r>
              <w:rPr>
                <w:rFonts w:ascii="Arial" w:cs="Arial" w:eastAsia="Arial" w:hAnsi="Arial"/>
                <w:sz w:val="25"/>
                <w:szCs w:val="25"/>
                <w:color w:val="auto"/>
                <w:w w:val="94"/>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w w:val="96"/>
              </w:rPr>
              <w:t>Basic weighted average Class A shares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Diluted weighted average Class A shares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148" w:lineRule="exact"/>
        <w:rPr>
          <w:sz w:val="20"/>
          <w:szCs w:val="20"/>
          <w:color w:val="auto"/>
        </w:rPr>
      </w:pPr>
    </w:p>
    <w:p>
      <w:pPr>
        <w:ind w:left="660" w:right="180" w:hanging="652"/>
        <w:spacing w:after="0" w:line="232"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148"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The share and per-share amounts for the 2016 period have been retroactively adjusted to reflect the effect of the reverse split that was effected as part of the Simplification Transactions. See Note 1 to our Condensed Consolidated Financial Statements for additional discussion of the Simplification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PAA's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our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1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1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 - Adjusted 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520"/>
              <w:spacing w:after="0"/>
              <w:rPr>
                <w:sz w:val="20"/>
                <w:szCs w:val="20"/>
                <w:color w:val="auto"/>
              </w:rPr>
            </w:pPr>
            <w:r>
              <w:rPr>
                <w:rFonts w:ascii="Arial" w:cs="Arial" w:eastAsia="Arial" w:hAnsi="Arial"/>
                <w:sz w:val="18"/>
                <w:szCs w:val="18"/>
                <w:color w:val="auto"/>
              </w:rPr>
              <w:t>activities net of inventory</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8"/>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Significant acquisition-related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(8)</w:t>
            </w:r>
          </w:p>
        </w:tc>
        <w:tc>
          <w:tcPr>
            <w:tcW w:w="22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segment adjusted</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Net (gain)/loss on foreign currency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Comparability - Adjusted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(9)</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jc w:val="both"/>
        <w:ind w:left="660" w:right="60" w:hanging="652"/>
        <w:spacing w:after="0" w:line="223"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or losses on significant asset sales of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41"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PAA's Preferred Distribution Rate Reset Option. See Note 10 to our Condensed Consolidated</w:t>
      </w:r>
    </w:p>
    <w:p>
      <w:pPr>
        <w:sectPr>
          <w:pgSz w:w="11900" w:h="16838" w:orient="portrait"/>
          <w:cols w:equalWidth="0" w:num="1">
            <w:col w:w="11420"/>
          </w:cols>
          <w:pgMar w:left="240" w:top="125"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Financial Statements for a comprehensive discussion regarding our derivatives and risk management activities and PAA's Preferred Distribution Rate Reset Option.</w:t>
      </w:r>
    </w:p>
    <w:p>
      <w:pPr>
        <w:spacing w:after="0" w:line="35" w:lineRule="exact"/>
        <w:rPr>
          <w:sz w:val="20"/>
          <w:szCs w:val="20"/>
          <w:color w:val="auto"/>
        </w:rPr>
      </w:pPr>
    </w:p>
    <w:p>
      <w:pPr>
        <w:ind w:left="660" w:hanging="652"/>
        <w:spacing w:after="0" w:line="273"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2016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hanging="652"/>
        <w:spacing w:after="0" w:line="274"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2016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ind w:left="660" w:right="240" w:hanging="652"/>
        <w:spacing w:after="0" w:line="227"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w:t>
      </w:r>
    </w:p>
    <w:p>
      <w:pPr>
        <w:spacing w:after="0" w:line="94" w:lineRule="exact"/>
        <w:rPr>
          <w:rFonts w:ascii="Arial" w:cs="Arial" w:eastAsia="Arial" w:hAnsi="Arial"/>
          <w:sz w:val="24"/>
          <w:szCs w:val="24"/>
          <w:color w:val="auto"/>
          <w:vertAlign w:val="superscript"/>
        </w:rPr>
      </w:pPr>
    </w:p>
    <w:p>
      <w:pPr>
        <w:ind w:left="660" w:right="34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to our Condensed Consolidated Financial Statements for additional discussion.</w:t>
      </w:r>
    </w:p>
    <w:p>
      <w:pPr>
        <w:spacing w:after="0" w:line="95"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Segment adjusted EBITDA is exclusive of such amounts.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 attributable to PAGP.</w:t>
      </w:r>
    </w:p>
    <w:p>
      <w:pPr>
        <w:spacing w:after="0" w:line="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8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Tariff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Total transportation revenues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costs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3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Equity-indexed compensation expense -</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Segment general and administrative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gridSpan w:val="2"/>
          </w:tcPr>
          <w:p>
            <w:pPr>
              <w:ind w:left="36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Equity-indexed compensation expense -</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gridSpan w:val="2"/>
          </w:tcPr>
          <w:p>
            <w:pPr>
              <w:ind w:left="40"/>
              <w:spacing w:after="0"/>
              <w:rPr>
                <w:sz w:val="20"/>
                <w:szCs w:val="20"/>
                <w:color w:val="auto"/>
              </w:rPr>
            </w:pPr>
            <w:r>
              <w:rPr>
                <w:rFonts w:ascii="Arial" w:cs="Arial" w:eastAsia="Arial" w:hAnsi="Arial"/>
                <w:sz w:val="18"/>
                <w:szCs w:val="18"/>
                <w:color w:val="auto"/>
                <w:w w:val="99"/>
              </w:rPr>
              <w:t>Equity earnings in unconsolidated entities</w:t>
            </w: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Significant acquisition-related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gridSpan w:val="2"/>
            <w:vMerge w:val="continue"/>
          </w:tcPr>
          <w:p>
            <w:pPr>
              <w:spacing w:after="0"/>
              <w:rPr>
                <w:sz w:val="16"/>
                <w:szCs w:val="16"/>
                <w:color w:val="auto"/>
              </w:rPr>
            </w:pPr>
          </w:p>
        </w:tc>
        <w:tc>
          <w:tcPr>
            <w:tcW w:w="12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(5)</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(6)</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2,178</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4,484</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4,666</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4,781</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i w:val="1"/>
          <w:iCs w:val="1"/>
          <w:color w:val="auto"/>
        </w:rPr>
        <w:t xml:space="preserve">Revenues from Tariff Activities, Equity Earnings in Unconsolidated Entities and Volumes. </w:t>
      </w:r>
      <w:r>
        <w:rPr>
          <w:rFonts w:ascii="Arial" w:cs="Arial" w:eastAsia="Arial" w:hAnsi="Arial"/>
          <w:sz w:val="18"/>
          <w:szCs w:val="18"/>
          <w:color w:val="auto"/>
        </w:rPr>
        <w:t>The following table presents variances in tariff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equity earnings in unconsolidated entities by region for the comparative periods presented:</w:t>
      </w: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4"/>
              </w:rPr>
              <w:t>Favorable/(Unfavorable) Variance</w:t>
            </w:r>
          </w:p>
        </w:tc>
        <w:tc>
          <w:tcPr>
            <w:tcW w:w="220" w:type="dxa"/>
            <w:vAlign w:val="bottom"/>
          </w:tcPr>
          <w:p>
            <w:pPr>
              <w:spacing w:after="0"/>
              <w:rPr>
                <w:sz w:val="14"/>
                <w:szCs w:val="14"/>
                <w:color w:val="auto"/>
              </w:rPr>
            </w:pPr>
          </w:p>
        </w:tc>
        <w:tc>
          <w:tcPr>
            <w:tcW w:w="252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5"/>
              </w:rPr>
              <w:t>Favorable/(Unfavorable) Variance</w:t>
            </w: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Pr>
          <w:p>
            <w:pPr>
              <w:spacing w:after="0"/>
              <w:rPr>
                <w:sz w:val="12"/>
                <w:szCs w:val="12"/>
                <w:color w:val="auto"/>
              </w:rPr>
            </w:pPr>
          </w:p>
        </w:tc>
        <w:tc>
          <w:tcPr>
            <w:tcW w:w="252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2"/>
              </w:rPr>
              <w:t>Six Months Ended June 30,</w:t>
            </w:r>
          </w:p>
        </w:tc>
      </w:tr>
      <w:tr>
        <w:trPr>
          <w:trHeight w:val="192"/>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2"/>
              </w:rPr>
              <w:t>2017-2016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5"/>
              </w:rPr>
              <w:t>2017-2016</w:t>
            </w: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Equity Earnings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Equity Earnings</w:t>
            </w: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South Texas / Eagle Ford region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Rocky Mountain region</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Gulf Coast region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Other (including pipeline loss allowance revenue)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tariff activities variance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980" w:right="80" w:hanging="324"/>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Permian Basin region — The increase in revenues for the comparative 2017 periods presented was largely driven by (i) higher volumes on our Cactus pipeline due to stronger demand in the Corpus Christi market and third-party export terminals, which also favorably impacted volumes on our McCamey pipeline system, (ii) results from the ACC System, which we acquired in February 2017 and (iii) increased production in the Permian Basin, which favorably impacted volumes on our takeaway pipelines.</w:t>
      </w:r>
    </w:p>
    <w:p>
      <w:pPr>
        <w:spacing w:after="0" w:line="18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Equity earnings increased due to higher earnings from our 50% interest in BridgeTex Pipeline Company, LLC resulting from higher volumes.</w:t>
      </w:r>
    </w:p>
    <w:p>
      <w:pPr>
        <w:spacing w:after="0" w:line="248"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South Texas / Eagle Ford region — Equity earnings from our 50% interest in Eagle Ford Pipeline LLC increased over the periods presented primarily due to higher volumes from our Cactus pipeline related to stronger demand in the Corpus Christi market and third-party export terminals.</w:t>
      </w:r>
    </w:p>
    <w:p>
      <w:pPr>
        <w:spacing w:after="0" w:line="181" w:lineRule="exact"/>
        <w:rPr>
          <w:rFonts w:ascii="Arial" w:cs="Arial" w:eastAsia="Arial" w:hAnsi="Arial"/>
          <w:sz w:val="18"/>
          <w:szCs w:val="18"/>
          <w:color w:val="auto"/>
        </w:rPr>
      </w:pPr>
    </w:p>
    <w:p>
      <w:pPr>
        <w:ind w:left="980" w:right="400" w:hanging="324"/>
        <w:spacing w:after="0" w:line="30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Rocky Mountain region — The decrease in revenues for the six-month comparative period was largely driven by (i) lower volumes due to downtime on our Wahsatch pipeline, which we proactively shut down for approximately 30 days during the first quarter of 2017 as a precautionary measure in response to indications of soil movement identified by our monitoring systems, and (ii) the sale of 50% of our investment in Cheyenne Pipeline in June 2016, subsequent to which it was accounted for under the equity method of accounting.</w:t>
      </w:r>
    </w:p>
    <w:p>
      <w:pPr>
        <w:spacing w:after="0" w:line="154" w:lineRule="exact"/>
        <w:rPr>
          <w:rFonts w:ascii="Arial" w:cs="Arial" w:eastAsia="Arial" w:hAnsi="Arial"/>
          <w:sz w:val="16"/>
          <w:szCs w:val="16"/>
          <w:color w:val="auto"/>
        </w:rPr>
      </w:pPr>
    </w:p>
    <w:p>
      <w:pPr>
        <w:ind w:left="980" w:right="40"/>
        <w:spacing w:after="0" w:line="259" w:lineRule="auto"/>
        <w:rPr>
          <w:rFonts w:ascii="Arial" w:cs="Arial" w:eastAsia="Arial" w:hAnsi="Arial"/>
          <w:sz w:val="16"/>
          <w:szCs w:val="16"/>
          <w:color w:val="auto"/>
        </w:rPr>
      </w:pPr>
      <w:r>
        <w:rPr>
          <w:rFonts w:ascii="Arial" w:cs="Arial" w:eastAsia="Arial" w:hAnsi="Arial"/>
          <w:sz w:val="18"/>
          <w:szCs w:val="18"/>
          <w:color w:val="auto"/>
        </w:rPr>
        <w:t>Equity earnings increased primarily due to earnings from (i) our 40% investment in the entity that owns the Saddlehorn Pipeline, a segment of which was placed in service in the third quarter of 2016, and (ii) our 50% investment in Cheyenne Pipeline, as discussed above. Such increases were partially offset by decreased equity earnings from our 35.67% interest in White Cliffs Pipeline LLC due to lower volumes on the joint venture pipeline.</w:t>
      </w:r>
    </w:p>
    <w:p>
      <w:pPr>
        <w:spacing w:after="0" w:line="186"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Gulf Coast region — Revenues and volumes decreased primarily due to the sale of certain of our Gulf Coast pipelines in March 2016 and July 2016.</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Adjustments: Deficiencies under minimum volume commitments, net. </w:t>
      </w:r>
      <w:r>
        <w:rPr>
          <w:rFonts w:ascii="Arial" w:cs="Arial" w:eastAsia="Arial" w:hAnsi="Arial"/>
          <w:sz w:val="18"/>
          <w:szCs w:val="18"/>
          <w:color w:val="auto"/>
        </w:rPr>
        <w:t>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the 2016 periods presented in the table above, we had net collections for deficiencies under minimum volume commitments resulting in deferred revenues and an increase to Segment adjusted EBITDA. In the 2017 periods, shippers (i) utilized credits associated with previous deficiencies or (ii) credits expired resulting in the recognition of previously deferred revenue, which were partially offset by collections for deficiencies under minimum volume commitments resulting in a net decrease to Segment adjusted EBITDA.</w:t>
      </w:r>
    </w:p>
    <w:p>
      <w:pPr>
        <w:spacing w:after="0" w:line="18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equity-indexed compensation expense)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compared to the three and six months ended June 30, 2016 was primarily due to an increase in estimated costs associated with the Line 901 incident and incremental operating costs from the Alpha Crude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Connector acquisition in February 2017, partially offset by cost reduction efforts and decreased costs due to the sale of certain Gulf Coast pipelines as noted above.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The following table presents total equity-indexed compensation expense by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Supply and Logistics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Across all segments, equity-indexed compensation expense decreased by $11 million and $4 million for the three and six months ended June 30, 2017, respectively, compared to the same periods in 2016, primarily due to a decrease in PAA unit price for both the three and six months ended June 30, 2017, compared to an increase in PAA unit price for the same periods in 2016, partially offset by more probable awards outstanding and a higher average value for those awards during the three and six months ended June 30, 2017 compared to the same periods in 2016. See Note 16 to our Consolidated Financial Statements included in Part IV of our 2016 Annual Report on Form 10-K for additional information regarding our equity-indexed compensation plans.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Natural gas related costs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0"/>
              <w:spacing w:after="0"/>
              <w:rPr>
                <w:sz w:val="20"/>
                <w:szCs w:val="20"/>
                <w:color w:val="auto"/>
              </w:rPr>
            </w:pPr>
            <w:r>
              <w:rPr>
                <w:rFonts w:ascii="Arial" w:cs="Arial" w:eastAsia="Arial" w:hAnsi="Arial"/>
                <w:sz w:val="18"/>
                <w:szCs w:val="18"/>
                <w:color w:val="auto"/>
                <w:w w:val="96"/>
              </w:rPr>
              <w:t>(Gains)/losses from derivative activities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360"/>
              <w:spacing w:after="0"/>
              <w:rPr>
                <w:sz w:val="20"/>
                <w:szCs w:val="20"/>
                <w:color w:val="auto"/>
              </w:rPr>
            </w:pPr>
            <w:r>
              <w:rPr>
                <w:rFonts w:ascii="Arial" w:cs="Arial" w:eastAsia="Arial" w:hAnsi="Arial"/>
                <w:sz w:val="18"/>
                <w:szCs w:val="18"/>
                <w:color w:val="auto"/>
              </w:rPr>
              <w:t>net of inventory valuation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Equity-indexed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1"/>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5"/>
              </w:rPr>
              <w:t>Volumes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terminalling and storage (average</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monthly capacity in millions of barrels)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40"/>
              <w:spacing w:after="0"/>
              <w:rPr>
                <w:sz w:val="20"/>
                <w:szCs w:val="20"/>
                <w:color w:val="auto"/>
              </w:rPr>
            </w:pPr>
            <w:r>
              <w:rPr>
                <w:rFonts w:ascii="Arial" w:cs="Arial" w:eastAsia="Arial" w:hAnsi="Arial"/>
                <w:sz w:val="18"/>
                <w:szCs w:val="18"/>
                <w:color w:val="auto"/>
              </w:rPr>
              <w:t>Rail load / unload volumes (average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volumes in thousands of barrels per</w:t>
            </w:r>
          </w:p>
        </w:tc>
        <w:tc>
          <w:tcPr>
            <w:tcW w:w="200" w:type="dxa"/>
            <w:vAlign w:val="bottom"/>
          </w:tcPr>
          <w:p>
            <w:pPr>
              <w:spacing w:after="0"/>
              <w:rPr>
                <w:sz w:val="18"/>
                <w:szCs w:val="18"/>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day)</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storage (average monthly</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working capacity in billions of cubic</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feet)</w:t>
            </w: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780" w:type="dxa"/>
            <w:vAlign w:val="bottom"/>
            <w:tcBorders>
              <w:right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NGL fractionation (average volumes 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thousands of barrels per day)</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Facilities segment total volumes (average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monthly volumes in millions of barrels)</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ectPr>
          <w:pgSz w:w="11900" w:h="16838" w:orient="portrait"/>
          <w:cols w:equalWidth="0" w:num="1">
            <w:col w:w="11420"/>
          </w:cols>
          <w:pgMar w:left="240" w:top="125"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60" w:hanging="652"/>
        <w:spacing w:after="0" w:line="216"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100" w:hanging="652"/>
        <w:spacing w:after="0" w:line="234"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04"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driven by:</w:t>
      </w:r>
    </w:p>
    <w:p>
      <w:pPr>
        <w:spacing w:after="0" w:line="225" w:lineRule="exact"/>
        <w:rPr>
          <w:rFonts w:ascii="Arial" w:cs="Arial" w:eastAsia="Arial" w:hAnsi="Arial"/>
          <w:sz w:val="25"/>
          <w:szCs w:val="25"/>
          <w:color w:val="auto"/>
          <w:vertAlign w:val="superscript"/>
        </w:rPr>
      </w:pPr>
    </w:p>
    <w:p>
      <w:pPr>
        <w:ind w:left="660" w:right="20" w:hanging="328"/>
        <w:spacing w:after="0" w:line="279"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NGL Storage, NGL Fractionation and Canadian Natural Gas Processing — Revenues increased by $26 million and $59 million for the three and six months ended June 30, 2017, respectively, compared to the same periods in 2016 primarily due to contributions from the Western Canada NGL assets we acquired in August 2016 and increased storage capacity at our Fort Saskatchewan facility, as well as higher fees at certain of our NGL storage and fractionation facilities, which were largely incurred in our Supply and Logistics segment results.</w:t>
      </w:r>
    </w:p>
    <w:p>
      <w:pPr>
        <w:spacing w:after="0" w:line="171" w:lineRule="exact"/>
        <w:rPr>
          <w:rFonts w:ascii="Arial" w:cs="Arial" w:eastAsia="Arial" w:hAnsi="Arial"/>
          <w:sz w:val="17"/>
          <w:szCs w:val="17"/>
          <w:color w:val="auto"/>
        </w:rPr>
      </w:pPr>
    </w:p>
    <w:p>
      <w:pPr>
        <w:ind w:left="660" w:right="60" w:hanging="328"/>
        <w:spacing w:after="0" w:line="286"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Rail Terminals — Revenues decreased by $8 million and $16 million for the three and six months ended June 30, 2017, respectively, compared to the three and six months ended June 30, 2016 primarily due to lower volumes at our U.S. terminals resulting from less favorable market conditions, partially offset by revenues and volumes from our Fort Saskatchewan rail terminal that came on line in April 2016.</w:t>
      </w:r>
    </w:p>
    <w:p>
      <w:pPr>
        <w:spacing w:after="0" w:line="165" w:lineRule="exact"/>
        <w:rPr>
          <w:rFonts w:ascii="Arial" w:cs="Arial" w:eastAsia="Arial" w:hAnsi="Arial"/>
          <w:sz w:val="17"/>
          <w:szCs w:val="17"/>
          <w:color w:val="auto"/>
        </w:rPr>
      </w:pPr>
    </w:p>
    <w:p>
      <w:pPr>
        <w:ind w:left="660" w:right="20" w:hanging="328"/>
        <w:spacing w:after="0" w:line="279"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Crude Oil Storage — Revenues decreased by $1 million and $4 million for the three and six months ended June 30, 2017, respectively, compared to the same periods in 2016 primarily due to (i) decreased utilization at certain of our West Coast terminals and (ii) lower results related to the sale of certain of our East Coast terminals in April 2016. Such decreases were partially offset by increased revenues from our Cushing and St. James terminals due to aggregate capacity expansions of over 2.8 million barrels and higher ancillary fees.</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compared to the three and six months ended June 30, 2016 was primarily due to reduced rail activity, cost reduction efforts and the sale of certain of our East Coast terminals in April 2016. Such decreases were largely offset by an increase in operating costs associated with the Western Canada NGL assets acquired in August 2016.</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increase in maintenance capital for the three and six months ended June 30, 2017 compared to the same periods in 2016 was primarily due to increased investment in our integrity management program, primarily on assets at our West Coast terminals.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that were previously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125"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prices, but are affected by overall levels of supply and demand for crude oil and NGL, market structure and relative fluctuations in market-related indices and regional differentials.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(11,678)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w w:val="95"/>
              </w:rPr>
              <w:t>Equity-indexed compensation expense -</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w w:val="95"/>
              </w:rPr>
              <w:t>Equity-indexed compensation expense -</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20" w:type="dxa"/>
            <w:vAlign w:val="bottom"/>
          </w:tcPr>
          <w:p>
            <w:pPr>
              <w:spacing w:after="0"/>
              <w:rPr>
                <w:sz w:val="24"/>
                <w:szCs w:val="2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2017</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June 30, 2016</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Six months ended June 30, 2017</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June 30, 2016</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six months ended June 30, 2017 compared to the same periods in 2016 primarily due to higher crude oil prices. Additionally, revenues were impacted by gains from certain derivative activities during the three and six months ended June 30, 2017 compared to losses recognized during the 2016 periods.</w:t>
      </w:r>
    </w:p>
    <w:p>
      <w:pPr>
        <w:spacing w:after="0" w:line="173"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Historically, we expected a base level of earnings from our Supply and Logistics segment from the assets employed by this segment. However, over the last 12 to 18 months, competition has increased significantly and, combined with recent and current market conditions, predicting such base level of earnings has been difficult. Our Supply and Logistics segment earnings may be optimized and enhanced when there is a high level of market volatility, favorable basis differentials and/or a steep contango or backwardated market structure. During certain transitional periods, such as the current extended period of lower crude oil prices, increased competition, low volatility and tight differentials, our ability to generate earnings in this segment is reduced and our segment earnings can be adversely impacted by activities designed to increase utilization of certain of our pipeline and facilities assets. These factors, in combination with overcapacity of midstream assets in certain regions and increased competition that currently exists in most crude oil producing regions, make predicting and then generating baseline-level performance challenging. Our NGL operations are also impacted by similar competitive pressures. In addition, our NGL operations are sensitive to weather-related demand, particularly during the approximate five-month peak heating season of</w:t>
      </w:r>
    </w:p>
    <w:p>
      <w:pPr>
        <w:spacing w:after="0" w:line="7"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November through March, and temperature differences from period-to-period may have a significant effect on NGL demand and thus our financial performance.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Net Revenues and Volumes. </w:t>
      </w:r>
      <w:r>
        <w:rPr>
          <w:rFonts w:ascii="Arial" w:cs="Arial" w:eastAsia="Arial" w:hAnsi="Arial"/>
          <w:sz w:val="16"/>
          <w:szCs w:val="16"/>
          <w:color w:val="auto"/>
        </w:rPr>
        <w:t>Our Supply and Logistics segment revenues, net of purchases and related costs, decreased by $11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2017 compared to the three months ended June 30, 2016 and increased by $276 million for the six months ended June 30, 2017 compared to the same period in 2016. The six-month comparative period was impacted by gains from certain derivative activities (as discussed further below) that more than offset lower results from less favorable market conditions. The following summarizes the significant items impacting the comparative periods:</w:t>
      </w:r>
    </w:p>
    <w:p>
      <w:pPr>
        <w:spacing w:after="0" w:line="154" w:lineRule="exact"/>
        <w:rPr>
          <w:sz w:val="20"/>
          <w:szCs w:val="20"/>
          <w:color w:val="auto"/>
        </w:rPr>
      </w:pPr>
    </w:p>
    <w:p>
      <w:pPr>
        <w:jc w:val="both"/>
        <w:ind w:left="980" w:right="14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six months ended June 30, 2017 as compared to the same periods in 2016, primarily due to continued and intensifying competition, largely due to overbuilt infrastructure underwritten with volume commitments and the effect of such on differentials, which negatively impacted our unit margins. See the “Outlook” section below for additional discussion of recent market conditions.</w:t>
      </w:r>
    </w:p>
    <w:p>
      <w:pPr>
        <w:spacing w:after="0" w:line="186" w:lineRule="exact"/>
        <w:rPr>
          <w:rFonts w:ascii="Arial" w:cs="Arial" w:eastAsia="Arial" w:hAnsi="Arial"/>
          <w:sz w:val="18"/>
          <w:szCs w:val="18"/>
          <w:color w:val="auto"/>
        </w:rPr>
      </w:pPr>
    </w:p>
    <w:p>
      <w:pPr>
        <w:ind w:left="980" w:right="20" w:hanging="324"/>
        <w:spacing w:after="0" w:line="30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NGL Operations — Net revenues from our NGL operations decreased for the three and six months ended June 30, 2017 as compared to the three and six months ended June 30, 2016, largely due to (i) higher supply costs and tighter differentials driven by competition, which more than offset higher sales volume from the Western Canada NGL assets acquired in August 2016, (ii) warmer weather during the 2016-2017 heating season and (iii) higher storage and processing fees for the 2017 period, which were largely offset in our Facilities segment results.</w:t>
      </w:r>
    </w:p>
    <w:p>
      <w:pPr>
        <w:spacing w:after="0" w:line="154" w:lineRule="exact"/>
        <w:rPr>
          <w:rFonts w:ascii="Arial" w:cs="Arial" w:eastAsia="Arial" w:hAnsi="Arial"/>
          <w:sz w:val="16"/>
          <w:szCs w:val="16"/>
          <w:color w:val="auto"/>
        </w:rPr>
      </w:pPr>
    </w:p>
    <w:p>
      <w:pPr>
        <w:ind w:left="980" w:right="80" w:hanging="324"/>
        <w:spacing w:after="0" w:line="30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Impact from Certain Derivative Activities Net of Inventory Valuation Adjustments — 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10 to our Condensed Consolidated Financial Statements for a comprehensive discussion regarding our derivatives and risk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120"/>
        <w:spacing w:after="0" w:line="324" w:lineRule="auto"/>
        <w:rPr>
          <w:sz w:val="20"/>
          <w:szCs w:val="20"/>
          <w:color w:val="auto"/>
        </w:rPr>
      </w:pPr>
      <w:r>
        <w:rPr>
          <w:rFonts w:ascii="Arial" w:cs="Arial" w:eastAsia="Arial" w:hAnsi="Arial"/>
          <w:sz w:val="18"/>
          <w:szCs w:val="18"/>
          <w:color w:val="auto"/>
        </w:rPr>
        <w:t>management activities. These gains and losses impact our net revenues but are excluded from segment adjusted EBITDA and thus are reflected as an “Adjustment” in the table above.</w:t>
      </w:r>
    </w:p>
    <w:p>
      <w:pPr>
        <w:spacing w:after="0" w:line="143" w:lineRule="exact"/>
        <w:rPr>
          <w:sz w:val="20"/>
          <w:szCs w:val="20"/>
          <w:color w:val="auto"/>
        </w:rPr>
      </w:pPr>
    </w:p>
    <w:p>
      <w:pPr>
        <w:ind w:left="980" w:hanging="324"/>
        <w:spacing w:after="0" w:line="25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Exchange Impacts — Our net revenues are impacted by fluctuations in the value of CAD to USD, resulting in foreign exchange gains and 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compared to the three and six months ended June 30, 2016 was primarily due to lower trucking costs as pipeline expansion projects were placed into service.</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for the three and six months ended June 30, 2017 compared to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2016 primarily due to (i) impairment losses in the second quarter of 2016 of approximately $80 million associated with certain of our rail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terminal assets, (ii) an approximately $18 million loss on assets taken out of service during the second quarter of 2016 and (iii) the write-off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million and $11 million of costs during 2017 and 2016, respectively, associated with the discontinuation of certain capital projects. These decreases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additional depreciation and amortization expense associated with recently acquired assets and the completion of various capital expansion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projects during the comparative periods. Depreciation and amortization expense was further impacted by net losses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2017 of approximately $5 million and $1 million, respectively, and net gains for the three and six months ended June 30, 2016 of approximately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$16 million, respectively, associated with sales of non-core assets during the periods and the Cheyenne Pipeline joint venture formation in June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increase in interest expense for the three and six months ended June 30, 2017 over the three and six months ended June 30, 2016 was primarily due to (i) lower capitalized interest driven by fewer capital projects under construction and (ii) a higher weighted average debt balance during the 2017 periods.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6"/>
          <w:szCs w:val="16"/>
          <w:color w:val="auto"/>
        </w:rPr>
        <w:t>The decrease in Other income/(expense), net for the three and six months ended June 30, 2017 compared to the same periods in 2016 was primarily related to the mark-to-market adjustment of PAA's Preferred Distribution Rate Reset Option, which was a gain of $2 million and a loss of $2 million for the three and six months ended June 30, 2017, respectively, compared to a gain of $25 million for the three and six months ended June 30, 2016. See Note 10 to our Condensed Consolidated Financial Statements for additional information. Excluding such impacts, Other income/(expense), net for the periods presented were primarily comprised of gains or losses from the revaluation of foreign currency transactions and monetary assets and liabilities.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43"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Income tax expense increased for the three and six months ended June 30, 2017 compared to the three and six months ended June 30, 2016 primarily due to (i) higher year-over-year income as impacted by fluctuations in derivative mark-to-market valuations in our Canadian operations, (ii) higher deferred tax expense associated with the amortization of our deferred tax asset, and (iii) for the six month comparative period, higher deferred tax expense recorded in the first quarter of 2017 related to a change in our effective tax rate.</w:t>
      </w:r>
    </w:p>
    <w:p>
      <w:pPr>
        <w:spacing w:after="0" w:line="17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April 26, 2017, the White House issued a one-page outline for proposed changes to the U.S. tax code. In the current proposed tax reform plan, federal corporate income tax rates would be decreased from 35% to 15%. PAGP’s deferred tax balances are calculated based on the tax rates in effect during the period. A change in federal corporate income tax rates for a current or future period is recorded as a component of the income tax provision for the period in which the law is enacted to change current or future tax rates. A reduction in the corporate federal income tax rate to 15%, as currently proposed, would result in a write-off of a portion of the deferred tax asset through income tax expense in the period the change is enacted.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See “Management’s Discussion and Analysis of Financial Condition and Results of Operations—Market Overview and Outlook” included in Item 7 of our 2016 Annual Report on Form 10-K for a discussion of historical crude oil market conditions and our view on potential drilling and production activity levels. The increase in crude oil prices during the fourth quarter of 2016 and early 2017 led to increased rig activity in areas where we anticipated production levels to increase, most notably the Permian Basin and the STACK resource play in Oklahoma. In the second quarter of 2017, crude oil prices trended downward, averaging 7% below the first quarter average.</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However, rig activity during the second quarter continued to increase in many of the producing basins where we operate, although at a slower rate compared to the first quarter. Since early May 2017, Permian Basin rig counts have increased by 7%, adding approximately 26 rigs over the ensuing three month period. In addition, upstream acreage acquisition activity in the Permian Basin continued in the second quarter of 2017, with over $13 billion in acreage transactions announced within the last twelve months, which involved meaningful positions located in the Northern Delaware Basin. Current rig counts do not fully reflect the expected increase associated with certain of these transactions. We expect a continuation of a time lag between increased drilling activity and increased production as producers shift to multiple well pad operations and delayed scheduling of completion activities. These trends have led to a rising inventory of drilled but uncompleted (“DUC”) wells in the Permian Basin. In the Permian Basin alone, DUC inventory has increased by nearly 1,000 DUCs since the beginning of 2016. Importantly, over 80% of the increase in DUC inventory accumulated within the first half of 2017, during which DUC additions averaged approximately 140 per month. While the timing of DUC completion activity is difficult to forecast, DUC inventory and increases in well productivity could have a positive impact on either the rate of production growth or the ability of producers to maintain production at current levels in the event rig activity slows.</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Taking all of these factors into account, we continue to expect production levels to increase in the second half of this year. The increased production levels should continue to increase pipeline utilization in our Transportation segment. Longer term, we believe rising production levels will also provide some potential relief on the margin compression we have been experiencing within our Supply and Logistics segment. However, we can provide no assurance that an improvement in market conditions will be achieved or that we will not be negatively impacted by declining crude oil supply, lower commodity prices, reduced producer activity levels, competition for incremental volumes, reduced margins, low levels of volatility, challenging capital markets conditions or other related factors. A continuation of a low crude oil price environment could have a material adverse impact on drilling and completion activity. Additionally, construction of additional infrastructure by us and our competitors could lead to even greater levels of excess takeaway capacity in certain areas for the near- to medium-term, which could further reduce unit margins in our various segments, and which could be exacerbated by declining levels of crude oil production. Specifically, our Supply and Logistics segment has been most heavily impacted by margin compression driven by factors such as these. Within this segment, our crude oil activities were the first to experience significant margin compression, and most recently, our NGL activities have become adversely impacted by margin compression as well, substantially driven by increased competition in supply areas and tighter differentials between Canadian and U.S. markets. In addition, in the current environment of increased competition, relatively flat futures curves, narrow grade differentials and low regional basis differentials, the prospects for capturing arbitrage opportunities of the type and amount that we have historically been able to capture is significantly reduced. The near term outlook for our Supply and Logistics segment is that such conditions are likely to continue; accordingly, our earnings from this segment are difficult to forecast and we can provide no assurance that conditions will improve or that we will be able to achieve our earnings objectives in this segment. Finally, we cannot be certain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that our expansion efforts will generate targeted returns or that any recently completed or future acquisition activities will be successful. See “Risk Factors— Risks Related to PAA’s Business” discussed in Item 1A of our 2016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(see Note 12 to our Condensed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$124 million and $94 million as of June 30, 2017 and December 31, 2016, respectively.</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own a 54% undivided joint interest in the Capline Pipeline (“Capline”) system, which originates in St. James, Louisiana and terminates in Patoka, Illinois. We anticipate the construction of new crude oil pipeline infrastructure and the ongoing changing crude oil flows in the United States may result in a decline in volumes on the Capline system in future years to levels that cannot sustain operations. The owners of the Capline system are considering various alternatives for the use of the pipeline system, including an assessment of the commercial potential to reverse the pipeline direction within the next several years. Developments in the commercial outlook for the Capline system could result in incurring costs associated with retiring certain assets or an impairment of the carrying value of our interest in the Capline system, which was $196 million and $227 million at June 30, 2017 and December 31,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non-core asset sales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and other expenses and interest payments on outstanding debt,</w:t>
      </w:r>
    </w:p>
    <w:p>
      <w:pPr>
        <w:spacing w:after="0" w:line="2" w:lineRule="exact"/>
        <w:rPr>
          <w:sz w:val="20"/>
          <w:szCs w:val="20"/>
          <w:color w:val="auto"/>
        </w:rPr>
      </w:pPr>
    </w:p>
    <w:p>
      <w:pPr>
        <w:ind w:right="40" w:firstLine="8"/>
        <w:spacing w:after="0" w:line="288" w:lineRule="auto"/>
        <w:tabs>
          <w:tab w:leader="none" w:pos="2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non-core assets. As of June 30, 2017, we had a working capital deficit of $228 million and approximately $2.8 billion of liquidity available to meet our ongoing operating, investing and financing needs, subject to continued covenant compliance, as noted below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2017</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1,584</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2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1,011</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6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Available capacity was reduced by outstanding letters of credit of $105 million, comprised of $16 million under the PAA senior unsecured revolving credit facility and $89 million under the PAA senior secured hedged inventory facility.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and/or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2016 Annual Report on Form 10-K for further discussion regarding such risks that may impact our liquidity and capital resources. Usage of the PAA credit facilities, which provide the backstop for the PAA commercial paper program, is subject to ongoing compliance with covenants. As of June 30, 2017, PAA was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2016 Annual Report on Form 10-K.</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provided by operating activities for the first six months of 2017 and 2016 was $1.459 billion and $379 million, respectively, and primarily resulted from earnings from our operations.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Net cash provided by operating activities for the 2017 period was positively impacted by a decrease in both the volume of inventory that we held and the margin balances required as part of our hedging activities, both of which had been funded by short-term debt. The cash inflows associated with these items resulted in a favorable impact on our cash provided by operating activities. However, the favorable effects from such activities were partially offset by higher prices for NGL and crude oil inventory that was purchased and stored at the end of the period.</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six months ended June 30, 2016, we increased our inventory levels and margin balances required as part of our hedging activities that were funded by short-term debt, resulting in an unfavorable impact on our cash provided by operating activities.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At June 30, 2017 and December 31, 2016, counterparty deficiencies associated with agreements that include minimum volume commitments totaled $62 million and $66 million, respectively, of which $46 million and $54 million, respectively, was recorded as deferred revenue. The remaining balance of $16 million and $12 million at June 30, 2017 and December 31, 2016,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addition to our operating needs discussed above, on a consolidated basis, we also use cash for our acquisition activities and expansion capital projects. Historically, we have financed these expenditures primarily with cash generated by operating activities and the financing activities discussed in “— Equity and Debt Financing Activities” below. In the near term, we also intend to use proceeds from our asset sales program, as discussed further below. We have made and will continue to make capital expenditures for acquisitions, expansion capital and maintenance capital.</w:t>
      </w:r>
    </w:p>
    <w:p>
      <w:pPr>
        <w:spacing w:after="0" w:line="17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i w:val="1"/>
          <w:iCs w:val="1"/>
          <w:color w:val="auto"/>
        </w:rPr>
        <w:t>Acquisitions</w:t>
      </w:r>
      <w:r>
        <w:rPr>
          <w:rFonts w:ascii="Arial" w:cs="Arial" w:eastAsia="Arial" w:hAnsi="Arial"/>
          <w:sz w:val="16"/>
          <w:szCs w:val="16"/>
          <w:color w:val="auto"/>
        </w:rPr>
        <w:t>. During the six months ended June 30, 2017 and 2016, we paid cash of $1.281 billion (net of cash acquired of $4 million) and $85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for acquisitions. The acquisitions completed during the six months ended June 30, 2017 primarily included the ACC System located in the Northern Delaware Basin in Southeastern New Mexico and West Texas. See Note 6 to our Condensed Consolidated Financial Statements for additional information regarding the ACC Acquisition. The ACC Acquisition was initially funded through borrowings under PAA's senior unsecured revolving credit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facility. Such borrowings were subsequently repaid with proceeds from PAA's March 2017 issuance of its common units to AAP pursuant to the Omnibus Agreement and in connection with our underwritten equity offering. Additionally, we and an affiliate of Noble Midstream Partners LP completed the acquisition of Advantage Pipeline, L.L.C. for a purchase price of $133 million through a newly formed 50/50 joint venture. For our 50% share ($66.5 million), we contributed approximately 1.3 million PAA common units and approximately $26 million in cash.</w:t>
      </w:r>
    </w:p>
    <w:p>
      <w:pPr>
        <w:spacing w:after="0" w:line="17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2017 Capital Projects. </w:t>
      </w:r>
      <w:r>
        <w:rPr>
          <w:rFonts w:ascii="Arial" w:cs="Arial" w:eastAsia="Arial" w:hAnsi="Arial"/>
          <w:sz w:val="16"/>
          <w:szCs w:val="16"/>
          <w:color w:val="auto"/>
        </w:rPr>
        <w:t>We invested approximately $614 million in midstream infrastructure during the six months ended June 30, 2017, and we</w:t>
      </w:r>
      <w:r>
        <w:rPr>
          <w:rFonts w:ascii="Arial" w:cs="Arial" w:eastAsia="Arial" w:hAnsi="Arial"/>
          <w:sz w:val="16"/>
          <w:szCs w:val="16"/>
          <w:i w:val="1"/>
          <w:iCs w:val="1"/>
          <w:color w:val="auto"/>
        </w:rPr>
        <w:t xml:space="preserve"> </w:t>
      </w:r>
      <w:r>
        <w:rPr>
          <w:rFonts w:ascii="Arial" w:cs="Arial" w:eastAsia="Arial" w:hAnsi="Arial"/>
          <w:sz w:val="16"/>
          <w:szCs w:val="16"/>
          <w:color w:val="auto"/>
        </w:rPr>
        <w:t>expect to invest approximately $950 million during the year ended December 31, 2017. See “—Acquisitions and Capital Projects” for detail of our projected capital expenditures for the year ending December 31, 2017. The majority of funding for our 2017 capital program was provided by proceeds from equity issuances during the first quarter of 2017, with the remaining funding expected to be provided by the sale of various non-core assets throughout the year.</w:t>
      </w:r>
    </w:p>
    <w:p>
      <w:pPr>
        <w:spacing w:after="0" w:line="15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Divestitures</w:t>
      </w:r>
      <w:r>
        <w:rPr>
          <w:rFonts w:ascii="Arial" w:cs="Arial" w:eastAsia="Arial" w:hAnsi="Arial"/>
          <w:sz w:val="17"/>
          <w:szCs w:val="17"/>
          <w:color w:val="auto"/>
        </w:rPr>
        <w:t>. Our strategic divestiture program includes the evaluation of potential sales of non-core assets and/or sales of partial interests in assets to</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joint venture partners to optimize our asset portfolio and strengthen our balance sheet and leverage metrics. We sold certain non-core assets for proceeds of $389 million during the six months ended June 30, 2017. In addition, we entered into a definitive agreement in 2016 for an approximately $290 million sale of non-core assets for which regulatory approval is still pending. During the third quarter of 2017, we also entered into an additional definitive agreement to sell our interests in certain non-core pipelines in the Rocky Mountains for proceeds of approximately $250 million, and we are in various stages of discussion or advanced discussion and negotiations regarding additional sales of non-core assets or partial sales of assets to strategic partners for potential additional proceeds of approximately $150 million to $350 million. See Note 6 to our Condensed Consolidated Financial Statements for additional information regarding these asset sales and divestitures.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as well as payment of distributions to our Class A shareholders and noncontrolling interests.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Registration Statements. </w:t>
      </w:r>
      <w:r>
        <w:rPr>
          <w:rFonts w:ascii="Arial" w:cs="Arial" w:eastAsia="Arial" w:hAnsi="Arial"/>
          <w:sz w:val="18"/>
          <w:szCs w:val="18"/>
          <w:color w:val="auto"/>
        </w:rPr>
        <w:t>We have filed with the SEC a universal shelf registration statement that, subject to effectiveness at the time of use, allows us</w:t>
      </w:r>
      <w:r>
        <w:rPr>
          <w:rFonts w:ascii="Arial" w:cs="Arial" w:eastAsia="Arial" w:hAnsi="Arial"/>
          <w:sz w:val="18"/>
          <w:szCs w:val="18"/>
          <w:i w:val="1"/>
          <w:iCs w:val="1"/>
          <w:color w:val="auto"/>
        </w:rPr>
        <w:t xml:space="preserve"> </w:t>
      </w:r>
      <w:r>
        <w:rPr>
          <w:rFonts w:ascii="Arial" w:cs="Arial" w:eastAsia="Arial" w:hAnsi="Arial"/>
          <w:sz w:val="18"/>
          <w:szCs w:val="18"/>
          <w:color w:val="auto"/>
        </w:rPr>
        <w:t>to issue up to an aggregate of $1.0 billion of equity securities (the “Traditional Shelf”). Our issuances of equity securities associated with our Continuous Offering Program have been issued pursuant to the Traditional Shelf. At June 30, 2017, we had approximately $939 million of unsold securities available under the Traditional Shelf. Additionally, in February 2017, we filed a universal shelf registration statement (the “WKSI Shelf”), which provides us with the ability to offer and sell an unlimited amount of equity securities, subject to market conditions and capital needs. Our Underwritten Offering, discussed further below, was conducted under our WKSI Shelf.</w:t>
      </w:r>
    </w:p>
    <w:p>
      <w:pPr>
        <w:spacing w:after="0" w:line="1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Sales of Class A Shares</w:t>
      </w:r>
      <w:r>
        <w:rPr>
          <w:rFonts w:ascii="Arial" w:cs="Arial" w:eastAsia="Arial" w:hAnsi="Arial"/>
          <w:sz w:val="18"/>
          <w:szCs w:val="18"/>
          <w:color w:val="auto"/>
        </w:rPr>
        <w:t>. The following table summarizes our sales of Class A shares during the six months ended June 30, 2017 (net proceeds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60" w:type="dxa"/>
            <w:vAlign w:val="bottom"/>
            <w:tcBorders>
              <w:bottom w:val="single" w:sz="8" w:color="auto"/>
            </w:tcBorders>
          </w:tcPr>
          <w:p>
            <w:pPr>
              <w:spacing w:after="0"/>
              <w:rPr>
                <w:sz w:val="16"/>
                <w:szCs w:val="16"/>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1,786,326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 (3)</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Underwritten Offering</w:t>
            </w:r>
          </w:p>
        </w:tc>
        <w:tc>
          <w:tcPr>
            <w:tcW w:w="3300" w:type="dxa"/>
            <w:vAlign w:val="bottom"/>
          </w:tcPr>
          <w:p>
            <w:pPr>
              <w:jc w:val="right"/>
              <w:ind w:right="14"/>
              <w:spacing w:after="0"/>
              <w:rPr>
                <w:sz w:val="20"/>
                <w:szCs w:val="20"/>
                <w:color w:val="auto"/>
              </w:rPr>
            </w:pPr>
            <w:r>
              <w:rPr>
                <w:rFonts w:ascii="Arial" w:cs="Arial" w:eastAsia="Arial" w:hAnsi="Arial"/>
                <w:sz w:val="18"/>
                <w:szCs w:val="18"/>
                <w:color w:val="auto"/>
              </w:rPr>
              <w:t>48,300,000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60" w:type="dxa"/>
            <w:vAlign w:val="bottom"/>
          </w:tcPr>
          <w:p>
            <w:pPr>
              <w:jc w:val="right"/>
              <w:ind w:right="34"/>
              <w:spacing w:after="0"/>
              <w:rPr>
                <w:sz w:val="20"/>
                <w:szCs w:val="20"/>
                <w:color w:val="auto"/>
              </w:rPr>
            </w:pPr>
            <w:r>
              <w:rPr>
                <w:rFonts w:ascii="Arial" w:cs="Arial" w:eastAsia="Arial" w:hAnsi="Arial"/>
                <w:sz w:val="18"/>
                <w:szCs w:val="18"/>
                <w:color w:val="auto"/>
              </w:rPr>
              <w:t>1,474</w:t>
            </w:r>
          </w:p>
        </w:tc>
        <w:tc>
          <w:tcPr>
            <w:tcW w:w="560" w:type="dxa"/>
            <w:vAlign w:val="bottom"/>
          </w:tcPr>
          <w:p>
            <w:pPr>
              <w:ind w:left="20"/>
              <w:spacing w:after="0"/>
              <w:rPr>
                <w:sz w:val="20"/>
                <w:szCs w:val="20"/>
                <w:color w:val="auto"/>
              </w:rPr>
            </w:pPr>
            <w:r>
              <w:rPr>
                <w:rFonts w:ascii="Arial" w:cs="Arial" w:eastAsia="Arial" w:hAnsi="Arial"/>
                <w:sz w:val="13"/>
                <w:szCs w:val="13"/>
                <w:color w:val="auto"/>
              </w:rPr>
              <w:t>(3)</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50,086,326</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1,535</w:t>
            </w:r>
          </w:p>
        </w:tc>
        <w:tc>
          <w:tcPr>
            <w:tcW w:w="56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six months ended June 30, 2017.</w:t>
      </w:r>
    </w:p>
    <w:p>
      <w:pPr>
        <w:spacing w:after="0" w:line="94" w:lineRule="exact"/>
        <w:rPr>
          <w:rFonts w:ascii="Arial" w:cs="Arial" w:eastAsia="Arial" w:hAnsi="Arial"/>
          <w:sz w:val="25"/>
          <w:szCs w:val="25"/>
          <w:color w:val="auto"/>
          <w:vertAlign w:val="superscript"/>
        </w:rPr>
      </w:pPr>
    </w:p>
    <w:p>
      <w:pPr>
        <w:ind w:left="660" w:right="140" w:hanging="652"/>
        <w:spacing w:after="0" w:line="250" w:lineRule="auto"/>
        <w:tabs>
          <w:tab w:leader="none" w:pos="66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in conjunction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"—Subsidiary Sales of Common Units" below.</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(the “PAA Traditional Shelf”). All issuances of PAA equity securities associated with PAA's Continuous Offering Program have been issued pursuant to the PAA Traditional Shelf. At June 30, 2017, PAA had approximately $1.1 billion of unsold securities available under the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WKSI Shelf during the six months ended June 30, 2017.</w:t>
      </w:r>
    </w:p>
    <w:p>
      <w:pPr>
        <w:spacing w:after="0" w:line="18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PAA Continuous Offering Program. </w:t>
      </w:r>
      <w:r>
        <w:rPr>
          <w:rFonts w:ascii="Arial" w:cs="Arial" w:eastAsia="Arial" w:hAnsi="Arial"/>
          <w:sz w:val="17"/>
          <w:szCs w:val="17"/>
          <w:color w:val="auto"/>
        </w:rPr>
        <w:t>During the six months ended June 30, 2017, PAA issued an aggregate of approximately 4.0 million common</w:t>
      </w:r>
      <w:r>
        <w:rPr>
          <w:rFonts w:ascii="Arial" w:cs="Arial" w:eastAsia="Arial" w:hAnsi="Arial"/>
          <w:sz w:val="17"/>
          <w:szCs w:val="17"/>
          <w:i w:val="1"/>
          <w:iCs w:val="1"/>
          <w:color w:val="auto"/>
        </w:rPr>
        <w:t xml:space="preserve"> </w:t>
      </w:r>
      <w:r>
        <w:rPr>
          <w:rFonts w:ascii="Arial" w:cs="Arial" w:eastAsia="Arial" w:hAnsi="Arial"/>
          <w:sz w:val="17"/>
          <w:szCs w:val="17"/>
          <w:color w:val="auto"/>
        </w:rPr>
        <w:t>units under its continuous offering program, generating proceeds of $129 million, net of $1 million of commissions paid to its sales agents.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PAA Unit Issuances Under Omnibus Agreement. </w:t>
      </w:r>
      <w:r>
        <w:rPr>
          <w:rFonts w:ascii="Arial" w:cs="Arial" w:eastAsia="Arial" w:hAnsi="Arial"/>
          <w:sz w:val="18"/>
          <w:szCs w:val="18"/>
          <w:color w:val="auto"/>
        </w:rPr>
        <w:t>During the six months ended June 30, 2017, pursuant to the Omnibus Agreement discussed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PAA sold (i) approximately 1.8 million common units to AAP in connection with our issuance of Class A shares under our Continuous Offering Program and (ii) 48.3 million common units to AAP in connection with our underwritten offering.</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Credit Agreements, Commercial Paper Program and Indentures. </w:t>
      </w:r>
      <w:r>
        <w:rPr>
          <w:rFonts w:ascii="Arial" w:cs="Arial" w:eastAsia="Arial" w:hAnsi="Arial"/>
          <w:sz w:val="17"/>
          <w:szCs w:val="17"/>
          <w:color w:val="auto"/>
        </w:rPr>
        <w:t>The PAA credit agreements (which impact the ability to access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program because they provide the backstop that supports PAA’s short-term credit ratings) and the indentures governing PAA’s senior notes contain cross-default provisions. A default under the credit agreements would permit the lenders to accelerate the maturity of the outstanding debt. As long as PAA is in compliance with the provisions in the credit agreements, its ability to make distributions of available cash is not restricted. As of June 30, 2017, PAA was in compliance with the covenants contained in the credit agreements and indentures.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 consolidated basis, during the six months ended June 30, 2017, we had net repayments under PAA's credit facilities and PAA commercial paper program of $425 million. The net repayments resulted primarily from cash flow from operating activities and cash received from equity activities, which offset borrowings during the period related to funding needs for (i) acquisition and capital investments, (ii) repayment of PAA's $400 million, 6.13% senior notes in January 2017 and (iii) other general partnership purposes.</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six months ended June 30, 2016, we had net repayments under the credit facilities and the PAA commercial paper program of $558 million. The net repayments resulted primarily from cash flow from operating activities and cash received from our equity activities, which offset borrowings during the period related to inventory purchases and related margin balances required as part of our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 and Noncontrolling Interests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all of our available cash within 55 days following the end of each quarter to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Available cash is generally defined as all of our cash and cash equivalents on hand at the end of each quarter less reserves established in the discretion of our general partner for future requirements. On August 14, 2017, we will pay a quarterly distribution of $0.55 per Class A share, which is unchanged from our prior three quarterly distributions, but represents a year-over-year distribution decrease of approximately 11%. See Note 9 to our Condensed Consolidated Financial Statements for details of distributions paid during or pertaining to the first six months of 2017. Also, see Item 5. “Market for Registrant’s Shares, Related Shareholder Matters and Issuer Purchases of Equity Securities—Cash Distribution Policy” included in our 2016 Annual Report on Form 10-K for additional discussion regarding distributions.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amount of cash available to distribute to our Class A shareholders is completely dependent upon the amount of cash distributed by PAA to AAP in respect of its common units; therefore, any change in the distribution level on PAA's common units will have a corresponding impact on the distribution level on our Class A shares. On August 7, 2017, PAA's management announced that it was engaged in discussions with our Board of Directors regarding a reassessment of PAA's approach to distributions, with a focus on resetting PAA's common unit distribution to a level supported by the distributable cash flow from PAA's fee-based Transportation and Facilities segments. As of such date, no final decisions had been made regarding such potential change, but PAA indicated that it intended to complete its reassessment and finalize any changes over the course of the ensuing sixty day period.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owned by us. During the six months ended June 30, 2017 and 2016, we paid distributions of approximately $630 million and $743 million, respectively, to noncontrolling interests.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June 30, 2017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 of 2017</w:t>
            </w: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2022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 and</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5"/>
                <w:szCs w:val="25"/>
                <w:color w:val="auto"/>
                <w:vertAlign w:val="superscript"/>
              </w:rPr>
              <w:t>(1)</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15,587</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4,012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14,753</w:t>
            </w:r>
          </w:p>
        </w:tc>
        <w:tc>
          <w:tcPr>
            <w:tcW w:w="0" w:type="dxa"/>
            <w:vAlign w:val="bottom"/>
          </w:tcPr>
          <w:p>
            <w:pPr>
              <w:spacing w:after="0"/>
              <w:rPr>
                <w:sz w:val="1"/>
                <w:szCs w:val="1"/>
                <w:color w:val="auto"/>
              </w:rPr>
            </w:pPr>
          </w:p>
        </w:tc>
      </w:tr>
      <w:tr>
        <w:trPr>
          <w:trHeight w:val="25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16,029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32,888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0" w:hanging="652"/>
        <w:spacing w:after="0" w:line="235"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and long-term borrowings under our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w:t>
      </w:r>
    </w:p>
    <w:p>
      <w:pPr>
        <w:spacing w:after="0" w:line="96" w:lineRule="exact"/>
        <w:rPr>
          <w:rFonts w:ascii="Arial" w:cs="Arial" w:eastAsia="Arial" w:hAnsi="Arial"/>
          <w:sz w:val="25"/>
          <w:szCs w:val="25"/>
          <w:color w:val="auto"/>
          <w:vertAlign w:val="superscript"/>
        </w:rPr>
      </w:pPr>
    </w:p>
    <w:p>
      <w:pPr>
        <w:ind w:left="660" w:right="380" w:hanging="652"/>
        <w:spacing w:after="0" w:line="216"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capital and operating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$800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500" w:hanging="652"/>
        <w:spacing w:after="0" w:line="216"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Amounts are primarily based on estimated volumes and market prices based on average activity during June 2017. The actual physical volume purchased and actual settlement prices will vary from the assumptions used in the table.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540"/>
        <w:spacing w:after="0" w:line="324" w:lineRule="auto"/>
        <w:rPr>
          <w:sz w:val="20"/>
          <w:szCs w:val="20"/>
          <w:color w:val="auto"/>
        </w:rPr>
      </w:pPr>
      <w:r>
        <w:rPr>
          <w:rFonts w:ascii="Arial" w:cs="Arial" w:eastAsia="Arial" w:hAnsi="Arial"/>
          <w:sz w:val="18"/>
          <w:szCs w:val="18"/>
          <w:color w:val="auto"/>
        </w:rPr>
        <w:t>Uncertainties involved in these estimates include levels of production at the wellhead, weather conditions, changes in market prices and other conditions beyond our control.</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June 30, 2017 and December 31, 2016, we had outstanding letters of credit of approximately $105 million and $73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2016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right="320" w:hanging="324"/>
        <w:spacing w:after="0" w:line="259"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2016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65" w:lineRule="exact"/>
        <w:rPr>
          <w:rFonts w:ascii="Arial" w:cs="Arial" w:eastAsia="Arial" w:hAnsi="Arial"/>
          <w:sz w:val="18"/>
          <w:szCs w:val="18"/>
          <w:i w:val="1"/>
          <w:iCs w:val="1"/>
          <w:color w:val="auto"/>
        </w:rPr>
      </w:pPr>
    </w:p>
    <w:p>
      <w:pPr>
        <w:ind w:left="980" w:hanging="324"/>
        <w:spacing w:after="0"/>
        <w:tabs>
          <w:tab w:leader="none" w:pos="98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181"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2017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June 30, 2017, approximately $1.1 billion, was subject to interest rate re-sets that range from less than one week to approximately three months. The average interest rate on variable rate debt that was outstanding during the six months ended June 30, 2017 was 1.9%, based upon rates in effect during such period. The fair value of our interest rate derivatives was a liability of $32 million as of June 30, 2017. A 10% increase in the forward LIBOR curve as of June 30, 2017 would have resulted in an increase of $33 million to the fair value of our interest rate derivatives. A 10% decrease in the forward LIBOR curve as of June 30, 2017 would have resulted in a decrease of $33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an asset of $3 million as of June 30, 2017. A 10% increase in the exchange rate (USD-to-CAD) would have resulted in a decrease of $19 million to the fair value of our foreign currency derivatives. A 10% decrease in the exchange rate (USD-to-CAD) would have resulted in an increase of $19 million to the fair value of our foreign currency derivatives. See Note 10 to our Condensed Consolidated Financial Statements for a discussion of our currency exchange rate risk hedging.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and default probabilities to ultimately calculate the fair value of PAA’s Series A preferred units with and without the Preferred Distribution Rate Reset Option. The fair value of this embedded derivative was a liability of $35 million as of June 30, 2017. A 10% increase in the fair value would have an impact of $3 million. A 10% decrease in the fair value would also have an impact of $3 million. See Note 10 to our Condensed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2017,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2016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51"/>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quarter ended June 30, 2017, certain Legacy Owners or their permitted transferees exercised the Exchange Right, which resulted in the issuance of 1,692,938 Class A shares. The issuance of Class A shares in connection with the exercise of the Exchange Right was exempt from the registration requirements of the Securities Act of 1933, as amended, pursuant to Section 4(a)(2)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HOLDINGS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Chairman of the Board,</w:t>
            </w:r>
          </w:p>
        </w:tc>
      </w:tr>
      <w:tr>
        <w:trPr>
          <w:trHeight w:val="216"/>
        </w:trPr>
        <w:tc>
          <w:tcPr>
            <w:tcW w:w="64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PAA GP</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Vice President—Accounting and Chief Accounting Officer of PAA</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GP 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0" w:type="dxa"/>
            <w:vAlign w:val="bottom"/>
          </w:tcPr>
          <w:p>
            <w:pPr>
              <w:spacing w:after="0"/>
              <w:rPr>
                <w:sz w:val="17"/>
                <w:szCs w:val="17"/>
                <w:color w:val="auto"/>
              </w:rPr>
            </w:pPr>
          </w:p>
        </w:tc>
        <w:tc>
          <w:tcPr>
            <w:tcW w:w="9640" w:type="dxa"/>
            <w:vAlign w:val="bottom"/>
          </w:tcPr>
          <w:p>
            <w:pPr>
              <w:spacing w:after="0"/>
              <w:rPr>
                <w:sz w:val="17"/>
                <w:szCs w:val="17"/>
                <w:color w:val="auto"/>
              </w:rPr>
            </w:pPr>
          </w:p>
        </w:tc>
      </w:tr>
      <w:tr>
        <w:trPr>
          <w:trHeight w:val="480"/>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4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580"/>
        </w:trPr>
        <w:tc>
          <w:tcPr>
            <w:tcW w:w="1280" w:type="dxa"/>
            <w:vAlign w:val="bottom"/>
          </w:tcPr>
          <w:p>
            <w:pPr>
              <w:ind w:left="40"/>
              <w:spacing w:after="0"/>
              <w:rPr>
                <w:sz w:val="20"/>
                <w:szCs w:val="20"/>
                <w:color w:val="auto"/>
              </w:rPr>
            </w:pPr>
            <w:r>
              <w:rPr>
                <w:rFonts w:ascii="Arial" w:cs="Arial" w:eastAsia="Arial" w:hAnsi="Arial"/>
                <w:sz w:val="18"/>
                <w:szCs w:val="18"/>
                <w:color w:val="auto"/>
              </w:rPr>
              <w:t>2.1 *</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0"/>
              </w:rPr>
              <w:t>Securities Purchase Agreement dated as of January 19, 2017 by and between COG Operating LLC, as seller, and Plains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2"/>
              </w:rPr>
              <w:t>L.P., as purchaser (the schedules and exhibits have been omitted pursuant to Item 601(b)(2) of Regulation S-K)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reference to Exhibit 2.1 to PAA's Quarterly Report on Form 10-Q for the quarter ended March 31, 2017).</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2.2 *</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2"/>
              </w:rPr>
              <w:t>Securities Purchase Agreement dated as of January 19, 2017 by and between Frontier Midstream Solutions, LLC, as seller, and</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2"/>
              </w:rPr>
              <w:t>Plains Pipeline, L.P., as purchaser (the schedules and exhibits have been omitted pursuant to Item 601(b)(2) of Regulation S-K)</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7"/>
              </w:rPr>
              <w:t>(incorporated by reference to Exhibit 2.2 to PAA's Quarterly Report on Form 10-Q for the quarter ended March 31, 2017).</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8"/>
              </w:rPr>
              <w:t>Certificate of Limited Partnership of Plains GP Holdings, L.P. (incorporated by reference to Exhibit 3.1 to our Registration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Statement on Form S-1 (333-190227) filed July 29,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Second Amended and Restated Agreement of Limited Partnership of Plains GP Holdings, L.P. dated as of November 15, 2016</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(incorporated by reference to Exhibit 3.2 to our Current Report on Form 8-K filed November 21,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Certificate of Formation of PAA GP Holdings LLC (incorporated by reference to Exhibit 3.3 to our Registration Statement 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Form S-1 (333-190227) filed July 29,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Third Amended and Restated Limited Liability Company Agreement of PAA GP Holdings LLC dated as of February 16, 2017</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(incorporated by reference to Exhibit 3.1 to our Current Report on Form 8-K filed February 21, 2017).</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Sixth Amended and Restated Agreement of Limited Partnership of Plains All American Pipeline, L.P. dated as of November 15,</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2016 (incorporated by reference to Exhibit 3.5 to our Current Report on Form 8-K filed November 21,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1"/>
              </w:rPr>
              <w:t>Seventh Amended and Restated Limited Liability Company Agreement of Plains All American GP LLC dated November 15, 2016</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(incorporated by reference to Exhibit 3.3 to our Current Report on Form 8-K filed November 21,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Eighth Amended and Restated Limited Partnership Agreement of Plains AAP, L.P. dated November 15, 2016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reference to Exhibit 3.4 to our Current Report on Form 8-K filed November 21, 2016).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3.8</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Limited Liability Company Agreement of PAA GP LLC dated December 28, 2007 (incorporated by reference to Exhibit 3.3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PAA’s Current Report on Form 8-K filed January 4, 2008).</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1"/>
              </w:rPr>
              <w:t>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Association, as trustee (incorporated by reference to Exhibit 4.1 to PAA’s Quarterly Report on Form 10-Q for the quarter ended</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September 30, 2002).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6"/>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as trustee (incorporated by reference to Exhibit 4.1 to PAA’s Current Report on Form 8-K filed May 12, 2006).</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4.3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2"/>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4.2 to PAA’s Current Report on Form 8-K filed October 30, 2006).</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2"/>
              </w:rPr>
              <w:t>Thirteenth Supplemental Indenture (Series A and Series B 6.50% Senior Notes due 2018) dated April 23, 2008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4.1 to PAA’s Current Report on Form 8-K filed April 23, 2008).</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1"/>
              </w:rPr>
              <w:t>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3"/>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April 20, 2009).</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(incorporated by reference to Exhibit 4.1 to PAA’s Current Report on Form 8-K filed September 4, 2009).</w:t>
            </w:r>
          </w:p>
        </w:tc>
      </w:tr>
    </w:tbl>
    <w:p>
      <w:pPr>
        <w:spacing w:after="0" w:line="200" w:lineRule="exact"/>
        <w:rPr>
          <w:sz w:val="20"/>
          <w:szCs w:val="20"/>
          <w:color w:val="auto"/>
        </w:rPr>
      </w:pPr>
    </w:p>
    <w:p>
      <w:pPr>
        <w:sectPr>
          <w:pgSz w:w="11900" w:h="16838" w:orient="portrait"/>
          <w:cols w:equalWidth="0" w:num="1">
            <w:col w:w="11320"/>
          </w:cols>
          <w:pgMar w:left="240" w:top="108" w:right="339" w:bottom="1440" w:gutter="0" w:footer="0" w:header="0"/>
        </w:sectPr>
      </w:pP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20"/>
          </w:cols>
          <w:pgMar w:left="240" w:top="108"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00" w:type="dxa"/>
            <w:vAlign w:val="bottom"/>
          </w:tcPr>
          <w:p>
            <w:pPr>
              <w:spacing w:after="0"/>
              <w:rPr>
                <w:sz w:val="17"/>
                <w:szCs w:val="17"/>
                <w:color w:val="auto"/>
              </w:rPr>
            </w:pPr>
          </w:p>
        </w:tc>
        <w:tc>
          <w:tcPr>
            <w:tcW w:w="9660" w:type="dxa"/>
            <w:vAlign w:val="bottom"/>
          </w:tcPr>
          <w:p>
            <w:pPr>
              <w:spacing w:after="0"/>
              <w:rPr>
                <w:sz w:val="17"/>
                <w:szCs w:val="17"/>
                <w:color w:val="auto"/>
              </w:rPr>
            </w:pPr>
          </w:p>
        </w:tc>
      </w:tr>
      <w:tr>
        <w:trPr>
          <w:trHeight w:val="627"/>
        </w:trPr>
        <w:tc>
          <w:tcPr>
            <w:tcW w:w="1280" w:type="dxa"/>
            <w:vAlign w:val="bottom"/>
          </w:tcPr>
          <w:p>
            <w:pPr>
              <w:ind w:left="40"/>
              <w:spacing w:after="0"/>
              <w:rPr>
                <w:sz w:val="20"/>
                <w:szCs w:val="20"/>
                <w:color w:val="auto"/>
              </w:rPr>
            </w:pPr>
            <w:r>
              <w:rPr>
                <w:rFonts w:ascii="Arial" w:cs="Arial" w:eastAsia="Arial" w:hAnsi="Arial"/>
                <w:sz w:val="18"/>
                <w:szCs w:val="18"/>
                <w:color w:val="auto"/>
              </w:rPr>
              <w:t>4.7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January 11, 2011).</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4.8</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L.P., PAA Finance Corp and U.S. Bank National Association, as trustee (incorporated by reference to Exhibit 4.1 to PAA’s Current</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4.9</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Twenty-First Supplemental Indenture (5.15% Senior Notes due 2042) dated March 22, 2012 among Plains All American Pipeline,</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L.P., PAA Finance Corp and U.S. Bank National Association, as trustee (incorporated by reference to Exhibit 4.3 to PAA’s Current</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4.1 to PAA’s Current Report on Form 8-K filed December 12,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Twenty-Third Supplemental Indenture (4.30% Senior Notes due 2043) dated December 10, 2012,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4.3 to PAA’s Current Report on Form 8-K filed December 12, 2012).</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Twenty-Fourth Supplemental Indenture (3.85% Senior Notes due 2023) dated August 15, 2013, by and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PAA’s Current Report on Form 8-K filed August 15,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Twenty-Fifth Supplemental Indenture (4.70% Senior Notes due 2044) dated April 23, 2014, by and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Current Report on Form 8-K filed April 29, 2014).</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Twenty-Sixth Supplemental Indenture (3.60% Senior Notes due 2024) dated September 9, 2014,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4.15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Twenty-Seventh Supplemental Indenture (2.60% Senior Notes due 2019) dated December 9, 2014,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Twenty-Eighth Supplemental Indenture (4.90% Senior Notes due 2045) dated December 9, 2014, by and among Plains All</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Twenty-Ninth Supplemental Indenture (4.65% Senior Notes due 2025) dated August 24, 2015, by and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PAA’s Current Report on Form 8-K filed August 26, 2015).</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4.18</w:t>
            </w:r>
          </w:p>
        </w:tc>
        <w:tc>
          <w:tcPr>
            <w:tcW w:w="400" w:type="dxa"/>
            <w:vAlign w:val="bottom"/>
          </w:tcPr>
          <w:p>
            <w:pPr>
              <w:spacing w:after="0"/>
              <w:rPr>
                <w:sz w:val="24"/>
                <w:szCs w:val="24"/>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Thirtieth Supplemental Indenture (4.50% Senior Notes due 2026) dated November 22, 2016, by and among Plains All American</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PAA’s Current Report on Form 8-K filed November 29, 2016).</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4.19</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Shareholder and Registration Rights Agreement dated October 21, 2013 by and among Plains GP Holdings, L.P. and the other</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parties signatory thereto (incorporated by reference to Exhibit 4.1 to our Current Report on Form 8-K filed October 25, 2013).</w:t>
            </w: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10.1 **</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Form of Director LTIP Grant Letter (February 2017) - Director Grant - Designated Directors and Audit Committee Members</w:t>
            </w:r>
          </w:p>
        </w:tc>
      </w:tr>
      <w:tr>
        <w:trPr>
          <w:trHeight w:val="216"/>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(PAGP Plan) (incorporated by reference to Exhibit 10.1 to our Quarterly Report on Form 10-Q for the quarter ended March 31,</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2017).</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 **</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Form of Director LTIP Grant Letter (February 2017) - Audit Committee Supplement (PAGP Plan) (incorporated by reference to</w:t>
            </w:r>
          </w:p>
        </w:tc>
      </w:tr>
      <w:tr>
        <w:trPr>
          <w:trHeight w:val="230"/>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Exhibit 10.2 to our Quarterly Report on Form 10-Q for the quarter ended March 31, 2017).</w:t>
            </w: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40"/>
          </w:cols>
          <w:pgMar w:left="240" w:top="108" w:right="31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5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627"/>
        </w:trPr>
        <w:tc>
          <w:tcPr>
            <w:tcW w:w="360" w:type="dxa"/>
            <w:vAlign w:val="bottom"/>
          </w:tcPr>
          <w:p>
            <w:pPr>
              <w:ind w:left="40"/>
              <w:spacing w:after="0"/>
              <w:rPr>
                <w:sz w:val="20"/>
                <w:szCs w:val="20"/>
                <w:color w:val="auto"/>
              </w:rPr>
            </w:pPr>
            <w:r>
              <w:rPr>
                <w:rFonts w:ascii="Arial" w:cs="Arial" w:eastAsia="Arial" w:hAnsi="Arial"/>
                <w:sz w:val="18"/>
                <w:szCs w:val="18"/>
                <w:color w:val="auto"/>
                <w:w w:val="85"/>
              </w:rPr>
              <w:t>10.3</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w w:val="94"/>
              </w:rPr>
              <w:t>Form of Director LTIP Grant Letter (February 2017) - Independent Director Grant (PAGP Plan) (incorporated by reference to</w:t>
            </w:r>
          </w:p>
        </w:tc>
      </w:tr>
      <w:tr>
        <w:trPr>
          <w:trHeight w:val="230"/>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Exhibit 10.3 to our Quarterly Report on Form 10-Q for the quarter ended March 31, 2017).</w:t>
            </w:r>
          </w:p>
        </w:tc>
      </w:tr>
      <w:tr>
        <w:trPr>
          <w:trHeight w:val="377"/>
        </w:trPr>
        <w:tc>
          <w:tcPr>
            <w:tcW w:w="360" w:type="dxa"/>
            <w:vAlign w:val="bottom"/>
          </w:tcPr>
          <w:p>
            <w:pPr>
              <w:ind w:left="40"/>
              <w:spacing w:after="0"/>
              <w:rPr>
                <w:sz w:val="20"/>
                <w:szCs w:val="20"/>
                <w:color w:val="auto"/>
              </w:rPr>
            </w:pPr>
            <w:r>
              <w:rPr>
                <w:rFonts w:ascii="Arial" w:cs="Arial" w:eastAsia="Arial" w:hAnsi="Arial"/>
                <w:sz w:val="18"/>
                <w:szCs w:val="18"/>
                <w:color w:val="auto"/>
                <w:w w:val="85"/>
              </w:rPr>
              <w:t>10.4</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w w:val="92"/>
              </w:rPr>
              <w:t>Form of LTIP Grant Letter for Officers (July 2017) (incorporated by reference to Exhibit 10.4 to PAA's Quarterly Report on Form</w:t>
            </w:r>
          </w:p>
        </w:tc>
      </w:tr>
      <w:tr>
        <w:trPr>
          <w:trHeight w:val="230"/>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10-Q for the quarter ended June 30, 2017).</w:t>
            </w:r>
          </w:p>
        </w:tc>
      </w:tr>
      <w:tr>
        <w:trPr>
          <w:trHeight w:val="392"/>
        </w:trPr>
        <w:tc>
          <w:tcPr>
            <w:tcW w:w="360" w:type="dxa"/>
            <w:vAlign w:val="bottom"/>
          </w:tcPr>
          <w:p>
            <w:pPr>
              <w:ind w:left="40"/>
              <w:spacing w:after="0"/>
              <w:rPr>
                <w:sz w:val="20"/>
                <w:szCs w:val="20"/>
                <w:color w:val="auto"/>
              </w:rPr>
            </w:pPr>
            <w:r>
              <w:rPr>
                <w:rFonts w:ascii="Arial" w:cs="Arial" w:eastAsia="Arial" w:hAnsi="Arial"/>
                <w:sz w:val="18"/>
                <w:szCs w:val="18"/>
                <w:color w:val="auto"/>
                <w:w w:val="85"/>
              </w:rPr>
              <w:t>31.1</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w w:val="85"/>
              </w:rPr>
              <w:t>31.2</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w w:val="85"/>
              </w:rPr>
              <w:t>32.1</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540"/>
        </w:trPr>
        <w:tc>
          <w:tcPr>
            <w:tcW w:w="360" w:type="dxa"/>
            <w:vAlign w:val="bottom"/>
          </w:tcPr>
          <w:p>
            <w:pPr>
              <w:ind w:left="40"/>
              <w:spacing w:after="0"/>
              <w:rPr>
                <w:sz w:val="20"/>
                <w:szCs w:val="20"/>
                <w:color w:val="auto"/>
              </w:rPr>
            </w:pPr>
            <w:r>
              <w:rPr>
                <w:rFonts w:ascii="Arial" w:cs="Arial" w:eastAsia="Arial" w:hAnsi="Arial"/>
                <w:sz w:val="18"/>
                <w:szCs w:val="18"/>
                <w:color w:val="auto"/>
                <w:w w:val="85"/>
              </w:rPr>
              <w:t>32.2</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128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7280" w:type="dxa"/>
            <w:vAlign w:val="bottom"/>
          </w:tcPr>
          <w:p>
            <w:pPr>
              <w:spacing w:after="0"/>
              <w:rPr>
                <w:sz w:val="24"/>
                <w:szCs w:val="24"/>
                <w:color w:val="auto"/>
              </w:rPr>
            </w:pPr>
          </w:p>
        </w:tc>
      </w:tr>
      <w:tr>
        <w:trPr>
          <w:trHeight w:val="264"/>
        </w:trPr>
        <w:tc>
          <w:tcPr>
            <w:tcW w:w="184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2120" w:type="dxa"/>
            <w:vAlign w:val="bottom"/>
          </w:tcPr>
          <w:p>
            <w:pPr>
              <w:spacing w:after="0"/>
              <w:rPr>
                <w:sz w:val="22"/>
                <w:szCs w:val="22"/>
                <w:color w:val="auto"/>
              </w:rPr>
            </w:pPr>
          </w:p>
        </w:tc>
        <w:tc>
          <w:tcPr>
            <w:tcW w:w="7280" w:type="dxa"/>
            <w:vAlign w:val="bottom"/>
          </w:tcPr>
          <w:p>
            <w:pPr>
              <w:spacing w:after="0"/>
              <w:rPr>
                <w:sz w:val="22"/>
                <w:szCs w:val="22"/>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spacing w:after="0"/>
              <w:rPr>
                <w:sz w:val="20"/>
                <w:szCs w:val="20"/>
                <w:color w:val="auto"/>
              </w:rPr>
            </w:pPr>
            <w:r>
              <w:rPr>
                <w:rFonts w:ascii="Arial" w:cs="Arial" w:eastAsia="Arial" w:hAnsi="Arial"/>
                <w:sz w:val="18"/>
                <w:szCs w:val="18"/>
                <w:color w:val="auto"/>
                <w:w w:val="92"/>
              </w:rPr>
              <w:t>Furnished herewith.</w:t>
            </w:r>
          </w:p>
        </w:tc>
        <w:tc>
          <w:tcPr>
            <w:tcW w:w="2120" w:type="dxa"/>
            <w:vAlign w:val="bottom"/>
          </w:tcPr>
          <w:p>
            <w:pPr>
              <w:spacing w:after="0"/>
              <w:rPr>
                <w:sz w:val="24"/>
                <w:szCs w:val="24"/>
                <w:color w:val="auto"/>
              </w:rPr>
            </w:pPr>
          </w:p>
        </w:tc>
        <w:tc>
          <w:tcPr>
            <w:tcW w:w="7280" w:type="dxa"/>
            <w:vAlign w:val="bottom"/>
          </w:tcPr>
          <w:p>
            <w:pPr>
              <w:spacing w:after="0"/>
              <w:rPr>
                <w:sz w:val="24"/>
                <w:szCs w:val="24"/>
                <w:color w:val="auto"/>
              </w:rPr>
            </w:pPr>
          </w:p>
        </w:tc>
      </w:tr>
    </w:tbl>
    <w:p>
      <w:pPr>
        <w:spacing w:after="0" w:line="94" w:lineRule="exact"/>
        <w:rPr>
          <w:sz w:val="20"/>
          <w:szCs w:val="20"/>
          <w:color w:val="auto"/>
        </w:rPr>
      </w:pPr>
    </w:p>
    <w:p>
      <w:pPr>
        <w:ind w:left="280" w:right="2960" w:hanging="647"/>
        <w:spacing w:after="0" w:line="277" w:lineRule="auto"/>
        <w:tabs>
          <w:tab w:leader="none" w:pos="260" w:val="left"/>
        </w:tabs>
        <w:rPr>
          <w:sz w:val="20"/>
          <w:szCs w:val="20"/>
          <w:color w:val="auto"/>
        </w:rPr>
      </w:pPr>
      <w:r>
        <w:rPr>
          <w:rFonts w:ascii="Arial" w:cs="Arial" w:eastAsia="Arial" w:hAnsi="Arial"/>
          <w:sz w:val="18"/>
          <w:szCs w:val="18"/>
          <w:color w:val="auto"/>
        </w:rPr>
        <w:t>*</w:t>
        <w:tab/>
        <w:t>Certain schedules and exhibits have been omitted pursuant to Item 601(b)(2) of Regulation S-K. A copy of any omitted schedule will be furnished supplementally to the SEC upon request.</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108" w:right="4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2017</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lowerRoman"/>
      <w:start w:val="2"/>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6"/>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3"/>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4"/>
    </w:lvl>
    <w:lvl w:ilvl="1">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lowerRoman"/>
      <w:start w:val="2"/>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Roman"/>
      <w:start w:val="2"/>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Roman"/>
      <w:start w:val="1"/>
    </w:lvl>
  </w:abstractNum>
  <w:abstractNum w:abstractNumId="60">
    <w:nsid w:val="10233C9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2020-01-18T00:33:49Z</dcterms:created>
  <dcterms:modified xsi:type="dcterms:W3CDTF">2020-01-18T00:33:49Z</dcterms:modified>
</cp:coreProperties>
</file>