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February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422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1102"/>
              <w:spacing w:after="0"/>
              <w:rPr>
                <w:sz w:val="20"/>
                <w:szCs w:val="20"/>
                <w:color w:val="auto"/>
              </w:rPr>
            </w:pPr>
            <w:r>
              <w:rPr>
                <w:rFonts w:ascii="Arial" w:cs="Arial" w:eastAsia="Arial" w:hAnsi="Arial"/>
                <w:sz w:val="18"/>
                <w:szCs w:val="18"/>
                <w:b w:val="1"/>
                <w:bCs w:val="1"/>
                <w:color w:val="auto"/>
                <w:w w:val="90"/>
              </w:rPr>
              <w:t>1-14569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76-0582150</w:t>
            </w:r>
          </w:p>
        </w:tc>
      </w:tr>
      <w:tr>
        <w:trPr>
          <w:trHeight w:val="149"/>
        </w:trPr>
        <w:tc>
          <w:tcPr>
            <w:tcW w:w="422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incorporation or organization)</w:t>
            </w:r>
          </w:p>
        </w:tc>
        <w:tc>
          <w:tcPr>
            <w:tcW w:w="24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220" w:type="dxa"/>
            <w:vAlign w:val="bottom"/>
          </w:tcPr>
          <w:p>
            <w:pPr>
              <w:jc w:val="center"/>
              <w:ind w:left="1359"/>
              <w:spacing w:after="0"/>
              <w:rPr>
                <w:sz w:val="20"/>
                <w:szCs w:val="20"/>
                <w:color w:val="auto"/>
              </w:rPr>
            </w:pPr>
            <w:r>
              <w:rPr>
                <w:rFonts w:ascii="Arial" w:cs="Arial" w:eastAsia="Arial" w:hAnsi="Arial"/>
                <w:sz w:val="18"/>
                <w:szCs w:val="18"/>
                <w:b w:val="1"/>
                <w:bCs w:val="1"/>
                <w:color w:val="auto"/>
                <w:w w:val="90"/>
              </w:rPr>
              <w:t>333 Clay Street, Suite 1600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220" w:type="dxa"/>
            <w:vAlign w:val="bottom"/>
          </w:tcPr>
          <w:p>
            <w:pPr>
              <w:jc w:val="center"/>
              <w:ind w:left="1379"/>
              <w:spacing w:after="0"/>
              <w:rPr>
                <w:sz w:val="20"/>
                <w:szCs w:val="20"/>
                <w:color w:val="auto"/>
              </w:rPr>
            </w:pPr>
            <w:r>
              <w:rPr>
                <w:rFonts w:ascii="Arial" w:cs="Arial" w:eastAsia="Arial" w:hAnsi="Arial"/>
                <w:sz w:val="18"/>
                <w:szCs w:val="18"/>
                <w:b w:val="1"/>
                <w:bCs w:val="1"/>
                <w:color w:val="auto"/>
                <w:w w:val="86"/>
              </w:rPr>
              <w:t>Houston, Texas</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220" w:type="dxa"/>
            <w:vAlign w:val="bottom"/>
          </w:tcPr>
          <w:p>
            <w:pPr>
              <w:jc w:val="center"/>
              <w:ind w:left="1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25" w:lineRule="exact"/>
        <w:rPr>
          <w:sz w:val="24"/>
          <w:szCs w:val="24"/>
          <w:color w:val="auto"/>
        </w:rPr>
      </w:pPr>
    </w:p>
    <w:p>
      <w:pPr>
        <w:ind w:left="2720"/>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25, 2015, Plains All American Pipeline, L.P. (the “Partnership”) entered into an underwriting agreement (the “Underwriting Agreement”) with Barclays Capital Inc., as sole underwriter (the “Underwriter”), relating to the issuance and sale by the Partnership, and purchase by the Underwriter, of 21,000,000 common units representing limited partner interests in the Partnership (the “Common Units”). The Partnership has also granted the Underwriter a 30-day option to purchase up to 3,150,000 additional common units.</w:t>
      </w:r>
    </w:p>
    <w:p>
      <w:pPr>
        <w:spacing w:after="0" w:line="18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The Common Units are being offered and sold under the Partnership’s shelf registration statement on Form S-3 (Registration No. 333-184137) filed with the Securities and Exchange Commission on September 27, 2012 (the “Registration Statement”), and are described in a Prospectus Supplement dated February 26, 2015 to the Prospectus dated September 27, 2012, which is included in the Registration Statement.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closing of the offering of Common Units is expected to occur on March 3, 2015, subject to customary closing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is filed as Exhibit 1.1 to this Current Report on Form 8-K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40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1.1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90"/>
              </w:rPr>
              <w:t>Underwriting Agreement, dated February 25, 2015, by and between Plains All American Pipeline, L.P. and Barclays Capital Inc., as sole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underwriter.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5.1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8.1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Opinion of Vinson &amp; Elkins L.L.P. relating to tax matters.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23.1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Consent of Vinson &amp; Elkins L.L.P. (included in Exhibits 5.1 and 8.1).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380" w:type="dxa"/>
            <w:vAlign w:val="bottom"/>
          </w:tcPr>
          <w:p>
            <w:pPr>
              <w:ind w:left="514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ALL AMERICAN PIPELINE, L.P.</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240" w:top="270"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4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40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1.1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90"/>
              </w:rPr>
              <w:t>Underwriting Agreement, dated February 25, 2015, by and between Plains All American Pipeline, L.P. and Barclays Capital Inc., as sole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underwriter.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5.1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Opinion of Vinson &amp; Elkins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8.1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Opinion of Vinson &amp; Elkins L.L.P. relating to tax matters.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23.1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Consent of Vinson &amp; Elkins L.L.P. (included in Exhibits 5.1 and 8.1).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240" w:top="270"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21,000,000 Common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25,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color w:val="auto"/>
        </w:rPr>
        <w:t>Plains All American Pipeline,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proposes to issue and sell an aggregate of 21,000,000 common units (the “</w:t>
      </w:r>
      <w:r>
        <w:rPr>
          <w:rFonts w:ascii="Arial" w:cs="Arial" w:eastAsia="Arial" w:hAnsi="Arial"/>
          <w:sz w:val="18"/>
          <w:szCs w:val="18"/>
          <w:b w:val="1"/>
          <w:bCs w:val="1"/>
          <w:color w:val="auto"/>
        </w:rPr>
        <w:t>Firm Units</w:t>
      </w:r>
      <w:r>
        <w:rPr>
          <w:rFonts w:ascii="Arial" w:cs="Arial" w:eastAsia="Arial" w:hAnsi="Arial"/>
          <w:sz w:val="18"/>
          <w:szCs w:val="18"/>
          <w:color w:val="auto"/>
        </w:rPr>
        <w:t>”) representing limited partner interests in the Partnership (“</w:t>
      </w:r>
      <w:r>
        <w:rPr>
          <w:rFonts w:ascii="Arial" w:cs="Arial" w:eastAsia="Arial" w:hAnsi="Arial"/>
          <w:sz w:val="18"/>
          <w:szCs w:val="18"/>
          <w:b w:val="1"/>
          <w:bCs w:val="1"/>
          <w:color w:val="auto"/>
        </w:rPr>
        <w:t>Common Units</w:t>
      </w:r>
      <w:r>
        <w:rPr>
          <w:rFonts w:ascii="Arial" w:cs="Arial" w:eastAsia="Arial" w:hAnsi="Arial"/>
          <w:sz w:val="18"/>
          <w:szCs w:val="18"/>
          <w:color w:val="auto"/>
        </w:rPr>
        <w:t>”) to Barclays Capital Inc. (the “</w:t>
      </w:r>
      <w:r>
        <w:rPr>
          <w:rFonts w:ascii="Arial" w:cs="Arial" w:eastAsia="Arial" w:hAnsi="Arial"/>
          <w:sz w:val="18"/>
          <w:szCs w:val="18"/>
          <w:b w:val="1"/>
          <w:bCs w:val="1"/>
          <w:color w:val="auto"/>
        </w:rPr>
        <w:t>Underwriter</w:t>
      </w:r>
      <w:r>
        <w:rPr>
          <w:rFonts w:ascii="Arial" w:cs="Arial" w:eastAsia="Arial" w:hAnsi="Arial"/>
          <w:sz w:val="18"/>
          <w:szCs w:val="18"/>
          <w:color w:val="auto"/>
        </w:rPr>
        <w:t>” or the “</w:t>
      </w:r>
      <w:r>
        <w:rPr>
          <w:rFonts w:ascii="Arial" w:cs="Arial" w:eastAsia="Arial" w:hAnsi="Arial"/>
          <w:sz w:val="18"/>
          <w:szCs w:val="18"/>
          <w:b w:val="1"/>
          <w:bCs w:val="1"/>
          <w:color w:val="auto"/>
        </w:rPr>
        <w:t>Representative</w:t>
      </w:r>
      <w:r>
        <w:rPr>
          <w:rFonts w:ascii="Arial" w:cs="Arial" w:eastAsia="Arial" w:hAnsi="Arial"/>
          <w:sz w:val="18"/>
          <w:szCs w:val="18"/>
          <w:color w:val="auto"/>
        </w:rPr>
        <w:t>”), upon the terms and conditions set forth in Section 2 hereof. The Partnership also proposes to grant to the Underwriter, upon the terms and conditions set forth in Section 2 hereof, an option to purchase up to an additional 3,150,000 Common Units (the “</w:t>
      </w:r>
      <w:r>
        <w:rPr>
          <w:rFonts w:ascii="Arial" w:cs="Arial" w:eastAsia="Arial" w:hAnsi="Arial"/>
          <w:sz w:val="18"/>
          <w:szCs w:val="18"/>
          <w:b w:val="1"/>
          <w:bCs w:val="1"/>
          <w:color w:val="auto"/>
        </w:rPr>
        <w:t>Option Units</w:t>
      </w:r>
      <w:r>
        <w:rPr>
          <w:rFonts w:ascii="Arial" w:cs="Arial" w:eastAsia="Arial" w:hAnsi="Arial"/>
          <w:sz w:val="18"/>
          <w:szCs w:val="18"/>
          <w:color w:val="auto"/>
        </w:rPr>
        <w:t>”). The Firm Units and the Option Units, if purchased, are hereinafter collectively called the “</w:t>
      </w:r>
      <w:r>
        <w:rPr>
          <w:rFonts w:ascii="Arial" w:cs="Arial" w:eastAsia="Arial" w:hAnsi="Arial"/>
          <w:sz w:val="18"/>
          <w:szCs w:val="18"/>
          <w:b w:val="1"/>
          <w:bCs w:val="1"/>
          <w:color w:val="auto"/>
        </w:rPr>
        <w:t>Units</w:t>
      </w:r>
      <w:r>
        <w:rPr>
          <w:rFonts w:ascii="Arial" w:cs="Arial" w:eastAsia="Arial" w:hAnsi="Arial"/>
          <w:sz w:val="18"/>
          <w:szCs w:val="18"/>
          <w:color w:val="auto"/>
        </w:rPr>
        <w:t>.”</w:t>
      </w:r>
    </w:p>
    <w:p>
      <w:pPr>
        <w:spacing w:after="0" w:line="184" w:lineRule="exact"/>
        <w:rPr>
          <w:sz w:val="20"/>
          <w:szCs w:val="20"/>
          <w:color w:val="auto"/>
        </w:rPr>
      </w:pPr>
    </w:p>
    <w:p>
      <w:pPr>
        <w:ind w:right="240" w:firstLine="913"/>
        <w:spacing w:after="0" w:line="314" w:lineRule="auto"/>
        <w:rPr>
          <w:sz w:val="20"/>
          <w:szCs w:val="20"/>
          <w:color w:val="auto"/>
        </w:rPr>
      </w:pPr>
      <w:r>
        <w:rPr>
          <w:rFonts w:ascii="Arial" w:cs="Arial" w:eastAsia="Arial" w:hAnsi="Arial"/>
          <w:sz w:val="16"/>
          <w:szCs w:val="16"/>
          <w:color w:val="auto"/>
        </w:rPr>
        <w:t>PAA GP LLC, a Delaware limited liability company (the “</w:t>
      </w:r>
      <w:r>
        <w:rPr>
          <w:rFonts w:ascii="Arial" w:cs="Arial" w:eastAsia="Arial" w:hAnsi="Arial"/>
          <w:sz w:val="16"/>
          <w:szCs w:val="16"/>
          <w:b w:val="1"/>
          <w:bCs w:val="1"/>
          <w:color w:val="auto"/>
        </w:rPr>
        <w:t>General Partner</w:t>
      </w:r>
      <w:r>
        <w:rPr>
          <w:rFonts w:ascii="Arial" w:cs="Arial" w:eastAsia="Arial" w:hAnsi="Arial"/>
          <w:sz w:val="16"/>
          <w:szCs w:val="16"/>
          <w:color w:val="auto"/>
        </w:rPr>
        <w:t>”), is the general partner of the Partnership. Plains AAP, L.P., a Delaware limited partnership (“</w:t>
      </w:r>
      <w:r>
        <w:rPr>
          <w:rFonts w:ascii="Arial" w:cs="Arial" w:eastAsia="Arial" w:hAnsi="Arial"/>
          <w:sz w:val="16"/>
          <w:szCs w:val="16"/>
          <w:b w:val="1"/>
          <w:bCs w:val="1"/>
          <w:color w:val="auto"/>
        </w:rPr>
        <w:t>Plains AAP</w:t>
      </w:r>
      <w:r>
        <w:rPr>
          <w:rFonts w:ascii="Arial" w:cs="Arial" w:eastAsia="Arial" w:hAnsi="Arial"/>
          <w:sz w:val="16"/>
          <w:szCs w:val="16"/>
          <w:color w:val="auto"/>
        </w:rPr>
        <w:t>”), owns a 100% membership interest in the General Partner. Plains All American GP LLC, a Delaware limited liability company (“</w:t>
      </w:r>
      <w:r>
        <w:rPr>
          <w:rFonts w:ascii="Arial" w:cs="Arial" w:eastAsia="Arial" w:hAnsi="Arial"/>
          <w:sz w:val="16"/>
          <w:szCs w:val="16"/>
          <w:b w:val="1"/>
          <w:bCs w:val="1"/>
          <w:color w:val="auto"/>
        </w:rPr>
        <w:t>GP LLC</w:t>
      </w:r>
      <w:r>
        <w:rPr>
          <w:rFonts w:ascii="Arial" w:cs="Arial" w:eastAsia="Arial" w:hAnsi="Arial"/>
          <w:sz w:val="16"/>
          <w:szCs w:val="16"/>
          <w:color w:val="auto"/>
        </w:rPr>
        <w:t>” and, collectively with the General Partner and Plains AAP, the “</w:t>
      </w:r>
      <w:r>
        <w:rPr>
          <w:rFonts w:ascii="Arial" w:cs="Arial" w:eastAsia="Arial" w:hAnsi="Arial"/>
          <w:sz w:val="16"/>
          <w:szCs w:val="16"/>
          <w:b w:val="1"/>
          <w:bCs w:val="1"/>
          <w:color w:val="auto"/>
        </w:rPr>
        <w:t>GP Entities</w:t>
      </w:r>
      <w:r>
        <w:rPr>
          <w:rFonts w:ascii="Arial" w:cs="Arial" w:eastAsia="Arial" w:hAnsi="Arial"/>
          <w:sz w:val="16"/>
          <w:szCs w:val="16"/>
          <w:color w:val="auto"/>
        </w:rPr>
        <w:t>”), is the general partner of Plains AAP.</w:t>
      </w:r>
    </w:p>
    <w:p>
      <w:pPr>
        <w:spacing w:after="0" w:line="142"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 xml:space="preserve">The subsidiaries of the Partnership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is to confirm the agreement among the Partnership and the Underwriter concerning the purchase of the Units by the Underwriter.</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Representations and Warranties of the Partnership</w:t>
      </w:r>
      <w:r>
        <w:rPr>
          <w:rFonts w:ascii="Arial" w:cs="Arial" w:eastAsia="Arial" w:hAnsi="Arial"/>
          <w:sz w:val="18"/>
          <w:szCs w:val="18"/>
          <w:color w:val="auto"/>
        </w:rPr>
        <w:t>. The Partnership represents and warrants to the Underwriter that:</w:t>
      </w:r>
    </w:p>
    <w:p>
      <w:pPr>
        <w:spacing w:after="0" w:line="225" w:lineRule="exact"/>
        <w:rPr>
          <w:sz w:val="20"/>
          <w:szCs w:val="20"/>
          <w:color w:val="auto"/>
        </w:rPr>
      </w:pPr>
    </w:p>
    <w:p>
      <w:pPr>
        <w:ind w:right="340" w:firstLine="921"/>
        <w:spacing w:after="0" w:line="264" w:lineRule="auto"/>
        <w:tabs>
          <w:tab w:leader="none" w:pos="1157"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w:t>
      </w:r>
      <w:r>
        <w:rPr>
          <w:rFonts w:ascii="Arial" w:cs="Arial" w:eastAsia="Arial" w:hAnsi="Arial"/>
          <w:sz w:val="18"/>
          <w:szCs w:val="18"/>
          <w:color w:val="auto"/>
        </w:rPr>
        <w:t>A registration statement on Form S-3 relating to the Units (File No. 333-184137) (i) has been prepared by the Partnership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(the “</w:t>
      </w:r>
      <w:r>
        <w:rPr>
          <w:rFonts w:ascii="Arial" w:cs="Arial" w:eastAsia="Arial" w:hAnsi="Arial"/>
          <w:sz w:val="18"/>
          <w:szCs w:val="18"/>
          <w:b w:val="1"/>
          <w:bCs w:val="1"/>
          <w:color w:val="auto"/>
        </w:rPr>
        <w:t>Rules and</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 of the Securities and Exchange Commission</w:t>
      </w:r>
    </w:p>
    <w:p>
      <w:pPr>
        <w:sectPr>
          <w:pgSz w:w="11900" w:h="16838" w:orient="portrait"/>
          <w:cols w:equalWidth="0" w:num="1">
            <w:col w:w="11420"/>
          </w:cols>
          <w:pgMar w:left="240" w:top="121" w:right="239" w:bottom="1440" w:gutter="0" w:footer="0" w:header="0"/>
        </w:sectPr>
      </w:pPr>
    </w:p>
    <w:bookmarkStart w:id="5" w:name="page6"/>
    <w:bookmarkEnd w:id="5"/>
    <w:p>
      <w:pPr>
        <w:ind w:right="30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6"/>
          <w:szCs w:val="16"/>
          <w:b w:val="1"/>
          <w:bCs w:val="1"/>
          <w:color w:val="auto"/>
        </w:rPr>
        <w:t>Commission</w:t>
      </w:r>
      <w:r>
        <w:rPr>
          <w:rFonts w:ascii="Arial" w:cs="Arial" w:eastAsia="Arial" w:hAnsi="Arial"/>
          <w:sz w:val="16"/>
          <w:szCs w:val="16"/>
          <w:color w:val="auto"/>
        </w:rPr>
        <w:t>”) thereunder; (ii) has been filed with the Commission under the Securities Act; and (iii) is effective under the Securities Act. Copies of such registration statement and any amendment thereto have been delivered by the Partnership to the Representative. As used in this Agreement:</w:t>
      </w:r>
    </w:p>
    <w:p>
      <w:pPr>
        <w:spacing w:after="0" w:line="8" w:lineRule="exact"/>
        <w:rPr>
          <w:sz w:val="20"/>
          <w:szCs w:val="20"/>
          <w:color w:val="auto"/>
        </w:rPr>
      </w:pPr>
    </w:p>
    <w:p>
      <w:pPr>
        <w:ind w:left="920" w:right="180" w:firstLine="421"/>
        <w:spacing w:after="0" w:line="282" w:lineRule="auto"/>
        <w:tabs>
          <w:tab w:leader="none" w:pos="15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8:00 a.m., New York City time, on February 26, 2015, which the Underwriter has informed the Partnership and its counsel is a time prior to the first sale of the Units;</w:t>
      </w:r>
    </w:p>
    <w:p>
      <w:pPr>
        <w:spacing w:after="0" w:line="53" w:lineRule="exact"/>
        <w:rPr>
          <w:rFonts w:ascii="Arial" w:cs="Arial" w:eastAsia="Arial" w:hAnsi="Arial"/>
          <w:sz w:val="18"/>
          <w:szCs w:val="18"/>
          <w:color w:val="auto"/>
        </w:rPr>
      </w:pPr>
    </w:p>
    <w:p>
      <w:pPr>
        <w:ind w:left="1600" w:hanging="259"/>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Prospectus</w:t>
      </w:r>
      <w:r>
        <w:rPr>
          <w:rFonts w:ascii="Arial" w:cs="Arial" w:eastAsia="Arial" w:hAnsi="Arial"/>
          <w:sz w:val="18"/>
          <w:szCs w:val="18"/>
          <w:color w:val="auto"/>
        </w:rPr>
        <w:t>” means the base prospectus included in the Registration Statement at the Applicable Time.</w:t>
      </w:r>
    </w:p>
    <w:p>
      <w:pPr>
        <w:spacing w:after="0" w:line="117" w:lineRule="exact"/>
        <w:rPr>
          <w:rFonts w:ascii="Arial" w:cs="Arial" w:eastAsia="Arial" w:hAnsi="Arial"/>
          <w:sz w:val="18"/>
          <w:szCs w:val="18"/>
          <w:color w:val="auto"/>
        </w:rPr>
      </w:pPr>
    </w:p>
    <w:p>
      <w:pPr>
        <w:ind w:left="920" w:right="40" w:firstLine="421"/>
        <w:spacing w:after="0" w:line="282" w:lineRule="auto"/>
        <w:tabs>
          <w:tab w:leader="none" w:pos="1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any date as of which any part of such registration statement relating to the Units became, or is deemed to have become, effective under the Securities Act in accordance with the Rules and Regulations;</w:t>
      </w:r>
    </w:p>
    <w:p>
      <w:pPr>
        <w:spacing w:after="0" w:line="53" w:lineRule="exact"/>
        <w:rPr>
          <w:rFonts w:ascii="Arial" w:cs="Arial" w:eastAsia="Arial" w:hAnsi="Arial"/>
          <w:sz w:val="18"/>
          <w:szCs w:val="18"/>
          <w:color w:val="auto"/>
        </w:rPr>
      </w:pPr>
    </w:p>
    <w:p>
      <w:pPr>
        <w:jc w:val="both"/>
        <w:ind w:left="920" w:right="380" w:firstLine="421"/>
        <w:spacing w:after="0" w:line="266" w:lineRule="auto"/>
        <w:tabs>
          <w:tab w:leader="none" w:pos="16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w:t>
      </w:r>
    </w:p>
    <w:p>
      <w:pPr>
        <w:spacing w:after="0" w:line="68" w:lineRule="exact"/>
        <w:rPr>
          <w:rFonts w:ascii="Arial" w:cs="Arial" w:eastAsia="Arial" w:hAnsi="Arial"/>
          <w:sz w:val="18"/>
          <w:szCs w:val="18"/>
          <w:color w:val="auto"/>
        </w:rPr>
      </w:pPr>
    </w:p>
    <w:p>
      <w:pPr>
        <w:ind w:left="920" w:firstLine="421"/>
        <w:spacing w:after="0" w:line="266" w:lineRule="auto"/>
        <w:tabs>
          <w:tab w:leader="none" w:pos="159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Units included in such registration statement or filed with the Commission pursuant to Rule 424(b) of the Rules and Regulations, including the Base Prospectus and any preliminary prospectus supplement thereto relating to the Units;</w:t>
      </w:r>
    </w:p>
    <w:p>
      <w:pPr>
        <w:spacing w:after="0" w:line="68" w:lineRule="exact"/>
        <w:rPr>
          <w:rFonts w:ascii="Arial" w:cs="Arial" w:eastAsia="Arial" w:hAnsi="Arial"/>
          <w:sz w:val="18"/>
          <w:szCs w:val="18"/>
          <w:color w:val="auto"/>
        </w:rPr>
      </w:pPr>
    </w:p>
    <w:p>
      <w:pPr>
        <w:ind w:left="920" w:right="40" w:firstLine="421"/>
        <w:spacing w:after="0" w:line="314" w:lineRule="auto"/>
        <w:tabs>
          <w:tab w:leader="none" w:pos="1645"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Pricing Disclosure Package</w:t>
      </w:r>
      <w:r>
        <w:rPr>
          <w:rFonts w:ascii="Arial" w:cs="Arial" w:eastAsia="Arial" w:hAnsi="Arial"/>
          <w:sz w:val="16"/>
          <w:szCs w:val="16"/>
          <w:color w:val="auto"/>
        </w:rPr>
        <w:t xml:space="preserve">” means, as of the Applicable Time, the most recent Preliminary Prospectus together with (A) the pricing information identified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(B) each Issuer Free Writing Prospectus filed or used by the Partnership on or before the Applicable Time, other than a road show that is an Issuer Free Writing Prospectus under Rule 433 of the Rules and Regulations;</w:t>
      </w:r>
    </w:p>
    <w:p>
      <w:pPr>
        <w:spacing w:after="0" w:line="34" w:lineRule="exact"/>
        <w:rPr>
          <w:rFonts w:ascii="Arial" w:cs="Arial" w:eastAsia="Arial" w:hAnsi="Arial"/>
          <w:sz w:val="16"/>
          <w:szCs w:val="16"/>
          <w:color w:val="auto"/>
        </w:rPr>
      </w:pPr>
    </w:p>
    <w:p>
      <w:pPr>
        <w:ind w:left="920" w:right="180" w:firstLine="421"/>
        <w:spacing w:after="0" w:line="282" w:lineRule="auto"/>
        <w:tabs>
          <w:tab w:leader="none" w:pos="1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Units, including the Base Prospectus and any prospectus supplement thereto relating to the Units, as filed with the Commission pursuant to Rule 424(b) of the Rules and Regulations; and</w:t>
      </w:r>
    </w:p>
    <w:p>
      <w:pPr>
        <w:spacing w:after="0" w:line="53" w:lineRule="exact"/>
        <w:rPr>
          <w:rFonts w:ascii="Arial" w:cs="Arial" w:eastAsia="Arial" w:hAnsi="Arial"/>
          <w:sz w:val="18"/>
          <w:szCs w:val="18"/>
          <w:color w:val="auto"/>
        </w:rPr>
      </w:pPr>
    </w:p>
    <w:p>
      <w:pPr>
        <w:ind w:left="920" w:right="20" w:firstLine="421"/>
        <w:spacing w:after="0" w:line="282" w:lineRule="auto"/>
        <w:tabs>
          <w:tab w:leader="none" w:pos="17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registration statement on Form S-3 (File No. 333-184137), as amended as of the Effective Date, including any Preliminary Prospectus or the Prospectus and all exhibits to such registration statement.</w:t>
      </w:r>
    </w:p>
    <w:p>
      <w:pPr>
        <w:spacing w:after="0" w:line="166"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date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Registration Statement, Preliminary Prospectus or Prospectus, as the case may be, or in the case of the Pricing Disclosure Package, as of the Applicable Time. 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Partnership’s knowledge, threatened by the Commission. The Commission has not notified the Partnership of any objection to the use of the form of the Registration Statement.</w:t>
      </w:r>
    </w:p>
    <w:p>
      <w:pPr>
        <w:spacing w:after="0" w:line="175" w:lineRule="exact"/>
        <w:rPr>
          <w:sz w:val="20"/>
          <w:szCs w:val="20"/>
          <w:color w:val="auto"/>
        </w:rPr>
      </w:pPr>
    </w:p>
    <w:p>
      <w:pPr>
        <w:ind w:firstLine="921"/>
        <w:spacing w:after="0" w:line="255"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Form of Documents</w:t>
      </w:r>
      <w:r>
        <w:rPr>
          <w:rFonts w:ascii="Arial" w:cs="Arial" w:eastAsia="Arial" w:hAnsi="Arial"/>
          <w:sz w:val="18"/>
          <w:szCs w:val="18"/>
          <w:color w:val="auto"/>
        </w:rPr>
        <w:t>. The Registration Statement conformed in all material respects on the Effective Date and on each applicable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spacing w:after="0" w:line="189" w:lineRule="exact"/>
        <w:rPr>
          <w:rFonts w:ascii="Arial" w:cs="Arial" w:eastAsia="Arial" w:hAnsi="Arial"/>
          <w:sz w:val="18"/>
          <w:szCs w:val="18"/>
          <w:color w:val="auto"/>
        </w:rPr>
      </w:pPr>
    </w:p>
    <w:p>
      <w:pPr>
        <w:ind w:right="60" w:firstLine="921"/>
        <w:spacing w:after="0" w:line="257" w:lineRule="auto"/>
        <w:tabs>
          <w:tab w:leader="none" w:pos="115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The Registration Statement did not, as of its most recent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Partnership through the Representative specifically for inclusion therein, which information is specified in Section 12.</w:t>
      </w:r>
    </w:p>
    <w:p>
      <w:pPr>
        <w:spacing w:after="0" w:line="188" w:lineRule="exact"/>
        <w:rPr>
          <w:rFonts w:ascii="Arial" w:cs="Arial" w:eastAsia="Arial" w:hAnsi="Arial"/>
          <w:sz w:val="18"/>
          <w:szCs w:val="18"/>
          <w:color w:val="auto"/>
        </w:rPr>
      </w:pPr>
    </w:p>
    <w:p>
      <w:pPr>
        <w:ind w:right="20" w:firstLine="921"/>
        <w:spacing w:after="0" w:line="312" w:lineRule="auto"/>
        <w:tabs>
          <w:tab w:leader="none" w:pos="116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 in Prospectus</w:t>
      </w:r>
      <w:r>
        <w:rPr>
          <w:rFonts w:ascii="Arial" w:cs="Arial" w:eastAsia="Arial" w:hAnsi="Arial"/>
          <w:sz w:val="16"/>
          <w:szCs w:val="16"/>
          <w:color w:val="auto"/>
        </w:rPr>
        <w:t>. The Prospectus will not, as of its date and on the applicable Delivery Date,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 information contained in or omitted from the Prospectus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7" w:name="page8"/>
    <w:bookmarkEnd w:id="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reliance upon and in conformity with written information furnished to the Partnership through the Representative specifically for inclusion therein, which information is specified in Section 12.</w:t>
      </w:r>
    </w:p>
    <w:p>
      <w:pPr>
        <w:spacing w:after="0" w:line="170" w:lineRule="exact"/>
        <w:rPr>
          <w:sz w:val="20"/>
          <w:szCs w:val="20"/>
          <w:color w:val="auto"/>
        </w:rPr>
      </w:pPr>
    </w:p>
    <w:p>
      <w:pPr>
        <w:ind w:right="420" w:firstLine="921"/>
        <w:spacing w:after="0" w:line="264" w:lineRule="auto"/>
        <w:tabs>
          <w:tab w:leader="none" w:pos="115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Documents Incorporated by Reference</w:t>
      </w:r>
      <w:r>
        <w:rPr>
          <w:rFonts w:ascii="Arial" w:cs="Arial" w:eastAsia="Arial" w:hAnsi="Arial"/>
          <w:sz w:val="18"/>
          <w:szCs w:val="18"/>
          <w:color w:val="auto"/>
        </w:rPr>
        <w:t>. The Incorporated Documents, when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did not and will not include an untrue statement of a material fact or omit to state a material fact necessary in order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ind w:right="80" w:firstLine="921"/>
        <w:spacing w:after="0" w:line="257" w:lineRule="auto"/>
        <w:tabs>
          <w:tab w:leader="none" w:pos="113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Pricing Disclosure Package</w:t>
      </w:r>
      <w:r>
        <w:rPr>
          <w:rFonts w:ascii="Arial" w:cs="Arial" w:eastAsia="Arial" w:hAnsi="Arial"/>
          <w:sz w:val="18"/>
          <w:szCs w:val="18"/>
          <w:color w:val="auto"/>
        </w:rPr>
        <w:t>. The Pricing Disclosure Package did not, as of the Applicable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Partnership through the Representative specifically for inclusion therein, which information is specified in Section 12.</w:t>
      </w:r>
    </w:p>
    <w:p>
      <w:pPr>
        <w:spacing w:after="0" w:line="188" w:lineRule="exact"/>
        <w:rPr>
          <w:rFonts w:ascii="Arial" w:cs="Arial" w:eastAsia="Arial" w:hAnsi="Arial"/>
          <w:sz w:val="18"/>
          <w:szCs w:val="18"/>
          <w:color w:val="auto"/>
        </w:rPr>
      </w:pPr>
    </w:p>
    <w:p>
      <w:pPr>
        <w:ind w:right="120" w:firstLine="921"/>
        <w:spacing w:after="0" w:line="255" w:lineRule="auto"/>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Issuer Free Writing Prospectus and Pricing Disclosure Package</w:t>
      </w:r>
      <w:r>
        <w:rPr>
          <w:rFonts w:ascii="Arial" w:cs="Arial" w:eastAsia="Arial" w:hAnsi="Arial"/>
          <w:sz w:val="18"/>
          <w:szCs w:val="18"/>
          <w:color w:val="auto"/>
        </w:rPr>
        <w:t>.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in reliance upon and in conformity with written information furnished to the Partnership through the Representative specifically for inclusion therein, which information is specified in Section 12.</w:t>
      </w:r>
    </w:p>
    <w:p>
      <w:pPr>
        <w:spacing w:after="0" w:line="189" w:lineRule="exact"/>
        <w:rPr>
          <w:rFonts w:ascii="Arial" w:cs="Arial" w:eastAsia="Arial" w:hAnsi="Arial"/>
          <w:sz w:val="18"/>
          <w:szCs w:val="18"/>
          <w:color w:val="auto"/>
        </w:rPr>
      </w:pPr>
    </w:p>
    <w:p>
      <w:pPr>
        <w:ind w:firstLine="921"/>
        <w:spacing w:after="0" w:line="272" w:lineRule="auto"/>
        <w:tabs>
          <w:tab w:leader="none" w:pos="116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 Conform to the Requirements of the Securities Act</w:t>
      </w:r>
      <w:r>
        <w:rPr>
          <w:rFonts w:ascii="Arial" w:cs="Arial" w:eastAsia="Arial" w:hAnsi="Arial"/>
          <w:sz w:val="17"/>
          <w:szCs w:val="17"/>
          <w:color w:val="auto"/>
        </w:rPr>
        <w:t>. Each Issuer Free Writing Prospectus conformed or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Units that would constitute an Issuer Free Writing Prospectus without the prior written consent of the Representative.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w:t>
      </w:r>
    </w:p>
    <w:p>
      <w:pPr>
        <w:spacing w:after="0" w:line="177" w:lineRule="exact"/>
        <w:rPr>
          <w:rFonts w:ascii="Arial" w:cs="Arial" w:eastAsia="Arial" w:hAnsi="Arial"/>
          <w:sz w:val="17"/>
          <w:szCs w:val="17"/>
          <w:color w:val="auto"/>
        </w:rPr>
      </w:pPr>
    </w:p>
    <w:p>
      <w:pPr>
        <w:ind w:right="80" w:firstLine="921"/>
        <w:spacing w:after="0" w:line="259" w:lineRule="auto"/>
        <w:tabs>
          <w:tab w:leader="none" w:pos="112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The Partnership is a “well-known seasoned issuer” (as defined in Rule 405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Rules and Regulations). At the earliest time after the initial filing of the Registration Statement that the Partnership or another offering participant made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 (within the meaning of Rule 164(h)(2) of the Rules and Regulations) of the Units, the Partnership was not an “ineligible issuer,”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 405 of the Rules and Regulations.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 w:name="page9"/>
    <w:bookmarkEnd w:id="8"/>
    <w:p>
      <w:pPr>
        <w:ind w:left="-8" w:firstLine="921"/>
        <w:spacing w:after="0" w:line="283" w:lineRule="auto"/>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Formation and Qualification of Certain Entities</w:t>
      </w:r>
      <w:r>
        <w:rPr>
          <w:rFonts w:ascii="Arial" w:cs="Arial" w:eastAsia="Arial" w:hAnsi="Arial"/>
          <w:sz w:val="16"/>
          <w:szCs w:val="16"/>
          <w:color w:val="auto"/>
        </w:rPr>
        <w:t>. Each of the Partnership, the GP Entities and the Material Subsidiaries has been duly formed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and the Partnership (collectively, the “</w:t>
      </w:r>
      <w:r>
        <w:rPr>
          <w:rFonts w:ascii="Arial" w:cs="Arial" w:eastAsia="Arial" w:hAnsi="Arial"/>
          <w:sz w:val="16"/>
          <w:szCs w:val="16"/>
          <w:b w:val="1"/>
          <w:bCs w:val="1"/>
          <w:color w:val="auto"/>
        </w:rPr>
        <w:t>Plains Entities</w:t>
      </w:r>
      <w:r>
        <w:rPr>
          <w:rFonts w:ascii="Arial" w:cs="Arial" w:eastAsia="Arial" w:hAnsi="Arial"/>
          <w:sz w:val="16"/>
          <w:szCs w:val="16"/>
          <w:color w:val="auto"/>
        </w:rPr>
        <w:t>”), taken as a whole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or</w:t>
      </w:r>
    </w:p>
    <w:p>
      <w:pPr>
        <w:spacing w:after="0" w:line="5" w:lineRule="exact"/>
        <w:rPr>
          <w:rFonts w:ascii="Arial" w:cs="Arial" w:eastAsia="Arial" w:hAnsi="Arial"/>
          <w:sz w:val="16"/>
          <w:szCs w:val="16"/>
          <w:color w:val="auto"/>
        </w:rPr>
      </w:pPr>
    </w:p>
    <w:p>
      <w:pPr>
        <w:ind w:left="272" w:hanging="272"/>
        <w:spacing w:after="0"/>
        <w:tabs>
          <w:tab w:leader="none" w:pos="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the limited partners of the Partnership to any material liability or disability.</w:t>
      </w:r>
    </w:p>
    <w:p>
      <w:pPr>
        <w:spacing w:after="0" w:line="210" w:lineRule="exact"/>
        <w:rPr>
          <w:rFonts w:ascii="Arial" w:cs="Arial" w:eastAsia="Arial" w:hAnsi="Arial"/>
          <w:sz w:val="18"/>
          <w:szCs w:val="18"/>
          <w:color w:val="auto"/>
        </w:rPr>
      </w:pPr>
    </w:p>
    <w:p>
      <w:pPr>
        <w:ind w:left="-8" w:right="120" w:firstLine="921"/>
        <w:spacing w:after="0" w:line="264"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or GP Entity that serves as a general partner of another Plains Entity or GP Entity has full corporate or</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power and authority, as the case may be, to serve as general partner of such Plains Entity or GP Entity, in each case in all material respects, as disclosed in the Pricing Disclosure Package and the Prospectus.</w:t>
      </w:r>
    </w:p>
    <w:p>
      <w:pPr>
        <w:spacing w:after="0" w:line="181" w:lineRule="exact"/>
        <w:rPr>
          <w:rFonts w:ascii="Arial" w:cs="Arial" w:eastAsia="Arial" w:hAnsi="Arial"/>
          <w:sz w:val="18"/>
          <w:szCs w:val="18"/>
          <w:color w:val="auto"/>
        </w:rPr>
      </w:pPr>
    </w:p>
    <w:p>
      <w:pPr>
        <w:ind w:left="-8" w:right="20" w:firstLine="921"/>
        <w:spacing w:after="0" w:line="288" w:lineRule="auto"/>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Ownership of Interests in the Partnership, the General Partner and Plains AAP</w:t>
      </w:r>
      <w:r>
        <w:rPr>
          <w:rFonts w:ascii="Arial" w:cs="Arial" w:eastAsia="Arial" w:hAnsi="Arial"/>
          <w:sz w:val="16"/>
          <w:szCs w:val="16"/>
          <w:color w:val="auto"/>
        </w:rPr>
        <w:t>. The GP Entities hold the general partner and membership</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Arial" w:cs="Arial" w:eastAsia="Arial" w:hAnsi="Arial"/>
          <w:sz w:val="16"/>
          <w:szCs w:val="16"/>
          <w:b w:val="1"/>
          <w:bCs w:val="1"/>
          <w:color w:val="auto"/>
        </w:rPr>
        <w:t>General Partner LLC Agreement</w:t>
      </w:r>
      <w:r>
        <w:rPr>
          <w:rFonts w:ascii="Arial" w:cs="Arial" w:eastAsia="Arial" w:hAnsi="Arial"/>
          <w:sz w:val="16"/>
          <w:szCs w:val="16"/>
          <w:color w:val="auto"/>
        </w:rPr>
        <w:t>”) and nonassessable (except as such nonassessability may be affected by Sections 18-607 and 18-804 of the Delaware Limited Liability Company Act (the “</w:t>
      </w:r>
      <w:r>
        <w:rPr>
          <w:rFonts w:ascii="Arial" w:cs="Arial" w:eastAsia="Arial" w:hAnsi="Arial"/>
          <w:sz w:val="16"/>
          <w:szCs w:val="16"/>
          <w:b w:val="1"/>
          <w:bCs w:val="1"/>
          <w:color w:val="auto"/>
        </w:rPr>
        <w:t>Delaware LLC Act</w:t>
      </w:r>
      <w:r>
        <w:rPr>
          <w:rFonts w:ascii="Arial" w:cs="Arial" w:eastAsia="Arial" w:hAnsi="Arial"/>
          <w:sz w:val="16"/>
          <w:szCs w:val="16"/>
          <w:color w:val="auto"/>
        </w:rPr>
        <w:t>”)); and such general partner and membership interests held by the GP Entities are owned free and clear of all liens, encumbrances, security interests, equities, charges or claims (“</w:t>
      </w:r>
      <w:r>
        <w:rPr>
          <w:rFonts w:ascii="Arial" w:cs="Arial" w:eastAsia="Arial" w:hAnsi="Arial"/>
          <w:sz w:val="16"/>
          <w:szCs w:val="16"/>
          <w:b w:val="1"/>
          <w:bCs w:val="1"/>
          <w:color w:val="auto"/>
        </w:rPr>
        <w:t>Liens</w:t>
      </w:r>
      <w:r>
        <w:rPr>
          <w:rFonts w:ascii="Arial" w:cs="Arial" w:eastAsia="Arial" w:hAnsi="Arial"/>
          <w:sz w:val="16"/>
          <w:szCs w:val="16"/>
          <w:color w:val="auto"/>
        </w:rPr>
        <w:t>”),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w:t>
      </w:r>
    </w:p>
    <w:p>
      <w:pPr>
        <w:spacing w:after="0" w:line="169" w:lineRule="exact"/>
        <w:rPr>
          <w:rFonts w:ascii="Arial" w:cs="Arial" w:eastAsia="Arial" w:hAnsi="Arial"/>
          <w:sz w:val="16"/>
          <w:szCs w:val="16"/>
          <w:color w:val="auto"/>
        </w:rPr>
      </w:pPr>
    </w:p>
    <w:p>
      <w:pPr>
        <w:ind w:left="1212" w:hanging="299"/>
        <w:spacing w:after="0"/>
        <w:tabs>
          <w:tab w:leader="none" w:pos="1212"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 Material Subsidiary</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been duly authorized</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9" w:name="page10"/>
    <w:bookmarkEnd w:id="9"/>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Arial" w:cs="Arial" w:eastAsia="Arial" w:hAnsi="Arial"/>
          <w:sz w:val="17"/>
          <w:szCs w:val="17"/>
          <w:b w:val="1"/>
          <w:bCs w:val="1"/>
          <w:color w:val="auto"/>
        </w:rPr>
        <w:t>Organizational Documents</w:t>
      </w:r>
      <w:r>
        <w:rPr>
          <w:rFonts w:ascii="Arial" w:cs="Arial" w:eastAsia="Arial" w:hAnsi="Arial"/>
          <w:sz w:val="17"/>
          <w:szCs w:val="17"/>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7"/>
          <w:szCs w:val="17"/>
          <w:b w:val="1"/>
          <w:bCs w:val="1"/>
          <w:color w:val="auto"/>
        </w:rPr>
        <w:t>Delaware LP Act</w:t>
      </w:r>
      <w:r>
        <w:rPr>
          <w:rFonts w:ascii="Arial" w:cs="Arial" w:eastAsia="Arial" w:hAnsi="Arial"/>
          <w:sz w:val="17"/>
          <w:szCs w:val="17"/>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The Subsidiaries other than the Material Subsidiaries would not have, individually or in the aggregate, accounted for (i) more than 10% of the total assets of the Plains Entities, taken as a whole, as of the most recent fiscal year end or (ii) more than 10% of the net income of the Plains Entities, taken as a whole, for the most recent fiscal year.</w:t>
      </w:r>
    </w:p>
    <w:p>
      <w:pPr>
        <w:spacing w:after="0" w:line="188" w:lineRule="exact"/>
        <w:rPr>
          <w:sz w:val="20"/>
          <w:szCs w:val="20"/>
          <w:color w:val="auto"/>
        </w:rPr>
      </w:pPr>
    </w:p>
    <w:p>
      <w:pPr>
        <w:ind w:firstLine="921"/>
        <w:spacing w:after="0" w:line="272" w:lineRule="auto"/>
        <w:tabs>
          <w:tab w:leader="none" w:pos="1168"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As of the date hereof, the issued and outstanding limited partner interests of the Partnership consist of 376,241,697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Units and the Incentive Distribution Rights (as such capitalized term is defined in the Fourth Amended and Restated Agreement of Limited Partnership of the Partnership, dated as of May 17, 2012 (as amended, the “</w:t>
      </w:r>
      <w:r>
        <w:rPr>
          <w:rFonts w:ascii="Arial" w:cs="Arial" w:eastAsia="Arial" w:hAnsi="Arial"/>
          <w:sz w:val="17"/>
          <w:szCs w:val="17"/>
          <w:b w:val="1"/>
          <w:bCs w:val="1"/>
          <w:color w:val="auto"/>
        </w:rPr>
        <w:t>Partnership Agreement</w:t>
      </w:r>
      <w:r>
        <w:rPr>
          <w:rFonts w:ascii="Arial" w:cs="Arial" w:eastAsia="Arial" w:hAnsi="Arial"/>
          <w:sz w:val="17"/>
          <w:szCs w:val="17"/>
          <w:color w:val="auto"/>
        </w:rPr>
        <w:t>”)). All outstanding Common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spacing w:after="0" w:line="177" w:lineRule="exact"/>
        <w:rPr>
          <w:rFonts w:ascii="Arial" w:cs="Arial" w:eastAsia="Arial" w:hAnsi="Arial"/>
          <w:sz w:val="17"/>
          <w:szCs w:val="17"/>
          <w:color w:val="auto"/>
        </w:rPr>
      </w:pPr>
    </w:p>
    <w:p>
      <w:pPr>
        <w:ind w:right="40" w:firstLine="921"/>
        <w:spacing w:after="0" w:line="279" w:lineRule="auto"/>
        <w:tabs>
          <w:tab w:leader="none" w:pos="1168"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Duly Authorized and Validly Issued Units</w:t>
      </w:r>
      <w:r>
        <w:rPr>
          <w:rFonts w:ascii="Arial" w:cs="Arial" w:eastAsia="Arial" w:hAnsi="Arial"/>
          <w:sz w:val="17"/>
          <w:szCs w:val="17"/>
          <w:color w:val="auto"/>
        </w:rPr>
        <w:t>. At the applicable Delivery Date, the Units to be sold by the Partnership and the limited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represented thereby will be duly authorized in accordance with the Partnership Agreement and, when issued and delivered to the Underwriter against payment therefor in accordance with the terms hereof, will be validly issued, fully paid (to the extent required under the Partnership Agreement) and nonassessable (except as such nonassessability may be affected by Sections 17-607 and 17-804 of the Delaware LP Act).</w:t>
      </w:r>
    </w:p>
    <w:p>
      <w:pPr>
        <w:spacing w:after="0" w:line="171" w:lineRule="exact"/>
        <w:rPr>
          <w:rFonts w:ascii="Arial" w:cs="Arial" w:eastAsia="Arial" w:hAnsi="Arial"/>
          <w:sz w:val="17"/>
          <w:szCs w:val="17"/>
          <w:color w:val="auto"/>
        </w:rPr>
      </w:pPr>
    </w:p>
    <w:p>
      <w:pPr>
        <w:ind w:right="20" w:firstLine="921"/>
        <w:spacing w:after="0" w:line="312" w:lineRule="auto"/>
        <w:tabs>
          <w:tab w:leader="none" w:pos="116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No Preemptive or Other Rights</w:t>
      </w:r>
      <w:r>
        <w:rPr>
          <w:rFonts w:ascii="Arial" w:cs="Arial" w:eastAsia="Arial" w:hAnsi="Arial"/>
          <w:sz w:val="16"/>
          <w:szCs w:val="16"/>
          <w:color w:val="auto"/>
        </w:rPr>
        <w:t>. Except as described in the Pricing Disclosure Package and the Prospectus or as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Pricing Disclosure Package and the Prospectus and (ii) for awards issued pursuant to the Partnership’s long-term incentive plans, there are no outstanding rights to purchase any Common Units or other equity interests in the Partnership.</w:t>
      </w:r>
    </w:p>
    <w:p>
      <w:pPr>
        <w:spacing w:after="0" w:line="187" w:lineRule="exact"/>
        <w:rPr>
          <w:sz w:val="20"/>
          <w:szCs w:val="20"/>
          <w:color w:val="auto"/>
        </w:rPr>
      </w:pPr>
    </w:p>
    <w:p>
      <w:pPr>
        <w:ind w:right="160" w:firstLine="921"/>
        <w:spacing w:after="0" w:line="257"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partnership power and authority to issue, sell and deliver the Units, in accordance with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set forth in this Agreement, the Partnership Agreement, the Registration Statement, the Pricing Disclosure Package and the Prospectus. At the applicable Delivery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w:t>
      </w:r>
    </w:p>
    <w:p>
      <w:pPr>
        <w:spacing w:after="0" w:line="188" w:lineRule="exact"/>
        <w:rPr>
          <w:rFonts w:ascii="Arial" w:cs="Arial" w:eastAsia="Arial" w:hAnsi="Arial"/>
          <w:sz w:val="18"/>
          <w:szCs w:val="18"/>
          <w:color w:val="auto"/>
        </w:rPr>
      </w:pPr>
    </w:p>
    <w:p>
      <w:pPr>
        <w:ind w:right="80" w:firstLine="921"/>
        <w:spacing w:after="0" w:line="277" w:lineRule="auto"/>
        <w:tabs>
          <w:tab w:leader="none" w:pos="113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 delivered by or</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the Partnership.</w:t>
      </w:r>
    </w:p>
    <w:p>
      <w:pPr>
        <w:spacing w:after="0" w:line="170" w:lineRule="exact"/>
        <w:rPr>
          <w:rFonts w:ascii="Arial" w:cs="Arial" w:eastAsia="Arial" w:hAnsi="Arial"/>
          <w:sz w:val="18"/>
          <w:szCs w:val="18"/>
          <w:color w:val="auto"/>
        </w:rPr>
      </w:pPr>
    </w:p>
    <w:p>
      <w:pPr>
        <w:ind w:right="40" w:firstLine="921"/>
        <w:spacing w:after="0" w:line="273" w:lineRule="auto"/>
        <w:tabs>
          <w:tab w:leader="none" w:pos="114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Operating Agreements</w:t>
      </w:r>
      <w:r>
        <w:rPr>
          <w:rFonts w:ascii="Arial" w:cs="Arial" w:eastAsia="Arial" w:hAnsi="Arial"/>
          <w:sz w:val="17"/>
          <w:szCs w:val="17"/>
          <w:color w:val="auto"/>
        </w:rPr>
        <w:t>. The partnership agreement or limited liability company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8" w:lineRule="exact"/>
        <w:rPr>
          <w:rFonts w:ascii="Arial" w:cs="Arial" w:eastAsia="Arial" w:hAnsi="Arial"/>
          <w:sz w:val="17"/>
          <w:szCs w:val="17"/>
          <w:color w:val="auto"/>
        </w:rPr>
      </w:pPr>
    </w:p>
    <w:p>
      <w:pPr>
        <w:ind w:firstLine="921"/>
        <w:spacing w:after="0" w:line="269" w:lineRule="auto"/>
        <w:tabs>
          <w:tab w:leader="none" w:pos="112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No Conflicts or Violations</w:t>
      </w:r>
      <w:r>
        <w:rPr>
          <w:rFonts w:ascii="Arial" w:cs="Arial" w:eastAsia="Arial" w:hAnsi="Arial"/>
          <w:sz w:val="17"/>
          <w:szCs w:val="17"/>
          <w:color w:val="auto"/>
        </w:rPr>
        <w:t>. None of (i) the offering, issuance and sale by the Partnership of the Units, (ii) the execution, delivery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this Agreement by the Partnership, or (iii) the consummation of the transactions contemplated by this Agreement (A) conflicts or will conflict with or constitutes or will constitute a violation of the Organizational Documents of the Partnership,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(D) results or will result in the creation or imposition of any Lien upon any property or assets of the Partnership, any of the GP Entities or any of the Material Subsidiaries, which conflicts, breaches, violations, defaults or Liens, in the case of clauses (B), (C) or (D), would reasonably be expected to have a Material Adverse Effect or materially impair the ability of the Partnership to consummate the transactions contemplated by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left="-20" w:firstLine="921"/>
        <w:spacing w:after="0" w:line="254" w:lineRule="auto"/>
        <w:tabs>
          <w:tab w:leader="none" w:pos="114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Consents</w:t>
      </w:r>
      <w:r>
        <w:rPr>
          <w:rFonts w:ascii="Arial" w:cs="Arial" w:eastAsia="Arial" w:hAnsi="Arial"/>
          <w:sz w:val="18"/>
          <w:szCs w:val="18"/>
          <w:color w:val="auto"/>
        </w:rPr>
        <w:t>. No consent, approval, authorization, filing with or order of any court, governmental agency or body having jurisdiction over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Plains Entities or any of the GP Entities or any of their respective properties is required in connection with (i) the offering, issuance and sale by the Partnership of the Units or (ii) the execution, delivery and performance of, or the consummation by the Partnership of the transactions contemplated by this Agreement,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purchase and distribution by the Underwriter of the Units in the manner contemplated herein and in the Pricing Disclosure Package and the Prospectus and (C) such that the failure to obtain or make would not reasonably be expected to have a Material Adverse Effect or materially impair the ability of the Partnership to consummate the transactions contemplated by this Agreement.</w:t>
      </w:r>
    </w:p>
    <w:p>
      <w:pPr>
        <w:spacing w:after="0" w:line="192" w:lineRule="exact"/>
        <w:rPr>
          <w:rFonts w:ascii="Arial" w:cs="Arial" w:eastAsia="Arial" w:hAnsi="Arial"/>
          <w:sz w:val="18"/>
          <w:szCs w:val="18"/>
          <w:color w:val="auto"/>
        </w:rPr>
      </w:pPr>
    </w:p>
    <w:p>
      <w:pPr>
        <w:ind w:left="-20" w:right="120" w:firstLine="921"/>
        <w:spacing w:after="0" w:line="271" w:lineRule="auto"/>
        <w:tabs>
          <w:tab w:leader="none" w:pos="114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No Default</w:t>
      </w:r>
      <w:r>
        <w:rPr>
          <w:rFonts w:ascii="Arial" w:cs="Arial" w:eastAsia="Arial" w:hAnsi="Arial"/>
          <w:sz w:val="17"/>
          <w:szCs w:val="17"/>
          <w:color w:val="auto"/>
        </w:rPr>
        <w:t>. (i) None of the Partnership, the GP Entities or the Material Subsidiaries is in violation of its Organizational Documents in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to perform its obligations under this Agreement.</w:t>
      </w:r>
    </w:p>
    <w:p>
      <w:pPr>
        <w:spacing w:after="0" w:line="178" w:lineRule="exact"/>
        <w:rPr>
          <w:rFonts w:ascii="Arial" w:cs="Arial" w:eastAsia="Arial" w:hAnsi="Arial"/>
          <w:sz w:val="17"/>
          <w:szCs w:val="17"/>
          <w:color w:val="auto"/>
        </w:rPr>
      </w:pPr>
    </w:p>
    <w:p>
      <w:pPr>
        <w:ind w:left="-20" w:right="60" w:firstLine="921"/>
        <w:spacing w:after="0" w:line="279" w:lineRule="auto"/>
        <w:tabs>
          <w:tab w:leader="none" w:pos="118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Independent Registered Public Accounting Firm</w:t>
      </w:r>
      <w:r>
        <w:rPr>
          <w:rFonts w:ascii="Arial" w:cs="Arial" w:eastAsia="Arial" w:hAnsi="Arial"/>
          <w:sz w:val="17"/>
          <w:szCs w:val="17"/>
          <w:color w:val="auto"/>
        </w:rPr>
        <w:t>. PricewaterhouseCoopers LLP, which has certified the audited financial statements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71" w:lineRule="exact"/>
        <w:rPr>
          <w:rFonts w:ascii="Arial" w:cs="Arial" w:eastAsia="Arial" w:hAnsi="Arial"/>
          <w:sz w:val="17"/>
          <w:szCs w:val="17"/>
          <w:color w:val="auto"/>
        </w:rPr>
      </w:pPr>
    </w:p>
    <w:p>
      <w:pPr>
        <w:ind w:left="-20" w:right="40" w:firstLine="921"/>
        <w:spacing w:after="0" w:line="255" w:lineRule="auto"/>
        <w:tabs>
          <w:tab w:leader="none" w:pos="114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At December 31, 2014, the Partnership had, on an as adjusted basis as indicated in the Prospectus (and any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12" w:name="page13"/>
    <w:bookmarkEnd w:id="12"/>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Partnership are required by the Securities Act or the Exchange Act to be included in the Registration Statement, the most recent Preliminary Prospectus or the Prospectus.</w:t>
      </w:r>
    </w:p>
    <w:p>
      <w:pPr>
        <w:spacing w:after="0" w:line="173" w:lineRule="exact"/>
        <w:rPr>
          <w:sz w:val="20"/>
          <w:szCs w:val="20"/>
          <w:color w:val="auto"/>
        </w:rPr>
      </w:pPr>
    </w:p>
    <w:p>
      <w:pPr>
        <w:ind w:firstLine="921"/>
        <w:spacing w:after="0" w:line="268" w:lineRule="auto"/>
        <w:tabs>
          <w:tab w:leader="none" w:pos="116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None of the Plains Entities or the GP Entities has sustained, since the date of the latest audited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w:t>
      </w:r>
    </w:p>
    <w:p>
      <w:pPr>
        <w:spacing w:after="0" w:line="185" w:lineRule="exact"/>
        <w:rPr>
          <w:rFonts w:ascii="Arial" w:cs="Arial" w:eastAsia="Arial" w:hAnsi="Arial"/>
          <w:sz w:val="17"/>
          <w:szCs w:val="17"/>
          <w:color w:val="auto"/>
        </w:rPr>
      </w:pPr>
    </w:p>
    <w:p>
      <w:pPr>
        <w:ind w:right="20" w:firstLine="921"/>
        <w:spacing w:after="0" w:line="255" w:lineRule="auto"/>
        <w:tabs>
          <w:tab w:leader="none" w:pos="115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Required Disclosures and Descriptions</w:t>
      </w:r>
      <w:r>
        <w:rPr>
          <w:rFonts w:ascii="Arial" w:cs="Arial" w:eastAsia="Arial" w:hAnsi="Arial"/>
          <w:sz w:val="18"/>
          <w:szCs w:val="18"/>
          <w:color w:val="auto"/>
        </w:rPr>
        <w:t>. There are no legal or governmental proceedings pending or, to the knowledge of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93" w:lineRule="exact"/>
        <w:rPr>
          <w:sz w:val="20"/>
          <w:szCs w:val="20"/>
          <w:color w:val="auto"/>
        </w:rPr>
      </w:pPr>
    </w:p>
    <w:p>
      <w:pPr>
        <w:ind w:firstLine="921"/>
        <w:spacing w:after="0" w:line="312" w:lineRule="auto"/>
        <w:tabs>
          <w:tab w:leader="none" w:pos="1237"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Plains Entities, directly or indirectly, have good and indefeasible title to all real property and good title to all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described in the Pricing Disclosure Package and the Prospectus as being owned by them, free and clear of all Liens except (i) as provided in the Third Amended and Restated Credit Agreement dated August 19, 2011, as amended (the “</w:t>
      </w:r>
      <w:r>
        <w:rPr>
          <w:rFonts w:ascii="Arial" w:cs="Arial" w:eastAsia="Arial" w:hAnsi="Arial"/>
          <w:sz w:val="16"/>
          <w:szCs w:val="16"/>
          <w:b w:val="1"/>
          <w:bCs w:val="1"/>
          <w:color w:val="auto"/>
        </w:rPr>
        <w:t>Hedged Inventory Facility</w:t>
      </w:r>
      <w:r>
        <w:rPr>
          <w:rFonts w:ascii="Arial" w:cs="Arial" w:eastAsia="Arial" w:hAnsi="Arial"/>
          <w:sz w:val="16"/>
          <w:szCs w:val="16"/>
          <w:color w:val="auto"/>
        </w:rPr>
        <w:t>”), among Plains Marketing, L.P.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Plains Marketing</w:t>
      </w:r>
      <w:r>
        <w:rPr>
          <w:rFonts w:ascii="Arial" w:cs="Arial" w:eastAsia="Arial" w:hAnsi="Arial"/>
          <w:sz w:val="18"/>
          <w:szCs w:val="18"/>
          <w:color w:val="auto"/>
        </w:rPr>
        <w:t>”),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w:t>
      </w:r>
    </w:p>
    <w:p>
      <w:pPr>
        <w:spacing w:after="0" w:line="188" w:lineRule="exact"/>
        <w:rPr>
          <w:sz w:val="20"/>
          <w:szCs w:val="20"/>
          <w:color w:val="auto"/>
        </w:rPr>
      </w:pPr>
    </w:p>
    <w:p>
      <w:pPr>
        <w:ind w:right="20" w:firstLine="921"/>
        <w:spacing w:after="0" w:line="291" w:lineRule="auto"/>
        <w:tabs>
          <w:tab w:leader="none" w:pos="1258"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Permits</w:t>
      </w:r>
      <w:r>
        <w:rPr>
          <w:rFonts w:ascii="Arial" w:cs="Arial" w:eastAsia="Arial" w:hAnsi="Arial"/>
          <w:sz w:val="16"/>
          <w:szCs w:val="16"/>
          <w:color w:val="auto"/>
        </w:rPr>
        <w:t>. Each of the Plains Entities, directly or indirectly, has such permits, consents, licenses, franchises, certificates and authorizations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spacing w:after="0" w:line="167" w:lineRule="exact"/>
        <w:rPr>
          <w:rFonts w:ascii="Arial" w:cs="Arial" w:eastAsia="Arial" w:hAnsi="Arial"/>
          <w:sz w:val="16"/>
          <w:szCs w:val="16"/>
          <w:color w:val="auto"/>
        </w:rPr>
      </w:pPr>
    </w:p>
    <w:p>
      <w:pPr>
        <w:ind w:left="1240" w:hanging="319"/>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Rights-of-Way</w:t>
      </w:r>
      <w:r>
        <w:rPr>
          <w:rFonts w:ascii="Arial" w:cs="Arial" w:eastAsia="Arial" w:hAnsi="Arial"/>
          <w:sz w:val="16"/>
          <w:szCs w:val="16"/>
          <w:color w:val="auto"/>
        </w:rPr>
        <w:t>. Each of the Plains Entities, directly or indirectly, has such consents, easements, rights-of-way or licenses from any person</w:t>
      </w:r>
    </w:p>
    <w:p>
      <w:pPr>
        <w:spacing w:after="0" w:line="4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rights-of-way</w:t>
      </w:r>
      <w:r>
        <w:rPr>
          <w:rFonts w:ascii="Arial" w:cs="Arial" w:eastAsia="Arial" w:hAnsi="Arial"/>
          <w:sz w:val="16"/>
          <w:szCs w:val="16"/>
          <w:color w:val="auto"/>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spacing w:after="0" w:line="169" w:lineRule="exact"/>
        <w:rPr>
          <w:sz w:val="20"/>
          <w:szCs w:val="20"/>
          <w:color w:val="auto"/>
        </w:rPr>
      </w:pPr>
    </w:p>
    <w:p>
      <w:pPr>
        <w:ind w:right="60" w:firstLine="921"/>
        <w:spacing w:after="0" w:line="293" w:lineRule="auto"/>
        <w:tabs>
          <w:tab w:leader="none" w:pos="125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Investment Company</w:t>
      </w:r>
      <w:r>
        <w:rPr>
          <w:rFonts w:ascii="Arial" w:cs="Arial" w:eastAsia="Arial" w:hAnsi="Arial"/>
          <w:sz w:val="16"/>
          <w:szCs w:val="16"/>
          <w:color w:val="auto"/>
        </w:rPr>
        <w:t>. None of the Plains Entities is now, and after sale of the Units to be sold by the Partnership hereunder and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14" w:name="page15"/>
    <w:bookmarkEnd w:id="14"/>
    <w:p>
      <w:pPr>
        <w:ind w:left="-8" w:right="40" w:firstLine="921"/>
        <w:spacing w:after="0" w:line="273" w:lineRule="auto"/>
        <w:tabs>
          <w:tab w:leader="none" w:pos="1229"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Environmental Compliance</w:t>
      </w:r>
      <w:r>
        <w:rPr>
          <w:rFonts w:ascii="Arial" w:cs="Arial" w:eastAsia="Arial" w:hAnsi="Arial"/>
          <w:sz w:val="17"/>
          <w:szCs w:val="17"/>
          <w:color w:val="auto"/>
        </w:rPr>
        <w:t>. Except as described in the Pricing Disclosure Package and the Prospectus, none of the Plains Entities,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spacing w:after="0" w:line="178" w:lineRule="exact"/>
        <w:rPr>
          <w:rFonts w:ascii="Arial" w:cs="Arial" w:eastAsia="Arial" w:hAnsi="Arial"/>
          <w:sz w:val="17"/>
          <w:szCs w:val="17"/>
          <w:color w:val="auto"/>
        </w:rPr>
      </w:pPr>
    </w:p>
    <w:p>
      <w:pPr>
        <w:ind w:left="-8" w:right="280" w:firstLine="921"/>
        <w:spacing w:after="0" w:line="277" w:lineRule="auto"/>
        <w:tabs>
          <w:tab w:leader="none" w:pos="1186"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or the GP Entities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is imminent, that would reasonably be expected to have a Material Adverse Effect.</w:t>
      </w:r>
    </w:p>
    <w:p>
      <w:pPr>
        <w:spacing w:after="0" w:line="170" w:lineRule="exact"/>
        <w:rPr>
          <w:rFonts w:ascii="Arial" w:cs="Arial" w:eastAsia="Arial" w:hAnsi="Arial"/>
          <w:sz w:val="18"/>
          <w:szCs w:val="18"/>
          <w:color w:val="auto"/>
        </w:rPr>
      </w:pPr>
    </w:p>
    <w:p>
      <w:pPr>
        <w:ind w:left="-8" w:right="20" w:firstLine="921"/>
        <w:spacing w:after="0" w:line="302" w:lineRule="auto"/>
        <w:tabs>
          <w:tab w:leader="none" w:pos="125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such losses and risks as are reasonably adequate to protect it and its businesses in a manner consistent with other businesses similarly situated. All such insurance is outstanding and duly in force on the date hereof and will be outstanding and duly in force on each applicable Delivery Date, except for such insurance for which the failure to be outstanding and duly in force would not reasonably be expected to have a Material Adverse Effect.</w:t>
      </w:r>
    </w:p>
    <w:p>
      <w:pPr>
        <w:spacing w:after="0" w:line="154" w:lineRule="exact"/>
        <w:rPr>
          <w:rFonts w:ascii="Arial" w:cs="Arial" w:eastAsia="Arial" w:hAnsi="Arial"/>
          <w:sz w:val="16"/>
          <w:szCs w:val="16"/>
          <w:color w:val="auto"/>
        </w:rPr>
      </w:pPr>
    </w:p>
    <w:p>
      <w:pPr>
        <w:ind w:left="-8" w:firstLine="921"/>
        <w:spacing w:after="0" w:line="293" w:lineRule="auto"/>
        <w:tabs>
          <w:tab w:leader="none" w:pos="125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Pricing Disclosure Package and the Prospectus, there is (i) no action, suit or proceeding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Units.</w:t>
      </w:r>
    </w:p>
    <w:p>
      <w:pPr>
        <w:spacing w:after="0" w:line="164" w:lineRule="exact"/>
        <w:rPr>
          <w:rFonts w:ascii="Arial" w:cs="Arial" w:eastAsia="Arial" w:hAnsi="Arial"/>
          <w:sz w:val="16"/>
          <w:szCs w:val="16"/>
          <w:color w:val="auto"/>
        </w:rPr>
      </w:pPr>
    </w:p>
    <w:p>
      <w:pPr>
        <w:ind w:left="-8" w:right="300" w:firstLine="921"/>
        <w:spacing w:after="0" w:line="293"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Distribution Restrictions</w:t>
      </w:r>
      <w:r>
        <w:rPr>
          <w:rFonts w:ascii="Arial" w:cs="Arial" w:eastAsia="Arial" w:hAnsi="Arial"/>
          <w:sz w:val="16"/>
          <w:szCs w:val="16"/>
          <w:color w:val="auto"/>
        </w:rPr>
        <w:t>. No Subsidiary is currently prohibited, directly or indirectly, from making any distributions to the Partnership or</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164" w:lineRule="exact"/>
        <w:rPr>
          <w:rFonts w:ascii="Arial" w:cs="Arial" w:eastAsia="Arial" w:hAnsi="Arial"/>
          <w:sz w:val="16"/>
          <w:szCs w:val="16"/>
          <w:color w:val="auto"/>
        </w:rPr>
      </w:pPr>
    </w:p>
    <w:p>
      <w:pPr>
        <w:ind w:left="1172" w:hanging="259"/>
        <w:spacing w:after="0"/>
        <w:tabs>
          <w:tab w:leader="none" w:pos="1172"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No Distribution of Other Offering Materials</w:t>
      </w:r>
      <w:r>
        <w:rPr>
          <w:rFonts w:ascii="Arial" w:cs="Arial" w:eastAsia="Arial" w:hAnsi="Arial"/>
          <w:sz w:val="16"/>
          <w:szCs w:val="16"/>
          <w:color w:val="auto"/>
        </w:rPr>
        <w:t>. None of the Plains Entities or the GP Entities has distributed and, prior to the later to occur of</w:t>
      </w:r>
    </w:p>
    <w:p>
      <w:pPr>
        <w:spacing w:after="0" w:line="46" w:lineRule="exact"/>
        <w:rPr>
          <w:rFonts w:ascii="Arial" w:cs="Arial" w:eastAsia="Arial" w:hAnsi="Arial"/>
          <w:sz w:val="16"/>
          <w:szCs w:val="16"/>
          <w:color w:val="auto"/>
        </w:rPr>
      </w:pPr>
    </w:p>
    <w:p>
      <w:pPr>
        <w:ind w:left="212" w:hanging="212"/>
        <w:spacing w:after="0"/>
        <w:tabs>
          <w:tab w:leader="none" w:pos="2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Delivery Date and (ii) completion of the distribution of the Firm Units or Option Units, as the case may be, will not</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72"/>
          </w:cols>
          <w:pgMar w:left="248" w:top="274" w:right="279" w:bottom="1440" w:gutter="0" w:footer="0" w:header="0"/>
        </w:sectPr>
      </w:pPr>
    </w:p>
    <w:bookmarkStart w:id="15" w:name="page16"/>
    <w:bookmarkEnd w:id="15"/>
    <w:p>
      <w:pPr>
        <w:jc w:val="both"/>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distribute, any prospectus (as defined under the Securities Act) in connection with the offering and sale of the Units other than any Preliminary Prospectus, the Prospectus, any Issuer Free Writing Prospectus, subject to the conditions in Section 1(h) of this Agreement, or other materials, if any, permitted by the Securities Act, including Rule 134 of the Rules and Regulations.</w:t>
      </w:r>
    </w:p>
    <w:p>
      <w:pPr>
        <w:spacing w:after="0" w:line="177" w:lineRule="exact"/>
        <w:rPr>
          <w:sz w:val="20"/>
          <w:szCs w:val="20"/>
          <w:color w:val="auto"/>
        </w:rPr>
      </w:pPr>
    </w:p>
    <w:p>
      <w:pPr>
        <w:ind w:right="440" w:firstLine="921"/>
        <w:spacing w:after="0" w:line="282" w:lineRule="auto"/>
        <w:tabs>
          <w:tab w:leader="none" w:pos="125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NYSE Listing of Common Units</w:t>
      </w:r>
      <w:r>
        <w:rPr>
          <w:rFonts w:ascii="Arial" w:cs="Arial" w:eastAsia="Arial" w:hAnsi="Arial"/>
          <w:sz w:val="18"/>
          <w:szCs w:val="18"/>
          <w:color w:val="auto"/>
        </w:rPr>
        <w:t>. The Common Units are listed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and prior to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Date, the Units will be approved for listing on the NYSE subject only to official notice of issuance.</w:t>
      </w:r>
    </w:p>
    <w:p>
      <w:pPr>
        <w:spacing w:after="0" w:line="165" w:lineRule="exact"/>
        <w:rPr>
          <w:rFonts w:ascii="Arial" w:cs="Arial" w:eastAsia="Arial" w:hAnsi="Arial"/>
          <w:sz w:val="18"/>
          <w:szCs w:val="18"/>
          <w:color w:val="auto"/>
        </w:rPr>
      </w:pPr>
    </w:p>
    <w:p>
      <w:pPr>
        <w:ind w:right="20" w:firstLine="921"/>
        <w:spacing w:after="0" w:line="297" w:lineRule="auto"/>
        <w:tabs>
          <w:tab w:leader="none" w:pos="117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8" w:lineRule="exact"/>
        <w:rPr>
          <w:rFonts w:ascii="Arial" w:cs="Arial" w:eastAsia="Arial" w:hAnsi="Arial"/>
          <w:sz w:val="16"/>
          <w:szCs w:val="16"/>
          <w:color w:val="auto"/>
        </w:rPr>
      </w:pPr>
    </w:p>
    <w:p>
      <w:pPr>
        <w:jc w:val="both"/>
        <w:ind w:right="180" w:firstLine="921"/>
        <w:spacing w:after="0" w:line="264" w:lineRule="auto"/>
        <w:tabs>
          <w:tab w:leader="none" w:pos="135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and officers of GP LLC in their capacities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are in compliance in all material respects with all applicable and effective provisions of the Sarbanes-Oxley Act of 2002 and the rules and regulations promulgated thereunder.</w:t>
      </w:r>
    </w:p>
    <w:p>
      <w:pPr>
        <w:spacing w:after="0" w:line="181" w:lineRule="exact"/>
        <w:rPr>
          <w:rFonts w:ascii="Arial" w:cs="Arial" w:eastAsia="Arial" w:hAnsi="Arial"/>
          <w:sz w:val="18"/>
          <w:szCs w:val="18"/>
          <w:color w:val="auto"/>
        </w:rPr>
      </w:pPr>
    </w:p>
    <w:p>
      <w:pPr>
        <w:ind w:right="20" w:firstLine="921"/>
        <w:spacing w:after="0" w:line="293" w:lineRule="auto"/>
        <w:tabs>
          <w:tab w:leader="none" w:pos="125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Partnership maintains disclosure controls and procedures (to the extent required by and as such term is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64" w:lineRule="exact"/>
        <w:rPr>
          <w:rFonts w:ascii="Arial" w:cs="Arial" w:eastAsia="Arial" w:hAnsi="Arial"/>
          <w:sz w:val="16"/>
          <w:szCs w:val="16"/>
          <w:color w:val="auto"/>
        </w:rPr>
      </w:pPr>
    </w:p>
    <w:p>
      <w:pPr>
        <w:ind w:right="100" w:firstLine="921"/>
        <w:spacing w:after="0" w:line="257" w:lineRule="auto"/>
        <w:tabs>
          <w:tab w:leader="none" w:pos="125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88" w:lineRule="exact"/>
        <w:rPr>
          <w:rFonts w:ascii="Arial" w:cs="Arial" w:eastAsia="Arial" w:hAnsi="Arial"/>
          <w:sz w:val="18"/>
          <w:szCs w:val="18"/>
          <w:color w:val="auto"/>
        </w:rPr>
      </w:pPr>
    </w:p>
    <w:p>
      <w:pPr>
        <w:jc w:val="both"/>
        <w:ind w:firstLine="921"/>
        <w:spacing w:after="0" w:line="312" w:lineRule="auto"/>
        <w:tabs>
          <w:tab w:leader="none" w:pos="125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FCPA</w:t>
      </w:r>
      <w:r>
        <w:rPr>
          <w:rFonts w:ascii="Arial" w:cs="Arial" w:eastAsia="Arial" w:hAnsi="Arial"/>
          <w:sz w:val="16"/>
          <w:szCs w:val="16"/>
          <w:color w:val="auto"/>
        </w:rPr>
        <w:t>. None of the Plains Entities or the GP Entities nor, to the knowledge of the Partnership, any director, officer, agent or employee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 w:name="page17"/>
    <w:bookmarkEnd w:id="16"/>
    <w:p>
      <w:pPr>
        <w:ind w:right="140" w:firstLine="921"/>
        <w:spacing w:after="0" w:line="342" w:lineRule="auto"/>
        <w:tabs>
          <w:tab w:leader="none" w:pos="125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Money Laundering Laws</w:t>
      </w:r>
      <w:r>
        <w:rPr>
          <w:rFonts w:ascii="Arial" w:cs="Arial" w:eastAsia="Arial" w:hAnsi="Arial"/>
          <w:sz w:val="16"/>
          <w:szCs w:val="16"/>
          <w:color w:val="auto"/>
        </w:rPr>
        <w:t>. No action, suit or proceeding by or before any court or governmental agency, authority or body or any arbitrator</w:t>
      </w:r>
      <w:r>
        <w:rPr>
          <w:rFonts w:ascii="Arial" w:cs="Arial" w:eastAsia="Arial" w:hAnsi="Arial"/>
          <w:sz w:val="16"/>
          <w:szCs w:val="16"/>
          <w:i w:val="1"/>
          <w:iCs w:val="1"/>
          <w:color w:val="auto"/>
        </w:rPr>
        <w:t xml:space="preserve"> </w:t>
      </w:r>
      <w:r>
        <w:rPr>
          <w:rFonts w:ascii="Arial" w:cs="Arial" w:eastAsia="Arial" w:hAnsi="Arial"/>
          <w:sz w:val="16"/>
          <w:szCs w:val="16"/>
          <w:color w:val="auto"/>
        </w:rPr>
        <w:t>involving the Plains Entities or the GP Entities that involve allegations of money laundering is pending or, to the knowledge of the Partnership, threatened.</w:t>
      </w:r>
    </w:p>
    <w:p>
      <w:pPr>
        <w:spacing w:after="0" w:line="123" w:lineRule="exact"/>
        <w:rPr>
          <w:rFonts w:ascii="Arial" w:cs="Arial" w:eastAsia="Arial" w:hAnsi="Arial"/>
          <w:sz w:val="16"/>
          <w:szCs w:val="16"/>
          <w:color w:val="auto"/>
        </w:rPr>
      </w:pPr>
    </w:p>
    <w:p>
      <w:pPr>
        <w:jc w:val="both"/>
        <w:ind w:right="20" w:firstLine="921"/>
        <w:spacing w:after="0" w:line="264" w:lineRule="auto"/>
        <w:tabs>
          <w:tab w:leader="none" w:pos="119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Partnership, any director, officer or employee of the Plains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or the GP Entities (in their capacity as director, officer or employee) has received notice that it is subject to any sanctions administered by the Office of Foreign Assets Control of the U.S. Treasury Department.</w:t>
      </w:r>
    </w:p>
    <w:p>
      <w:pPr>
        <w:spacing w:after="0" w:line="181" w:lineRule="exact"/>
        <w:rPr>
          <w:rFonts w:ascii="Arial" w:cs="Arial" w:eastAsia="Arial" w:hAnsi="Arial"/>
          <w:sz w:val="18"/>
          <w:szCs w:val="18"/>
          <w:color w:val="auto"/>
        </w:rPr>
      </w:pPr>
    </w:p>
    <w:p>
      <w:pPr>
        <w:ind w:right="80" w:firstLine="921"/>
        <w:spacing w:after="0" w:line="286" w:lineRule="auto"/>
        <w:tabs>
          <w:tab w:leader="none" w:pos="121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XBRL</w:t>
      </w:r>
      <w:r>
        <w:rPr>
          <w:rFonts w:ascii="Arial" w:cs="Arial" w:eastAsia="Arial" w:hAnsi="Arial"/>
          <w:sz w:val="17"/>
          <w:szCs w:val="17"/>
          <w:color w:val="auto"/>
        </w:rPr>
        <w:t>. The interactive data in eXtensible Business Reporting Language incorporated by reference in the Registration Statement, the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fairly presents the information called for in all material respects and has been prepared in accordance with the Commission’s rules and guidelines applicable thereto.</w:t>
      </w:r>
    </w:p>
    <w:p>
      <w:pPr>
        <w:spacing w:after="0" w:line="166"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7(i) and 7(l) shall be deemed representations and warranties by the Partnership, as to matters covered thereby, to the Underwriter.</w:t>
      </w:r>
    </w:p>
    <w:p>
      <w:pPr>
        <w:spacing w:after="0" w:line="170" w:lineRule="exact"/>
        <w:rPr>
          <w:sz w:val="20"/>
          <w:szCs w:val="20"/>
          <w:color w:val="auto"/>
        </w:rPr>
      </w:pPr>
    </w:p>
    <w:p>
      <w:pPr>
        <w:ind w:right="20" w:firstLine="921"/>
        <w:spacing w:after="0" w:line="264" w:lineRule="auto"/>
        <w:tabs>
          <w:tab w:leader="none" w:pos="109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(a) Subject to the terms and conditions and in reliance upon the representations and warranties herein set forth, the Partnership agrees to sell to the Underwriter, and the Underwriter agrees to purchase from the Partnership, at a purchase price of $49.59 per Unit, the number of Firm Units set forth opposite the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921"/>
        <w:spacing w:after="0" w:line="257" w:lineRule="auto"/>
        <w:tabs>
          <w:tab w:leader="none" w:pos="1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and in reliance upon the representations and warranties herein set forth, the Partnership hereby grants an option to the Underwriter to purchase up to 3,150,000 Option Units at the same purchase price per Unit as the Underwriter shall pay for the Firm Units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Said option may be exercised in whole or in part at any time and from time to time on or before the 30th day after the date of the Prospectus upon written or telegraphic notice by the Representative to the Partnership setting forth the number of Option Units as to which the Underwriter is exercising the option and the settlement date.</w:t>
      </w:r>
    </w:p>
    <w:p>
      <w:pPr>
        <w:spacing w:after="0" w:line="188" w:lineRule="exact"/>
        <w:rPr>
          <w:sz w:val="20"/>
          <w:szCs w:val="20"/>
          <w:color w:val="auto"/>
        </w:rPr>
      </w:pPr>
    </w:p>
    <w:p>
      <w:pPr>
        <w:ind w:right="240" w:firstLine="921"/>
        <w:spacing w:after="0" w:line="273" w:lineRule="auto"/>
        <w:tabs>
          <w:tab w:leader="none" w:pos="109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Firm Units and the Option Units (if the option provided for in Section 2(b) hereof shall have been exercised on or before the third business day prior to the Initial Delivery Date) shall be made at the office of Vinson &amp; Elkins L.L.P., 1001 Fannin, Houston, Texas 77002 at 9:00 a.m., Houston time, on March 3, 2015, or at such time on such later date not more than three business days after the foregoing date as the Representative shall designate, which date and time may be postponed by agreement between the Representative and the Partnership (such date and time of delivery and payment for the Units being herein called the “</w:t>
      </w:r>
      <w:r>
        <w:rPr>
          <w:rFonts w:ascii="Arial" w:cs="Arial" w:eastAsia="Arial" w:hAnsi="Arial"/>
          <w:sz w:val="17"/>
          <w:szCs w:val="17"/>
          <w:b w:val="1"/>
          <w:bCs w:val="1"/>
          <w:color w:val="auto"/>
        </w:rPr>
        <w:t>Initial Delivery Date</w:t>
      </w:r>
      <w:r>
        <w:rPr>
          <w:rFonts w:ascii="Arial" w:cs="Arial" w:eastAsia="Arial" w:hAnsi="Arial"/>
          <w:sz w:val="17"/>
          <w:szCs w:val="17"/>
          <w:color w:val="auto"/>
        </w:rPr>
        <w:t>”). Delivery of the Units shall be made to the Underwriter against payment by the Underwriter of the purchase price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17" w:name="page18"/>
    <w:bookmarkEnd w:id="17"/>
    <w:p>
      <w:pPr>
        <w:ind w:right="3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to or upon the order of the Partnership by wire transfer payable in same-day funds to an account specified by the Partnership. Delivery of the Firm Units and the Option Units shall be made through the facilities of The Depository Trust Company unless the Representative shall otherwise instruct.</w:t>
      </w:r>
    </w:p>
    <w:p>
      <w:pPr>
        <w:spacing w:after="0" w:line="124"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If the option provided for in Section 2(b) hereof is exercised after the third business day prior to the Initial Delivery Date, the Partnership will deliver the Option Units (at the expense of the Partnership) to the Representative on the date (an “</w:t>
      </w:r>
      <w:r>
        <w:rPr>
          <w:rFonts w:ascii="Arial" w:cs="Arial" w:eastAsia="Arial" w:hAnsi="Arial"/>
          <w:sz w:val="17"/>
          <w:szCs w:val="17"/>
          <w:b w:val="1"/>
          <w:bCs w:val="1"/>
          <w:color w:val="auto"/>
        </w:rPr>
        <w:t>Option Units Delivery Date</w:t>
      </w:r>
      <w:r>
        <w:rPr>
          <w:rFonts w:ascii="Arial" w:cs="Arial" w:eastAsia="Arial" w:hAnsi="Arial"/>
          <w:sz w:val="17"/>
          <w:szCs w:val="17"/>
          <w:color w:val="auto"/>
        </w:rPr>
        <w:t>”) specified by the Underwriter (which shall be within three business days after each exercise of said option), for the account of the Underwriter, against payment by the Underwriter of the purchase price thereof to or upon the order of the Partnership by wire transfer payable in same-day funds to an account specified by the Partnership. If settlement for the Option Units occurs after the Initial Delivery Date, the Partnership will deliver to the Underwriter on the Option Units Delivery Date for the Option Units, and the obligation of the Underwriter to purchase the Option Units shall be conditioned upon receipt of, supplemental opinions, certificates and letters confirming as of such date the opinions, certificates and letters delivered on the Initial Delivery Date pursuant to Section 7 hereof. The Initial Delivery Date and any Option Units Delivery Date are each sometimes referred to as a “</w:t>
      </w:r>
      <w:r>
        <w:rPr>
          <w:rFonts w:ascii="Arial" w:cs="Arial" w:eastAsia="Arial" w:hAnsi="Arial"/>
          <w:sz w:val="17"/>
          <w:szCs w:val="17"/>
          <w:b w:val="1"/>
          <w:bCs w:val="1"/>
          <w:color w:val="auto"/>
        </w:rPr>
        <w:t>Delivery Date</w:t>
      </w:r>
      <w:r>
        <w:rPr>
          <w:rFonts w:ascii="Arial" w:cs="Arial" w:eastAsia="Arial" w:hAnsi="Arial"/>
          <w:sz w:val="17"/>
          <w:szCs w:val="17"/>
          <w:color w:val="auto"/>
        </w:rPr>
        <w: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u w:val="single" w:color="auto"/>
          <w:color w:val="auto"/>
        </w:rPr>
        <w:t>Offering by the Underwriter</w:t>
      </w:r>
      <w:r>
        <w:rPr>
          <w:rFonts w:ascii="Arial" w:cs="Arial" w:eastAsia="Arial" w:hAnsi="Arial"/>
          <w:sz w:val="17"/>
          <w:szCs w:val="17"/>
          <w:color w:val="auto"/>
        </w:rPr>
        <w:t>. It is understood that the Underwriter proposes to offer the Units for sale to the public as set forth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Agreements of the Partnership</w:t>
      </w:r>
      <w:r>
        <w:rPr>
          <w:rFonts w:ascii="Arial" w:cs="Arial" w:eastAsia="Arial" w:hAnsi="Arial"/>
          <w:sz w:val="18"/>
          <w:szCs w:val="18"/>
          <w:color w:val="auto"/>
        </w:rPr>
        <w:t>. The Partnership acknowledges and agrees with the Underwriter that:</w:t>
      </w:r>
    </w:p>
    <w:p>
      <w:pPr>
        <w:spacing w:after="0" w:line="225" w:lineRule="exact"/>
        <w:rPr>
          <w:sz w:val="20"/>
          <w:szCs w:val="20"/>
          <w:color w:val="auto"/>
        </w:rPr>
      </w:pPr>
    </w:p>
    <w:p>
      <w:pPr>
        <w:ind w:right="80" w:firstLine="921"/>
        <w:spacing w:after="0" w:line="259" w:lineRule="auto"/>
        <w:tabs>
          <w:tab w:leader="none" w:pos="115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 Statement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effective before the offering of the Units may commence, the Partnership will endeavor to cause such post-effective amendment to become effective as soon as possible and will advise the Representative promptly and, if requested by the Representative, will confirm such advice in writing when such post-effective amendment has become effective.</w:t>
      </w:r>
    </w:p>
    <w:p>
      <w:pPr>
        <w:spacing w:after="0" w:line="186" w:lineRule="exact"/>
        <w:rPr>
          <w:rFonts w:ascii="Arial" w:cs="Arial" w:eastAsia="Arial" w:hAnsi="Arial"/>
          <w:sz w:val="18"/>
          <w:szCs w:val="18"/>
          <w:color w:val="auto"/>
        </w:rPr>
      </w:pPr>
    </w:p>
    <w:p>
      <w:pPr>
        <w:ind w:firstLine="921"/>
        <w:spacing w:after="0" w:line="253"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Preparation of Prospectus and Registration Statement</w:t>
      </w:r>
      <w:r>
        <w:rPr>
          <w:rFonts w:ascii="Arial" w:cs="Arial" w:eastAsia="Arial" w:hAnsi="Arial"/>
          <w:sz w:val="18"/>
          <w:szCs w:val="18"/>
          <w:color w:val="auto"/>
        </w:rPr>
        <w:t>. The Partnership will advise the Representative promptly and, if requested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jc w:val="both"/>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1" w:lineRule="exact"/>
        <w:rPr>
          <w:sz w:val="20"/>
          <w:szCs w:val="20"/>
          <w:color w:val="auto"/>
        </w:rPr>
      </w:pPr>
    </w:p>
    <w:p>
      <w:pPr>
        <w:ind w:firstLine="921"/>
        <w:spacing w:after="0" w:line="276" w:lineRule="auto"/>
        <w:tabs>
          <w:tab w:leader="none" w:pos="1157"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Copies of Registration Statement</w:t>
      </w:r>
      <w:r>
        <w:rPr>
          <w:rFonts w:ascii="Arial" w:cs="Arial" w:eastAsia="Arial" w:hAnsi="Arial"/>
          <w:sz w:val="17"/>
          <w:szCs w:val="17"/>
          <w:color w:val="auto"/>
        </w:rPr>
        <w:t>. The Partnership will furnish to the Underwriter, without charge, (i) such number of conformed copies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corresponding to the Commission’s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version filed with the Commission and of each amendment thereto, including financial statements and all exhibits to the registration statement, as the Underwriter or the Underwriter’s counsel may reasonably request, (ii) such number of copies of the Incorporated Documents, without exhibits, as the Underwriter may request, and (iii) such number of copies of the exhibits to the Incorporated Documents as the Underwriter may request.</w:t>
      </w:r>
    </w:p>
    <w:p>
      <w:pPr>
        <w:spacing w:after="0" w:line="172" w:lineRule="exact"/>
        <w:rPr>
          <w:rFonts w:ascii="Arial" w:cs="Arial" w:eastAsia="Arial" w:hAnsi="Arial"/>
          <w:sz w:val="17"/>
          <w:szCs w:val="17"/>
          <w:color w:val="auto"/>
        </w:rPr>
      </w:pPr>
    </w:p>
    <w:p>
      <w:pPr>
        <w:ind w:right="20" w:firstLine="921"/>
        <w:spacing w:after="0" w:line="271" w:lineRule="auto"/>
        <w:tabs>
          <w:tab w:leader="none" w:pos="116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For such period as in the opinion of counsel for the Underwriter a prospectus is required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to be delivered in connection with sales by the Underwriter or any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 Writing Prospectus of which the Representative shall not previously have been advised or to which the Representative shall have reasonably objected in writing after being so advised unless the Partnership shall have determined based upon the advice of counsel that such amendment, supplement or other filing is required by law; and the Partnership will promptly notify the Representative after it shall have received notice thereof of the time when any amendment to the Registration Statement becomes effective or when any supplement to the Prospectus has been filed.</w:t>
      </w:r>
    </w:p>
    <w:p>
      <w:pPr>
        <w:spacing w:after="0" w:line="178" w:lineRule="exact"/>
        <w:rPr>
          <w:rFonts w:ascii="Arial" w:cs="Arial" w:eastAsia="Arial" w:hAnsi="Arial"/>
          <w:sz w:val="17"/>
          <w:szCs w:val="17"/>
          <w:color w:val="auto"/>
        </w:rPr>
      </w:pPr>
    </w:p>
    <w:p>
      <w:pPr>
        <w:ind w:right="40" w:firstLine="921"/>
        <w:spacing w:after="0" w:line="288" w:lineRule="auto"/>
        <w:tabs>
          <w:tab w:leader="none" w:pos="115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Copies of Documents to the Underwriter</w:t>
      </w:r>
      <w:r>
        <w:rPr>
          <w:rFonts w:ascii="Arial" w:cs="Arial" w:eastAsia="Arial" w:hAnsi="Arial"/>
          <w:sz w:val="16"/>
          <w:szCs w:val="16"/>
          <w:color w:val="auto"/>
        </w:rPr>
        <w:t>. As soon after the Applicable Time as possible and thereafter from time to time for such period as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counsel for the Underwriter a prospectus is required by the Securities Act to be delivered in connection with sales by the Underwriter or any dealer, the Partnership will expeditiously deliver to the Underwriter and each dealer that the Underwriter may specify, without charge, as many copies of the Prospectus (and of any amendment or supplement thereto) as the Underwriter may reasonably request. At any time after nine months after the time of issuance of the Prospectus, upon request and without charge, the Partnership will deliver as many copies of an amended or supplemented Prospectus complying with Section 10(a)(3) of the Securities Act as the Underwriter may reasonably request, provided that a prospectus is required by the Securities Act to be delivered in connection with sales of Units by the Underwriter or any dealer. The Partnership consents to the use of the Prospectus (and of any amendment or supplement thereto) in accordance with the provisions of the Securities Act and with the securities or Blue Sky laws of the jurisdictions in which the Units are offered by the Underwriter and by all dealers to whom Units may be sold, both in connection with the offering and sale of the Units and for such period of time thereafter as the Prospectus is required by the Securities Act to be delivered 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sales by the Underwriter or any dealer. If during such period of time any event shall occur that in the judgment of the Partnership or in the opinion of counsel for the Underwriter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 document), and will expeditiously furnish to the Underwriter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 agree that the Prospectus should be amended or supplemented, the Partnership, if requested by the Representative,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173" w:lineRule="exact"/>
        <w:rPr>
          <w:sz w:val="20"/>
          <w:szCs w:val="20"/>
          <w:color w:val="auto"/>
        </w:rPr>
      </w:pPr>
    </w:p>
    <w:p>
      <w:pPr>
        <w:ind w:right="20" w:firstLine="921"/>
        <w:spacing w:after="0" w:line="291" w:lineRule="auto"/>
        <w:tabs>
          <w:tab w:leader="none" w:pos="1138"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Blue Sky Laws</w:t>
      </w:r>
      <w:r>
        <w:rPr>
          <w:rFonts w:ascii="Arial" w:cs="Arial" w:eastAsia="Arial" w:hAnsi="Arial"/>
          <w:sz w:val="16"/>
          <w:szCs w:val="16"/>
          <w:color w:val="auto"/>
        </w:rPr>
        <w:t>. The Partnership will cooperate with the Representative and with counsel for the Underwriter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or qualification of the Units for offering and sale by the Underwriter and by dealers under the securities or Blue Sky laws of such jurisdictions as the Underwriter may reasonably designate and will file such 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Representative of the receipt by the Partnership of any notification with respect to the suspension of the qualification of the Units for sale in any jurisdiction or the initiation or threatening of any proceeding for such purpose.</w:t>
      </w:r>
    </w:p>
    <w:p>
      <w:pPr>
        <w:spacing w:after="0" w:line="167" w:lineRule="exact"/>
        <w:rPr>
          <w:rFonts w:ascii="Arial" w:cs="Arial" w:eastAsia="Arial" w:hAnsi="Arial"/>
          <w:sz w:val="16"/>
          <w:szCs w:val="16"/>
          <w:color w:val="auto"/>
        </w:rPr>
      </w:pPr>
    </w:p>
    <w:p>
      <w:pPr>
        <w:ind w:right="20" w:firstLine="921"/>
        <w:spacing w:after="0" w:line="259"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Reports to Security Holders</w:t>
      </w:r>
      <w:r>
        <w:rPr>
          <w:rFonts w:ascii="Arial" w:cs="Arial" w:eastAsia="Arial" w:hAnsi="Arial"/>
          <w:sz w:val="18"/>
          <w:szCs w:val="18"/>
          <w:color w:val="auto"/>
        </w:rPr>
        <w:t>. In accordance with Section 11(a) of the Securities Act and Rule 158 of the Rules and Regulations,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86" w:lineRule="exact"/>
        <w:rPr>
          <w:rFonts w:ascii="Arial" w:cs="Arial" w:eastAsia="Arial" w:hAnsi="Arial"/>
          <w:sz w:val="18"/>
          <w:szCs w:val="18"/>
          <w:color w:val="auto"/>
        </w:rPr>
      </w:pPr>
    </w:p>
    <w:p>
      <w:pPr>
        <w:ind w:right="180" w:firstLine="921"/>
        <w:spacing w:after="0" w:line="259"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Copies of Reports</w:t>
      </w:r>
      <w:r>
        <w:rPr>
          <w:rFonts w:ascii="Arial" w:cs="Arial" w:eastAsia="Arial" w:hAnsi="Arial"/>
          <w:sz w:val="18"/>
          <w:szCs w:val="18"/>
          <w:color w:val="auto"/>
        </w:rPr>
        <w:t>. Unless otherwise available on EDGAR, during the period of two years hereafter, the Partnership will furnish or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Underwriter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the Underwriter may reasonably request.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 w:name="page21"/>
    <w:bookmarkEnd w:id="20"/>
    <w:p>
      <w:pPr>
        <w:ind w:left="-40" w:right="100" w:firstLine="921"/>
        <w:spacing w:after="0" w:line="257" w:lineRule="auto"/>
        <w:tabs>
          <w:tab w:leader="none" w:pos="108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Expenses</w:t>
      </w:r>
      <w:r>
        <w:rPr>
          <w:rFonts w:ascii="Arial" w:cs="Arial" w:eastAsia="Arial" w:hAnsi="Arial"/>
          <w:sz w:val="18"/>
          <w:szCs w:val="18"/>
          <w:color w:val="auto"/>
        </w:rPr>
        <w:t>. If this Agreement shall terminate or shall be terminated after execution pursuant to any provisions hereof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than pursuant to Section 10 hereof (except pursuant to the first clause of Section 10(i))) or if this Agreement shall be terminated by the Underwriter because of any failure or refusal on the part of the Partnership to comply with the terms or fulfill any of the conditions of this Agreement, the Partnership agrees to reimburse the Underwriter for all reasonable out-of-pocket expenses (including reasonable fees and expenses of counsel for the Underwriter) incurred by the Underwriter in connection herewith.</w:t>
      </w:r>
    </w:p>
    <w:p>
      <w:pPr>
        <w:spacing w:after="0" w:line="188" w:lineRule="exact"/>
        <w:rPr>
          <w:rFonts w:ascii="Arial" w:cs="Arial" w:eastAsia="Arial" w:hAnsi="Arial"/>
          <w:sz w:val="18"/>
          <w:szCs w:val="18"/>
          <w:color w:val="auto"/>
        </w:rPr>
      </w:pPr>
    </w:p>
    <w:p>
      <w:pPr>
        <w:ind w:left="-40" w:right="280" w:firstLine="921"/>
        <w:spacing w:after="0" w:line="277" w:lineRule="auto"/>
        <w:tabs>
          <w:tab w:leader="none" w:pos="108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Application of Proceeds</w:t>
      </w:r>
      <w:r>
        <w:rPr>
          <w:rFonts w:ascii="Arial" w:cs="Arial" w:eastAsia="Arial" w:hAnsi="Arial"/>
          <w:sz w:val="18"/>
          <w:szCs w:val="18"/>
          <w:color w:val="auto"/>
        </w:rPr>
        <w:t>. The Partnership will apply the net proceeds from the sale of the Units in accordance with the description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caption “Use of Proceeds” in the Pricing Disclosure Package and the Prospectus.</w:t>
      </w:r>
    </w:p>
    <w:p>
      <w:pPr>
        <w:spacing w:after="0" w:line="170" w:lineRule="exact"/>
        <w:rPr>
          <w:rFonts w:ascii="Arial" w:cs="Arial" w:eastAsia="Arial" w:hAnsi="Arial"/>
          <w:sz w:val="18"/>
          <w:szCs w:val="18"/>
          <w:color w:val="auto"/>
        </w:rPr>
      </w:pPr>
    </w:p>
    <w:p>
      <w:pPr>
        <w:ind w:left="-40" w:right="160" w:firstLine="921"/>
        <w:spacing w:after="0" w:line="277" w:lineRule="auto"/>
        <w:tabs>
          <w:tab w:leader="none" w:pos="112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Partnership will timely file the Prospectus, and any amendment or supplement thereto, pursuant to Rule 424(b)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Rules and Regulations and will advise the Underwriter of the time and manner of such filing.</w:t>
      </w:r>
    </w:p>
    <w:p>
      <w:pPr>
        <w:spacing w:after="0" w:line="170" w:lineRule="exact"/>
        <w:rPr>
          <w:rFonts w:ascii="Arial" w:cs="Arial" w:eastAsia="Arial" w:hAnsi="Arial"/>
          <w:sz w:val="18"/>
          <w:szCs w:val="18"/>
          <w:color w:val="auto"/>
        </w:rPr>
      </w:pPr>
    </w:p>
    <w:p>
      <w:pPr>
        <w:ind w:left="-40" w:firstLine="921"/>
        <w:spacing w:after="0" w:line="286" w:lineRule="auto"/>
        <w:tabs>
          <w:tab w:leader="none" w:pos="1088"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Lock-Up Period</w:t>
      </w:r>
      <w:r>
        <w:rPr>
          <w:rFonts w:ascii="Arial" w:cs="Arial" w:eastAsia="Arial" w:hAnsi="Arial"/>
          <w:sz w:val="16"/>
          <w:szCs w:val="16"/>
          <w:color w:val="auto"/>
        </w:rPr>
        <w:t>. Except as provided in this Agreement, the Partnership will not (i) offer, sell, contract to sell, pledge or otherwise dispose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Common Units, or publicly announce an intention to effect any such transaction or (ii) grant any options or warrants to purchase Common Units for a period of 45 days after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without the prior written consent of the Underwriter, except that (A) the Partnership may issue the Units, (B) the Partnership may issue Common Units or any securities convertible or exchangeable into Common Units as payment of any part of the purchase price for businesses that are acquired by the Partnership and its affiliates or any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recipient of such Common Units must agree in writing to be bound by the terms of this Section 5(l) for the remaining term of the Lock-Up Period, (C) the Partnership may issue and sell Common Units or securities convertible into or exchangeable for Common Units pursuant to any existing long-term incentive plan, employee unit option plan, unit ownership plan or dividend reinvestment plan of the Partnership (or adopted by a GP Entity) in effect at the Applicable Time and (D) the Partnership may issue or deliver Common Units issuable upon the conversion, vesting or exercise of securities (including long-term incentive plan awards, options and warrants) outstanding at the Applicable Time.</w:t>
      </w:r>
    </w:p>
    <w:p>
      <w:pPr>
        <w:spacing w:after="0" w:line="168" w:lineRule="exact"/>
        <w:rPr>
          <w:rFonts w:ascii="Arial" w:cs="Arial" w:eastAsia="Arial" w:hAnsi="Arial"/>
          <w:sz w:val="16"/>
          <w:szCs w:val="16"/>
          <w:color w:val="auto"/>
        </w:rPr>
      </w:pPr>
    </w:p>
    <w:p>
      <w:pPr>
        <w:ind w:left="-40" w:right="60" w:firstLine="921"/>
        <w:spacing w:after="0" w:line="264" w:lineRule="auto"/>
        <w:tabs>
          <w:tab w:leader="none" w:pos="117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Partnership has not taken, nor will it take, directly or indirectly,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designed to or that might reasonably be expected to cause or result in stabilization or manipulation of the price of the Common Units to facilitate the sale or resale of the Units.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74" w:right="259" w:bottom="1440" w:gutter="0" w:footer="0" w:header="0"/>
        </w:sectPr>
      </w:pPr>
    </w:p>
    <w:bookmarkStart w:id="21" w:name="page22"/>
    <w:bookmarkEnd w:id="21"/>
    <w:p>
      <w:pPr>
        <w:ind w:left="-20" w:right="200" w:firstLine="921"/>
        <w:spacing w:after="0" w:line="264" w:lineRule="auto"/>
        <w:tabs>
          <w:tab w:leader="none" w:pos="114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w:t>
      </w:r>
      <w:r>
        <w:rPr>
          <w:rFonts w:ascii="Arial" w:cs="Arial" w:eastAsia="Arial" w:hAnsi="Arial"/>
          <w:sz w:val="18"/>
          <w:szCs w:val="18"/>
          <w:color w:val="auto"/>
        </w:rPr>
        <w:t>. The Partnership will take such steps as shall be necessary to ensure that none of the Plains Entities or the GP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become an “investment company” within the meaning of such term under the Investment Company Act, and the rules and regulations of the Commission thereunder.</w:t>
      </w:r>
    </w:p>
    <w:p>
      <w:pPr>
        <w:spacing w:after="0" w:line="181" w:lineRule="exact"/>
        <w:rPr>
          <w:rFonts w:ascii="Arial" w:cs="Arial" w:eastAsia="Arial" w:hAnsi="Arial"/>
          <w:sz w:val="18"/>
          <w:szCs w:val="18"/>
          <w:color w:val="auto"/>
        </w:rPr>
      </w:pPr>
    </w:p>
    <w:p>
      <w:pPr>
        <w:ind w:left="-20" w:right="320" w:firstLine="921"/>
        <w:spacing w:after="0" w:line="277" w:lineRule="auto"/>
        <w:tabs>
          <w:tab w:leader="none" w:pos="114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Additional Capital Contributions</w:t>
      </w:r>
      <w:r>
        <w:rPr>
          <w:rFonts w:ascii="Arial" w:cs="Arial" w:eastAsia="Arial" w:hAnsi="Arial"/>
          <w:sz w:val="18"/>
          <w:szCs w:val="18"/>
          <w:color w:val="auto"/>
        </w:rPr>
        <w:t>. Upon the issuance of the Units by the Partnership, the General Partner shall make the additional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 the Partnership as required by Section 5.2(b) of the Partnership Agreement.</w:t>
      </w:r>
    </w:p>
    <w:p>
      <w:pPr>
        <w:spacing w:after="0" w:line="170" w:lineRule="exact"/>
        <w:rPr>
          <w:rFonts w:ascii="Arial" w:cs="Arial" w:eastAsia="Arial" w:hAnsi="Arial"/>
          <w:sz w:val="18"/>
          <w:szCs w:val="18"/>
          <w:color w:val="auto"/>
        </w:rPr>
      </w:pPr>
    </w:p>
    <w:p>
      <w:pPr>
        <w:ind w:left="-20" w:right="180" w:firstLine="921"/>
        <w:spacing w:after="0" w:line="308" w:lineRule="auto"/>
        <w:tabs>
          <w:tab w:leader="none" w:pos="114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Exchange Act Reports</w:t>
      </w:r>
      <w:r>
        <w:rPr>
          <w:rFonts w:ascii="Arial" w:cs="Arial" w:eastAsia="Arial" w:hAnsi="Arial"/>
          <w:sz w:val="17"/>
          <w:szCs w:val="17"/>
          <w:color w:val="auto"/>
        </w:rPr>
        <w:t>. The Partnership, during the period when the Prospectus is required to be delivered under the Securities Act, will file</w:t>
      </w:r>
      <w:r>
        <w:rPr>
          <w:rFonts w:ascii="Arial" w:cs="Arial" w:eastAsia="Arial" w:hAnsi="Arial"/>
          <w:sz w:val="17"/>
          <w:szCs w:val="17"/>
          <w:i w:val="1"/>
          <w:iCs w:val="1"/>
          <w:color w:val="auto"/>
        </w:rPr>
        <w:t xml:space="preserve"> </w:t>
      </w:r>
      <w:r>
        <w:rPr>
          <w:rFonts w:ascii="Arial" w:cs="Arial" w:eastAsia="Arial" w:hAnsi="Arial"/>
          <w:sz w:val="17"/>
          <w:szCs w:val="17"/>
          <w:color w:val="auto"/>
        </w:rPr>
        <w:t>all documents required to be filed with the Commission pursuant to the Exchange Act within the time periods required by the Exchange Act.</w:t>
      </w:r>
    </w:p>
    <w:p>
      <w:pPr>
        <w:spacing w:after="0" w:line="146" w:lineRule="exact"/>
        <w:rPr>
          <w:rFonts w:ascii="Arial" w:cs="Arial" w:eastAsia="Arial" w:hAnsi="Arial"/>
          <w:sz w:val="17"/>
          <w:szCs w:val="17"/>
          <w:color w:val="auto"/>
        </w:rPr>
      </w:pPr>
    </w:p>
    <w:p>
      <w:pPr>
        <w:ind w:left="-20" w:right="20" w:firstLine="921"/>
        <w:spacing w:after="0" w:line="287" w:lineRule="auto"/>
        <w:tabs>
          <w:tab w:leader="none" w:pos="1148"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Free Writing Prospectuses</w:t>
      </w:r>
      <w:r>
        <w:rPr>
          <w:rFonts w:ascii="Arial" w:cs="Arial" w:eastAsia="Arial" w:hAnsi="Arial"/>
          <w:sz w:val="16"/>
          <w:szCs w:val="16"/>
          <w:color w:val="auto"/>
        </w:rPr>
        <w:t>. The Partnership has complied and will comply with the requirements of Rule 433 of the Rules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to any Issuer Free Writing Prospectus, including appropriate legending and timely filing with the Commission or retention where required. The Partnership represents that it has satisfied and agrees that it will satisfy the conditions under Rule 433 under the Rules and Regulations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 and, if requested by the Representative, will prepare and furnish without charge to the Underwriter an Issuer Free Writing Prospectus or other document that will correct such conflict,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representation and warranty shall not apply to any statements or omissions in an Issuer Free Writing Prospectus made in reliance upon and in conformity with information furnished in writing to the Partnership by an Underwriter through the Representative expressly for use therein, which information is specified in Section 12.</w:t>
      </w:r>
    </w:p>
    <w:p>
      <w:pPr>
        <w:spacing w:after="0" w:line="173" w:lineRule="exact"/>
        <w:rPr>
          <w:sz w:val="20"/>
          <w:szCs w:val="20"/>
          <w:color w:val="auto"/>
        </w:rPr>
      </w:pPr>
    </w:p>
    <w:p>
      <w:pPr>
        <w:ind w:left="1080" w:hanging="179"/>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54" w:lineRule="auto"/>
        <w:tabs>
          <w:tab w:leader="none" w:pos="11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Partnership agrees to indemnify and hold harmless the Underwriter, the directors, officers, employees and agents of the Underwriter, each affiliate of the Underwriter who has participated in the distribution of the Units as underwriters, each broker-dealer affiliate of the Underwriter and each other affiliate of the Underwriter within the meaning of Rule 405 of the Rules and Regulations, and each person, if any, who controls the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22" w:name="page23"/>
    <w:bookmarkEnd w:id="2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“road show” (as defined in Rule 433 of the Rules and Regulations) not constituting an Issuer Free Writing Prospectus (a “</w:t>
      </w:r>
      <w:r>
        <w:rPr>
          <w:rFonts w:ascii="Arial" w:cs="Arial" w:eastAsia="Arial" w:hAnsi="Arial"/>
          <w:sz w:val="16"/>
          <w:szCs w:val="16"/>
          <w:b w:val="1"/>
          <w:bCs w:val="1"/>
          <w:color w:val="auto"/>
        </w:rPr>
        <w:t>Non-Prospectus Road Show</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the Underwriter and each such director, officer, employee or controlling person promptly upon demand for any legal or other expenses reasonably incurred by the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Partnership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the Underwriter furnished to the Partnership through the Representative specifically for inclusion therein, which information consists solely of the information specified in Section 12. The foregoing indemnity agreement is in addition to any liability that the Partnership may otherwise have to the Underwriter or to any director, officer, employee or controlling person of the Underwriter.</w:t>
      </w:r>
    </w:p>
    <w:p>
      <w:pPr>
        <w:spacing w:after="0" w:line="169" w:lineRule="exact"/>
        <w:rPr>
          <w:sz w:val="20"/>
          <w:szCs w:val="20"/>
          <w:color w:val="auto"/>
        </w:rPr>
      </w:pPr>
    </w:p>
    <w:p>
      <w:pPr>
        <w:ind w:firstLine="921"/>
        <w:spacing w:after="0" w:line="283" w:lineRule="auto"/>
        <w:tabs>
          <w:tab w:leader="none" w:pos="1168"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the Underwriter, any director, officer, employee or agent of the Underwriter or any person controlling the Underwriter in respect of which indemnity may be sought against the Partnership, the Underwriter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The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the Underwriter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w:t>
      </w:r>
    </w:p>
    <w:p>
      <w:pPr>
        <w:spacing w:after="0" w:line="6" w:lineRule="exact"/>
        <w:rPr>
          <w:rFonts w:ascii="Arial" w:cs="Arial" w:eastAsia="Arial" w:hAnsi="Arial"/>
          <w:sz w:val="16"/>
          <w:szCs w:val="16"/>
          <w:color w:val="auto"/>
        </w:rPr>
      </w:pPr>
    </w:p>
    <w:p>
      <w:pPr>
        <w:ind w:right="20" w:firstLine="8"/>
        <w:spacing w:after="0" w:line="270" w:lineRule="auto"/>
        <w:tabs>
          <w:tab w:leader="none" w:pos="3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23" w:name="page24"/>
    <w:bookmarkEnd w:id="23"/>
    <w:p>
      <w:pPr>
        <w:ind w:left="-8" w:firstLine="921"/>
        <w:spacing w:after="0" w:line="268" w:lineRule="auto"/>
        <w:tabs>
          <w:tab w:leader="none" w:pos="1150" w:val="left"/>
        </w:tabs>
        <w:numPr>
          <w:ilvl w:val="1"/>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agrees to indemnify and hold harmless the Partnership, GP LLC’s directors and the officers who sign the Registration Statement, and any person who controls the Partnership within the meaning of Section 15 of the Securities Act or Section 20 of the Exchange Act, to the same extent as the foregoing indemnity from the Partnership to the Underwriter, but only with respect to information furnished in writing by or on behalf of the Underwriter through the Representative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the Partnership,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the Underwriter pursuant to this paragraph (c), the Underwriter shall have the rights and duties given to the Partnership by paragraph (b) above (except that if the Partnership shall have assumed the defense thereof the Underwriter shall not be required to do so, but may employ separate counsel therein and participate in (but not control) the defense thereof, but the fees and expenses of such counsel shall be at the Underwriter’s expense), and the Partnership, any of such directors and officers and any such controlling person shall have the rights and duties given to the Underwriter by paragraph (b) above. The foregoing indemnity agreement shall be in addition to any liability that the Underwriter may otherwise have.</w:t>
      </w:r>
    </w:p>
    <w:p>
      <w:pPr>
        <w:spacing w:after="0" w:line="187" w:lineRule="exact"/>
        <w:rPr>
          <w:rFonts w:ascii="Arial" w:cs="Arial" w:eastAsia="Arial" w:hAnsi="Arial"/>
          <w:sz w:val="17"/>
          <w:szCs w:val="17"/>
          <w:color w:val="auto"/>
        </w:rPr>
      </w:pPr>
    </w:p>
    <w:p>
      <w:pPr>
        <w:ind w:left="-8" w:right="20" w:firstLine="921"/>
        <w:spacing w:after="0" w:line="286" w:lineRule="auto"/>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Underwriter on the other hand from the offering of the Units, or</w:t>
      </w:r>
    </w:p>
    <w:p>
      <w:pPr>
        <w:spacing w:after="0" w:line="1" w:lineRule="exact"/>
        <w:rPr>
          <w:rFonts w:ascii="Arial" w:cs="Arial" w:eastAsia="Arial" w:hAnsi="Arial"/>
          <w:sz w:val="16"/>
          <w:szCs w:val="16"/>
          <w:color w:val="auto"/>
        </w:rPr>
      </w:pPr>
    </w:p>
    <w:p>
      <w:pPr>
        <w:ind w:left="-8" w:right="20" w:firstLine="8"/>
        <w:spacing w:after="0" w:line="287" w:lineRule="auto"/>
        <w:tabs>
          <w:tab w:leader="none" w:pos="2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Partnership on the one hand and the Underwriter on the other in connection with the statements or omissions that resulted in such losses, claims, damages, liabilities or expenses, as well as any other relevant equitable considerations. The relative benefits received by the Partnership on the one hand and the Underwriter on the other shall be deemed to be in the same proportion as the total net proceeds from the offering (before deducting expenses) received by the Partnership bear to the total underwriting discounts and commissions received by the Underwriter, in each case as set forth in the table on the cover page of the Prospectus. The relative fault of the Partnership on the one hand and the Underwriter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Underwriter on the other hand, and the parties’ relative intent, knowledge, access to information and opportunity to correct or prevent such statement or omission.</w:t>
      </w:r>
    </w:p>
    <w:p>
      <w:pPr>
        <w:spacing w:after="0" w:line="166" w:lineRule="exact"/>
        <w:rPr>
          <w:rFonts w:ascii="Arial" w:cs="Arial" w:eastAsia="Arial" w:hAnsi="Arial"/>
          <w:sz w:val="16"/>
          <w:szCs w:val="16"/>
          <w:color w:val="auto"/>
        </w:rPr>
      </w:pPr>
    </w:p>
    <w:p>
      <w:pPr>
        <w:ind w:left="-8" w:right="220" w:firstLine="921"/>
        <w:spacing w:after="0" w:line="277" w:lineRule="auto"/>
        <w:tabs>
          <w:tab w:leader="none" w:pos="11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Partnership and the Underwriter agree that it would not be just and equitable if contribution pursuant to this Section 6 were determined by a pro rata allocation or by</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74" w:right="239" w:bottom="1440" w:gutter="0" w:footer="0" w:header="0"/>
        </w:sectPr>
      </w:pPr>
    </w:p>
    <w:bookmarkStart w:id="24" w:name="page25"/>
    <w:bookmarkEnd w:id="2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Units underwritten by it and distributed to the public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2" w:lineRule="exact"/>
        <w:rPr>
          <w:sz w:val="20"/>
          <w:szCs w:val="20"/>
          <w:color w:val="auto"/>
        </w:rPr>
      </w:pPr>
    </w:p>
    <w:p>
      <w:pPr>
        <w:ind w:right="60" w:firstLine="921"/>
        <w:spacing w:after="0" w:line="271" w:lineRule="auto"/>
        <w:tabs>
          <w:tab w:leader="none" w:pos="11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78" w:lineRule="exact"/>
        <w:rPr>
          <w:rFonts w:ascii="Arial" w:cs="Arial" w:eastAsia="Arial" w:hAnsi="Arial"/>
          <w:sz w:val="17"/>
          <w:szCs w:val="17"/>
          <w:color w:val="auto"/>
        </w:rPr>
      </w:pPr>
    </w:p>
    <w:p>
      <w:pPr>
        <w:ind w:firstLine="921"/>
        <w:spacing w:after="0" w:line="271" w:lineRule="auto"/>
        <w:tabs>
          <w:tab w:leader="none" w:pos="11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Partnership set forth in this Agreement shall remain operative and in full force and effect, regardless of (i) any investigation made by or on behalf of the Underwriter or any person controlling the Underwriter, the Partnership or any of GP LLC’s directors or officers or any person controlling the Partnership, (ii) acceptance of any Units and payment therefor in accordance with the terms of this Agreement, and (iii) any termination of this Agreement. A successor to the Underwriter or any person controlling the Underwriter, or to the Partnership, GP LLC or any of their respective directors or officers or any person controlling the Partnership shall be entitled to the benefits of the indemnity, contribution and reimbursement agreements contained in this Section 6.</w:t>
      </w:r>
    </w:p>
    <w:p>
      <w:pPr>
        <w:spacing w:after="0" w:line="179" w:lineRule="exact"/>
        <w:rPr>
          <w:sz w:val="20"/>
          <w:szCs w:val="20"/>
          <w:color w:val="auto"/>
        </w:rPr>
      </w:pPr>
    </w:p>
    <w:p>
      <w:pPr>
        <w:ind w:right="200" w:firstLine="921"/>
        <w:spacing w:after="0" w:line="277" w:lineRule="auto"/>
        <w:tabs>
          <w:tab w:leader="none" w:pos="109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w:t>
      </w:r>
      <w:r>
        <w:rPr>
          <w:rFonts w:ascii="Arial" w:cs="Arial" w:eastAsia="Arial" w:hAnsi="Arial"/>
          <w:sz w:val="18"/>
          <w:szCs w:val="18"/>
          <w:color w:val="auto"/>
        </w:rPr>
        <w:t>. The obligations of the Underwriter to purchase the Firm Units and the Option Units, as the case may be, hereunder are subject to the following conditions:</w:t>
      </w:r>
    </w:p>
    <w:p>
      <w:pPr>
        <w:spacing w:after="0" w:line="170" w:lineRule="exact"/>
        <w:rPr>
          <w:sz w:val="20"/>
          <w:szCs w:val="20"/>
          <w:color w:val="auto"/>
        </w:rPr>
      </w:pPr>
    </w:p>
    <w:p>
      <w:pPr>
        <w:ind w:right="240" w:firstLine="921"/>
        <w:spacing w:after="0" w:line="277"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filings required by Rule 424 and Rule 430B of the Rules and Regulations shall have been made. All material required to be filed by the Partnership pursuant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Rule 433(d) of the Rules and Regulations shall have been filed with the Commission within the applicable time period prescribed for such filing by</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the Underwriter, threatened by the Commission, and any request of the Commission for additional information (to be included in the Registration Statement or the Prospectus or otherwise) shall have been complied with to the reasonable satisfaction of the Representative.</w:t>
      </w:r>
    </w:p>
    <w:p>
      <w:pPr>
        <w:spacing w:after="0" w:line="191" w:lineRule="exact"/>
        <w:rPr>
          <w:sz w:val="20"/>
          <w:szCs w:val="20"/>
          <w:color w:val="auto"/>
        </w:rPr>
      </w:pPr>
    </w:p>
    <w:p>
      <w:pPr>
        <w:ind w:firstLine="921"/>
        <w:spacing w:after="0" w:line="254"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Underwriter and its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Units.</w:t>
      </w:r>
    </w:p>
    <w:p>
      <w:pPr>
        <w:spacing w:after="0" w:line="192" w:lineRule="exact"/>
        <w:rPr>
          <w:rFonts w:ascii="Arial" w:cs="Arial" w:eastAsia="Arial" w:hAnsi="Arial"/>
          <w:sz w:val="18"/>
          <w:szCs w:val="18"/>
          <w:color w:val="auto"/>
        </w:rPr>
      </w:pPr>
    </w:p>
    <w:p>
      <w:pPr>
        <w:ind w:right="140" w:firstLine="921"/>
        <w:spacing w:after="0" w:line="277" w:lineRule="auto"/>
        <w:tabs>
          <w:tab w:leader="none" w:pos="11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Vinson &amp; Elkins L.L.P., counsel for the Partnership, dated the applicable Delivery Date and addressed to the Underwriter, to the effect that:</w:t>
      </w:r>
    </w:p>
    <w:p>
      <w:pPr>
        <w:spacing w:after="0" w:line="62" w:lineRule="exact"/>
        <w:rPr>
          <w:sz w:val="20"/>
          <w:szCs w:val="20"/>
          <w:color w:val="auto"/>
        </w:rPr>
      </w:pPr>
    </w:p>
    <w:p>
      <w:pPr>
        <w:ind w:left="920" w:right="220" w:firstLine="1"/>
        <w:spacing w:after="0" w:line="259" w:lineRule="auto"/>
        <w:tabs>
          <w:tab w:leader="none" w:pos="1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the Partnership,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78" w:lineRule="exact"/>
        <w:rPr>
          <w:rFonts w:ascii="Arial" w:cs="Arial" w:eastAsia="Arial" w:hAnsi="Arial"/>
          <w:sz w:val="18"/>
          <w:szCs w:val="18"/>
          <w:color w:val="auto"/>
        </w:rPr>
      </w:pPr>
    </w:p>
    <w:p>
      <w:pPr>
        <w:ind w:left="920" w:right="120" w:firstLine="1"/>
        <w:spacing w:after="0" w:line="264" w:lineRule="auto"/>
        <w:tabs>
          <w:tab w:leader="none" w:pos="11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w:t>
      </w:r>
    </w:p>
    <w:p>
      <w:pPr>
        <w:spacing w:after="0" w:line="73" w:lineRule="exact"/>
        <w:rPr>
          <w:rFonts w:ascii="Arial" w:cs="Arial" w:eastAsia="Arial" w:hAnsi="Arial"/>
          <w:sz w:val="18"/>
          <w:szCs w:val="18"/>
          <w:color w:val="auto"/>
        </w:rPr>
      </w:pPr>
    </w:p>
    <w:p>
      <w:pPr>
        <w:ind w:left="920" w:right="140" w:firstLine="1"/>
        <w:spacing w:after="0" w:line="279" w:lineRule="auto"/>
        <w:tabs>
          <w:tab w:leader="none" w:pos="12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 w:name="page27"/>
    <w:bookmarkEnd w:id="26"/>
    <w:p>
      <w:pPr>
        <w:ind w:left="300" w:hanging="299"/>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outstanding shares of capital stock or other equity interests (other than general partner interests) of each Domestic Subsidiary</w:t>
      </w:r>
    </w:p>
    <w:p>
      <w:pPr>
        <w:spacing w:after="0" w:line="34"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w:t>
      </w:r>
    </w:p>
    <w:p>
      <w:pPr>
        <w:spacing w:after="0" w:line="62" w:lineRule="exact"/>
        <w:rPr>
          <w:rFonts w:ascii="Arial" w:cs="Arial" w:eastAsia="Arial" w:hAnsi="Arial"/>
          <w:sz w:val="17"/>
          <w:szCs w:val="17"/>
          <w:color w:val="auto"/>
        </w:rPr>
      </w:pPr>
    </w:p>
    <w:p>
      <w:pPr>
        <w:ind w:right="100" w:firstLine="1"/>
        <w:spacing w:after="0" w:line="291"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w:t>
      </w:r>
    </w:p>
    <w:p>
      <w:pPr>
        <w:spacing w:after="0" w:line="59" w:lineRule="exact"/>
        <w:rPr>
          <w:rFonts w:ascii="Arial" w:cs="Arial" w:eastAsia="Arial" w:hAnsi="Arial"/>
          <w:sz w:val="16"/>
          <w:szCs w:val="16"/>
          <w:color w:val="auto"/>
        </w:rPr>
      </w:pPr>
    </w:p>
    <w:p>
      <w:pPr>
        <w:ind w:right="180" w:firstLine="1"/>
        <w:spacing w:after="0" w:line="302" w:lineRule="auto"/>
        <w:tabs>
          <w:tab w:leader="none" w:pos="3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Firm Units (and/or Option Units, as applicable) to be issued and sold to the Underwriter by the Partnership pursuant to this Agreement and the limited partner interests represented thereby have been duly authorized by the Partnership Agreement and, when issued and delivered against payment therefor as provided in this Agreement, will be validly issued, fully paid (to the extent required under the Partnership Agreement) and nonassessable (except as such nonassessability may be affected by Sections 17-607 and 17-804 of the Delaware LP Act).</w:t>
      </w:r>
    </w:p>
    <w:p>
      <w:pPr>
        <w:spacing w:after="0" w:line="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00"/>
          </w:cols>
          <w:pgMar w:left="1160" w:top="274" w:right="239" w:bottom="1440" w:gutter="0" w:footer="0" w:header="0"/>
        </w:sectPr>
      </w:pPr>
    </w:p>
    <w:bookmarkStart w:id="27" w:name="page28"/>
    <w:bookmarkEnd w:id="27"/>
    <w:p>
      <w:pPr>
        <w:ind w:left="-1" w:right="80" w:firstLine="1"/>
        <w:spacing w:after="0" w:line="255" w:lineRule="auto"/>
        <w:tabs>
          <w:tab w:leader="none" w:pos="354"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w:t>
      </w:r>
    </w:p>
    <w:p>
      <w:pPr>
        <w:spacing w:after="0" w:line="85" w:lineRule="exact"/>
        <w:rPr>
          <w:rFonts w:ascii="Arial" w:cs="Arial" w:eastAsia="Arial" w:hAnsi="Arial"/>
          <w:sz w:val="18"/>
          <w:szCs w:val="18"/>
          <w:color w:val="auto"/>
        </w:rPr>
      </w:pPr>
    </w:p>
    <w:p>
      <w:pPr>
        <w:jc w:val="both"/>
        <w:ind w:left="-1" w:right="600" w:firstLine="1"/>
        <w:spacing w:after="0" w:line="264" w:lineRule="auto"/>
        <w:tabs>
          <w:tab w:leader="none" w:pos="4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Partnership has all requisite power and authority to issue, sell and deliver the Units, in accordance with and upon the terms and conditions set forth in this Agreement, the Partnership Agreement and the Registration Statement, the Pricing Disclosure Package and the Prospectus.</w:t>
      </w:r>
    </w:p>
    <w:p>
      <w:pPr>
        <w:spacing w:after="0" w:line="73" w:lineRule="exact"/>
        <w:rPr>
          <w:rFonts w:ascii="Arial" w:cs="Arial" w:eastAsia="Arial" w:hAnsi="Arial"/>
          <w:sz w:val="18"/>
          <w:szCs w:val="18"/>
          <w:color w:val="auto"/>
        </w:rPr>
      </w:pPr>
    </w:p>
    <w:p>
      <w:pPr>
        <w:ind w:left="299" w:hanging="299"/>
        <w:spacing w:after="0"/>
        <w:tabs>
          <w:tab w:leader="none" w:pos="2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Agreement has been duly authorized and validly executed and delivered by the Partnership.</w:t>
      </w:r>
    </w:p>
    <w:p>
      <w:pPr>
        <w:spacing w:after="0" w:line="117" w:lineRule="exact"/>
        <w:rPr>
          <w:rFonts w:ascii="Arial" w:cs="Arial" w:eastAsia="Arial" w:hAnsi="Arial"/>
          <w:sz w:val="18"/>
          <w:szCs w:val="18"/>
          <w:color w:val="auto"/>
        </w:rPr>
      </w:pPr>
    </w:p>
    <w:p>
      <w:pPr>
        <w:ind w:left="-1" w:right="20" w:firstLine="1"/>
        <w:spacing w:after="0" w:line="291" w:lineRule="auto"/>
        <w:tabs>
          <w:tab w:leader="none" w:pos="2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At or before each applicable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59" w:lineRule="exact"/>
        <w:rPr>
          <w:rFonts w:ascii="Arial" w:cs="Arial" w:eastAsia="Arial" w:hAnsi="Arial"/>
          <w:sz w:val="16"/>
          <w:szCs w:val="16"/>
          <w:color w:val="auto"/>
        </w:rPr>
      </w:pPr>
    </w:p>
    <w:p>
      <w:pPr>
        <w:ind w:left="-1" w:firstLine="1"/>
        <w:spacing w:after="0" w:line="255" w:lineRule="auto"/>
        <w:tabs>
          <w:tab w:leader="none" w:pos="3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None of (A) the offering, issuance and sale by the Partnership of the Units, (B) the execution, delivery and performance of this Agreement by the Partnership or (C) the consummation of the transactions contemplated by this Agreement (1) constitutes or will constitute a violation of the Organizational Documents of the Partnership or any of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(i) the Hedged Inventory Facility, (ii) the Credit Agreement dated as of August 19, 2011, as amended, by and among the Partnership, certain</w:t>
      </w:r>
    </w:p>
    <w:p>
      <w:pPr>
        <w:spacing w:after="0" w:line="122"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99"/>
          </w:cols>
          <w:pgMar w:left="1161" w:top="274" w:right="239" w:bottom="1440" w:gutter="0" w:footer="0" w:header="0"/>
        </w:sectPr>
      </w:pPr>
    </w:p>
    <w:bookmarkStart w:id="28" w:name="page29"/>
    <w:bookmarkEnd w:id="2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of the Partnership from time to time party thereto and Bank of America, N.A., as administrative agent, and the other lenders party thereto (the “</w:t>
      </w:r>
      <w:r>
        <w:rPr>
          <w:rFonts w:ascii="Arial" w:cs="Arial" w:eastAsia="Arial" w:hAnsi="Arial"/>
          <w:sz w:val="16"/>
          <w:szCs w:val="16"/>
          <w:b w:val="1"/>
          <w:bCs w:val="1"/>
          <w:color w:val="auto"/>
        </w:rPr>
        <w:t>PAA Facility</w:t>
      </w:r>
      <w:r>
        <w:rPr>
          <w:rFonts w:ascii="Arial" w:cs="Arial" w:eastAsia="Arial" w:hAnsi="Arial"/>
          <w:sz w:val="16"/>
          <w:szCs w:val="16"/>
          <w:color w:val="auto"/>
        </w:rPr>
        <w:t xml:space="preserve">”), (iii) the Second Amended and Restated Credit Agreement dated September 26, 2013, as amended, by and among Plains AAP, Citibank, N.A., as administrative agent, and the lenders party thereto (the </w:t>
      </w:r>
      <w:r>
        <w:rPr>
          <w:rFonts w:ascii="Arial" w:cs="Arial" w:eastAsia="Arial" w:hAnsi="Arial"/>
          <w:sz w:val="16"/>
          <w:szCs w:val="16"/>
          <w:b w:val="1"/>
          <w:bCs w:val="1"/>
          <w:color w:val="auto"/>
        </w:rPr>
        <w:t>“Plains AAP Facility</w:t>
      </w:r>
      <w:r>
        <w:rPr>
          <w:rFonts w:ascii="Arial" w:cs="Arial" w:eastAsia="Arial" w:hAnsi="Arial"/>
          <w:sz w:val="16"/>
          <w:szCs w:val="16"/>
          <w:color w:val="auto"/>
        </w:rPr>
        <w:t>”) and (iv) the 364-Day Credit Agreement dated January 16, 2015 (the “</w:t>
      </w:r>
      <w:r>
        <w:rPr>
          <w:rFonts w:ascii="Arial" w:cs="Arial" w:eastAsia="Arial" w:hAnsi="Arial"/>
          <w:sz w:val="16"/>
          <w:szCs w:val="16"/>
          <w:b w:val="1"/>
          <w:bCs w:val="1"/>
          <w:color w:val="auto"/>
        </w:rPr>
        <w:t>364-Day Facility</w:t>
      </w:r>
      <w:r>
        <w:rPr>
          <w:rFonts w:ascii="Arial" w:cs="Arial" w:eastAsia="Arial" w:hAnsi="Arial"/>
          <w:sz w:val="16"/>
          <w:szCs w:val="16"/>
          <w:color w:val="auto"/>
        </w:rPr>
        <w:t>”), by and among the Partnership, Bank of America, N.A., as administrative agent, and the lenders party thereto, (3) results or will result in any violation of the Delaware LP Act, the Delaware LLC Act,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the laws of the State of Texas or federal law, or (4) results or will result in the creation or imposition of any Lien upon any property or assets of any of the Partnership, the Domestic Subsidiaries or the GP Entities, which conflicts, breaches, violations or defaults in the case of clauses (2), (3) or (4) would reasonably be expected to have a Material Adverse Effect or materially impair the ability of the Partnership to consummate the transactions contemplated by this Agreement, it being understood that such counsel need not express an opinion in clause (3) of this paragraph (xi) with respect to any securities or other anti-fraud law.</w:t>
      </w:r>
    </w:p>
    <w:p>
      <w:pPr>
        <w:spacing w:after="0" w:line="61" w:lineRule="exact"/>
        <w:rPr>
          <w:sz w:val="20"/>
          <w:szCs w:val="20"/>
          <w:color w:val="auto"/>
        </w:rPr>
      </w:pPr>
    </w:p>
    <w:p>
      <w:pPr>
        <w:ind w:firstLine="1"/>
        <w:spacing w:after="0" w:line="290" w:lineRule="auto"/>
        <w:tabs>
          <w:tab w:leader="none" w:pos="3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purchase and distribution by the Underwriter of the Units in the manner contemplated herein and in the Pricing Disclosure Package and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w:t>
      </w:r>
    </w:p>
    <w:p>
      <w:pPr>
        <w:spacing w:after="0" w:line="58" w:lineRule="exact"/>
        <w:rPr>
          <w:rFonts w:ascii="Arial" w:cs="Arial" w:eastAsia="Arial" w:hAnsi="Arial"/>
          <w:sz w:val="16"/>
          <w:szCs w:val="16"/>
          <w:color w:val="auto"/>
        </w:rPr>
      </w:pPr>
    </w:p>
    <w:p>
      <w:pPr>
        <w:ind w:right="140" w:firstLine="1"/>
        <w:spacing w:after="0" w:line="276" w:lineRule="auto"/>
        <w:tabs>
          <w:tab w:leader="none" w:pos="4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statements in the Registration Statement, the Pricing Disclosure Package and the Prospectus under the captions “Description of Our Common Units,” “Cash Distribution Policy” and “Description of Our Partnership Agreement,” insofar as such statements purport to summarize certain provisions of documents and legal matters referred to therein, are accurate in all material respects, subject to the qualifications and assumptions stated therein; and the Units, the Common Units and the Incentive Distribution Rights conform in all material respects to the descriptions thereof contained in the Registration Statement, the Pricing Disclosure Package and the Prospectus.</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00"/>
          </w:cols>
          <w:pgMar w:left="1160" w:top="274" w:right="239" w:bottom="1440" w:gutter="0" w:footer="0" w:header="0"/>
        </w:sectPr>
      </w:pPr>
    </w:p>
    <w:bookmarkStart w:id="29" w:name="page30"/>
    <w:bookmarkEnd w:id="29"/>
    <w:p>
      <w:pPr>
        <w:ind w:left="920" w:right="160" w:firstLine="1"/>
        <w:spacing w:after="0" w:line="277" w:lineRule="auto"/>
        <w:tabs>
          <w:tab w:leader="none" w:pos="1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opinion of Vinson &amp; Elkins L.L.P. that is filed as Exhibit 8.1 to the Registration Statement is confirmed and the Underwriter may rely upon such opinion as if it were addressed to them.</w:t>
      </w:r>
    </w:p>
    <w:p>
      <w:pPr>
        <w:spacing w:after="0" w:line="62" w:lineRule="exact"/>
        <w:rPr>
          <w:rFonts w:ascii="Arial" w:cs="Arial" w:eastAsia="Arial" w:hAnsi="Arial"/>
          <w:sz w:val="18"/>
          <w:szCs w:val="18"/>
          <w:color w:val="auto"/>
        </w:rPr>
      </w:pPr>
    </w:p>
    <w:p>
      <w:pPr>
        <w:ind w:left="920" w:right="100" w:firstLine="1"/>
        <w:spacing w:after="0" w:line="279" w:lineRule="auto"/>
        <w:tabs>
          <w:tab w:leader="none" w:pos="1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Registration Statement became effective under the Securities Act upon its filing on September 27, 2012;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63" w:lineRule="exact"/>
        <w:rPr>
          <w:rFonts w:ascii="Arial" w:cs="Arial" w:eastAsia="Arial" w:hAnsi="Arial"/>
          <w:sz w:val="17"/>
          <w:szCs w:val="17"/>
          <w:color w:val="auto"/>
        </w:rPr>
      </w:pPr>
    </w:p>
    <w:p>
      <w:pPr>
        <w:ind w:left="920" w:right="120" w:firstLine="1"/>
        <w:spacing w:after="0" w:line="279" w:lineRule="auto"/>
        <w:tabs>
          <w:tab w:leader="none" w:pos="13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w:t>
      </w:r>
    </w:p>
    <w:p>
      <w:pPr>
        <w:spacing w:after="0" w:line="63" w:lineRule="exact"/>
        <w:rPr>
          <w:rFonts w:ascii="Arial" w:cs="Arial" w:eastAsia="Arial" w:hAnsi="Arial"/>
          <w:sz w:val="17"/>
          <w:szCs w:val="17"/>
          <w:color w:val="auto"/>
        </w:rPr>
      </w:pPr>
    </w:p>
    <w:p>
      <w:pPr>
        <w:ind w:left="920" w:firstLine="1"/>
        <w:spacing w:after="0" w:line="264" w:lineRule="auto"/>
        <w:tabs>
          <w:tab w:leader="none" w:pos="13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 of the Plains Entities is now, and after sale of the Units to be sold by the Partnership hereunder and application of the net proceeds from such sale as described in the Pricing Disclosure Package and the Prospectus under the caption “Use of Proceeds,” none of the Plains Entities will be, an “investment company” as such term is defined in the Investment Company Act.</w:t>
      </w:r>
    </w:p>
    <w:p>
      <w:pPr>
        <w:spacing w:after="0" w:line="18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addition, such counsel shall state that they have participated in conferences with officers and other representatives of GP LLC and the Partnership,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(xiii) above), on the basis of the foregoing, no facts have come to the attention of such counsel that lead them to believe that:</w:t>
      </w:r>
    </w:p>
    <w:p>
      <w:pPr>
        <w:spacing w:after="0" w:line="178" w:lineRule="exact"/>
        <w:rPr>
          <w:sz w:val="20"/>
          <w:szCs w:val="20"/>
          <w:color w:val="auto"/>
        </w:rPr>
      </w:pPr>
    </w:p>
    <w:p>
      <w:pPr>
        <w:ind w:firstLine="921"/>
        <w:spacing w:after="0" w:line="277" w:lineRule="auto"/>
        <w:tabs>
          <w:tab w:leader="none" w:pos="12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right="160" w:firstLine="921"/>
        <w:spacing w:after="0" w:line="308" w:lineRule="auto"/>
        <w:tabs>
          <w:tab w:leader="none" w:pos="119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0" w:name="page31"/>
    <w:bookmarkEnd w:id="30"/>
    <w:p>
      <w:pPr>
        <w:ind w:firstLine="921"/>
        <w:spacing w:after="0" w:line="342" w:lineRule="auto"/>
        <w:tabs>
          <w:tab w:leader="none" w:pos="1198"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8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and the Partnership,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w:t>
      </w:r>
    </w:p>
    <w:p>
      <w:pPr>
        <w:spacing w:after="0" w:line="165" w:lineRule="exact"/>
        <w:rPr>
          <w:sz w:val="20"/>
          <w:szCs w:val="20"/>
          <w:color w:val="auto"/>
        </w:rPr>
      </w:pPr>
    </w:p>
    <w:p>
      <w:pPr>
        <w:ind w:right="100" w:firstLine="921"/>
        <w:spacing w:after="0" w:line="277"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the general counsel for GP LLC, dated the applicable Delivery Date and addressed to the Underwriter, to the effect that:</w:t>
      </w:r>
    </w:p>
    <w:p>
      <w:pPr>
        <w:spacing w:after="0" w:line="62" w:lineRule="exact"/>
        <w:rPr>
          <w:sz w:val="20"/>
          <w:szCs w:val="20"/>
          <w:color w:val="auto"/>
        </w:rPr>
      </w:pPr>
    </w:p>
    <w:p>
      <w:pPr>
        <w:ind w:left="920" w:right="120" w:firstLine="1"/>
        <w:spacing w:after="0" w:line="269" w:lineRule="auto"/>
        <w:tabs>
          <w:tab w:leader="none" w:pos="11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None of (A) the offering, issuance and sale by the Partnership of the Units, (B) the execution, delivery and performance by the Partnership of this Agreement, or (C) the consummation of the transactions contemplated by this Agreement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the GP Entities or the Material Subsidiaries is a party or by which any one of them may be bound (excluding, for this purpose, any document or agreement filed as an exhibit to the Registration Statement or an Incorporated Document, or (i) the Hedged Inventory Facility, (ii) the PAA Facility and (iii) the Plains AAP Facility) or (2) violates or will violate any statute, law or regulation or any order, judgment, decree or injunction known to such counsel of any court or governmental agency or body directed to the Partnership, the GP Entities or the Material Subsidiaries or any of their respective properties in a proceeding to which any of them is a party, which would, in the case of either (1) or (2), reasonably be expected to have a Material Adverse Effect or materially impair the ability of the Partnership to consummate the transactions contemplated by this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ind w:left="920" w:firstLine="1"/>
        <w:spacing w:after="0" w:line="264" w:lineRule="auto"/>
        <w:tabs>
          <w:tab w:leader="none" w:pos="1185"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such counsel, there is no legal or governmental proceeding pending or threatened to which the Partnership or any of the Subsidiaries is a party or to which any of their respective properties is subject that is required to be disclosed in the Pricing Disclosure Package or the Prospectus and is not so disclosed.</w:t>
      </w:r>
    </w:p>
    <w:p>
      <w:pPr>
        <w:spacing w:after="0" w:line="73" w:lineRule="exact"/>
        <w:rPr>
          <w:rFonts w:ascii="Arial" w:cs="Arial" w:eastAsia="Arial" w:hAnsi="Arial"/>
          <w:sz w:val="18"/>
          <w:szCs w:val="18"/>
          <w:color w:val="auto"/>
        </w:rPr>
      </w:pPr>
    </w:p>
    <w:p>
      <w:pPr>
        <w:ind w:left="920" w:right="60" w:firstLine="1"/>
        <w:spacing w:after="0" w:line="264" w:lineRule="auto"/>
        <w:tabs>
          <w:tab w:leader="none" w:pos="12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knowledge of such counsel, except as described in the Pricing Disclosure Package and the Prospectus or as have been issued pursuant to compensation plans adopted or administered by the General Partner, there are no outstanding options or warrants to purchase any Common Units or other equity interests in the Partnership.</w:t>
      </w:r>
    </w:p>
    <w:p>
      <w:pPr>
        <w:spacing w:after="0" w:line="73" w:lineRule="exact"/>
        <w:rPr>
          <w:rFonts w:ascii="Arial" w:cs="Arial" w:eastAsia="Arial" w:hAnsi="Arial"/>
          <w:sz w:val="18"/>
          <w:szCs w:val="18"/>
          <w:color w:val="auto"/>
        </w:rPr>
      </w:pPr>
    </w:p>
    <w:p>
      <w:pPr>
        <w:ind w:left="920" w:right="80" w:firstLine="1"/>
        <w:spacing w:after="0" w:line="312" w:lineRule="auto"/>
        <w:tabs>
          <w:tab w:leader="none" w:pos="122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such counsel shall state that he has participated in conferences with officers and other representatives of GP LLC and the Partnership,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w:t>
      </w:r>
    </w:p>
    <w:p>
      <w:pPr>
        <w:spacing w:after="0" w:line="193" w:lineRule="exact"/>
        <w:rPr>
          <w:sz w:val="20"/>
          <w:szCs w:val="20"/>
          <w:color w:val="auto"/>
        </w:rPr>
      </w:pPr>
    </w:p>
    <w:p>
      <w:pPr>
        <w:ind w:firstLine="921"/>
        <w:spacing w:after="0" w:line="277" w:lineRule="auto"/>
        <w:tabs>
          <w:tab w:leader="none" w:pos="12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right="160" w:firstLine="921"/>
        <w:spacing w:after="0" w:line="308" w:lineRule="auto"/>
        <w:tabs>
          <w:tab w:leader="none" w:pos="119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46" w:lineRule="exact"/>
        <w:rPr>
          <w:rFonts w:ascii="Arial" w:cs="Arial" w:eastAsia="Arial" w:hAnsi="Arial"/>
          <w:sz w:val="17"/>
          <w:szCs w:val="17"/>
          <w:color w:val="auto"/>
        </w:rPr>
      </w:pPr>
    </w:p>
    <w:p>
      <w:pPr>
        <w:ind w:firstLine="921"/>
        <w:spacing w:after="0" w:line="342" w:lineRule="auto"/>
        <w:tabs>
          <w:tab w:leader="none" w:pos="119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ind w:right="12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rendering such opinion, such counsel may rely in respect of matters of fact upon (A) information obtained from public officials or public records and (B) to the extent such counsel deems appropriate, certificates of officers and employees of GP LLC and the Partnership.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(iii) state that he expresses no opinion with respect to (x) either federal or state securities laws in clause (2) of paragraph (i) above or (y) state or local taxes or tax statutes.</w:t>
      </w:r>
    </w:p>
    <w:p>
      <w:pPr>
        <w:spacing w:after="0" w:line="178" w:lineRule="exact"/>
        <w:rPr>
          <w:sz w:val="20"/>
          <w:szCs w:val="20"/>
          <w:color w:val="auto"/>
        </w:rPr>
      </w:pPr>
    </w:p>
    <w:p>
      <w:pPr>
        <w:ind w:right="140" w:firstLine="921"/>
        <w:spacing w:after="0" w:line="277"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internal Canadian counsel for the Partnership, dated the Closing Date and addressed to the Underwriter, to the effect that:</w:t>
      </w:r>
    </w:p>
    <w:p>
      <w:pPr>
        <w:spacing w:after="0" w:line="58" w:lineRule="exact"/>
        <w:rPr>
          <w:sz w:val="20"/>
          <w:szCs w:val="20"/>
          <w:color w:val="auto"/>
        </w:rPr>
      </w:pPr>
    </w:p>
    <w:p>
      <w:pPr>
        <w:jc w:val="both"/>
        <w:ind w:left="920" w:right="80" w:firstLine="1"/>
        <w:spacing w:after="0" w:line="256" w:lineRule="auto"/>
        <w:tabs>
          <w:tab w:leader="none" w:pos="1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Plains Midstream Canada ULC, a British Columbia unlimited liability company (“</w:t>
      </w:r>
      <w:r>
        <w:rPr>
          <w:rFonts w:ascii="Arial" w:cs="Arial" w:eastAsia="Arial" w:hAnsi="Arial"/>
          <w:sz w:val="18"/>
          <w:szCs w:val="18"/>
          <w:b w:val="1"/>
          <w:bCs w:val="1"/>
          <w:color w:val="auto"/>
        </w:rPr>
        <w:t>Plains Midstream Canada</w:t>
      </w:r>
      <w:r>
        <w:rPr>
          <w:rFonts w:ascii="Arial" w:cs="Arial" w:eastAsia="Arial" w:hAnsi="Arial"/>
          <w:sz w:val="18"/>
          <w:szCs w:val="18"/>
          <w:color w:val="auto"/>
        </w:rPr>
        <w:t>”),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w:t>
      </w:r>
    </w:p>
    <w:p>
      <w:pPr>
        <w:spacing w:after="0" w:line="83" w:lineRule="exact"/>
        <w:rPr>
          <w:rFonts w:ascii="Arial" w:cs="Arial" w:eastAsia="Arial" w:hAnsi="Arial"/>
          <w:sz w:val="18"/>
          <w:szCs w:val="18"/>
          <w:color w:val="auto"/>
        </w:rPr>
      </w:pPr>
    </w:p>
    <w:p>
      <w:pPr>
        <w:jc w:val="both"/>
        <w:ind w:left="920" w:right="140" w:firstLine="1"/>
        <w:spacing w:after="0" w:line="259" w:lineRule="auto"/>
        <w:tabs>
          <w:tab w:leader="none" w:pos="11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Plains Midstream Canada is the registered holder of 100% of the issued and outstanding capital stock of Aurora Pipeline Company Ltd., a corporation incorporated under the laws of Canada (“</w:t>
      </w:r>
      <w:r>
        <w:rPr>
          <w:rFonts w:ascii="Arial" w:cs="Arial" w:eastAsia="Arial" w:hAnsi="Arial"/>
          <w:sz w:val="18"/>
          <w:szCs w:val="18"/>
          <w:b w:val="1"/>
          <w:bCs w:val="1"/>
          <w:color w:val="auto"/>
        </w:rPr>
        <w:t>Aurora</w:t>
      </w:r>
      <w:r>
        <w:rPr>
          <w:rFonts w:ascii="Arial" w:cs="Arial" w:eastAsia="Arial" w:hAnsi="Arial"/>
          <w:sz w:val="18"/>
          <w:szCs w:val="18"/>
          <w:color w:val="auto"/>
        </w:rPr>
        <w:t>”); such share capital has been duly authorized and validly issued in accordance with the Aurora Articles of Continuance, as fully paid and nonassessable shares (except as such nonassessability may be affected by the laws of the Province of Alberta).</w:t>
      </w:r>
    </w:p>
    <w:p>
      <w:pPr>
        <w:spacing w:after="0" w:line="78" w:lineRule="exact"/>
        <w:rPr>
          <w:rFonts w:ascii="Arial" w:cs="Arial" w:eastAsia="Arial" w:hAnsi="Arial"/>
          <w:sz w:val="18"/>
          <w:szCs w:val="18"/>
          <w:color w:val="auto"/>
        </w:rPr>
      </w:pPr>
    </w:p>
    <w:p>
      <w:pPr>
        <w:ind w:left="1240" w:hanging="319"/>
        <w:spacing w:after="0"/>
        <w:tabs>
          <w:tab w:leader="none" w:pos="12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Plains Marketing is the registered holder of 100% of the issued and outstanding preferred shares of Plains Midstream Canada, and Plains</w:t>
      </w:r>
    </w:p>
    <w:p>
      <w:pPr>
        <w:spacing w:after="0" w:line="46" w:lineRule="exact"/>
        <w:rPr>
          <w:rFonts w:ascii="Arial" w:cs="Arial" w:eastAsia="Arial" w:hAnsi="Arial"/>
          <w:sz w:val="16"/>
          <w:szCs w:val="16"/>
          <w:color w:val="auto"/>
        </w:rPr>
      </w:pPr>
    </w:p>
    <w:p>
      <w:pPr>
        <w:ind w:left="920"/>
        <w:spacing w:after="0" w:line="302" w:lineRule="auto"/>
        <w:rPr>
          <w:rFonts w:ascii="Arial" w:cs="Arial" w:eastAsia="Arial" w:hAnsi="Arial"/>
          <w:sz w:val="16"/>
          <w:szCs w:val="16"/>
          <w:color w:val="auto"/>
        </w:rPr>
      </w:pPr>
      <w:r>
        <w:rPr>
          <w:rFonts w:ascii="Arial" w:cs="Arial" w:eastAsia="Arial" w:hAnsi="Arial"/>
          <w:sz w:val="16"/>
          <w:szCs w:val="16"/>
          <w:color w:val="auto"/>
        </w:rPr>
        <w:t>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47" w:lineRule="exact"/>
        <w:rPr>
          <w:rFonts w:ascii="Arial" w:cs="Arial" w:eastAsia="Arial" w:hAnsi="Arial"/>
          <w:sz w:val="16"/>
          <w:szCs w:val="16"/>
          <w:color w:val="auto"/>
        </w:rPr>
      </w:pPr>
    </w:p>
    <w:p>
      <w:pPr>
        <w:ind w:left="920" w:right="140" w:firstLine="1"/>
        <w:spacing w:after="0" w:line="277" w:lineRule="auto"/>
        <w:tabs>
          <w:tab w:leader="none" w:pos="12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3" w:name="page34"/>
    <w:bookmarkEnd w:id="33"/>
    <w:p>
      <w:pPr>
        <w:ind w:left="920"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 of Canada or the Province of Alberta or the Province of British Columbia is required for the offering, issuance and sale by the Partnership of the Units.</w:t>
      </w:r>
    </w:p>
    <w:p>
      <w:pPr>
        <w:spacing w:after="0" w:line="62" w:lineRule="exact"/>
        <w:rPr>
          <w:sz w:val="20"/>
          <w:szCs w:val="20"/>
          <w:color w:val="auto"/>
        </w:rPr>
      </w:pPr>
    </w:p>
    <w:p>
      <w:pPr>
        <w:ind w:left="920" w:right="80" w:firstLine="1"/>
        <w:spacing w:after="0" w:line="273" w:lineRule="auto"/>
        <w:tabs>
          <w:tab w:leader="none" w:pos="1175"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70" w:lineRule="exact"/>
        <w:rPr>
          <w:sz w:val="20"/>
          <w:szCs w:val="20"/>
          <w:color w:val="auto"/>
        </w:rPr>
      </w:pPr>
    </w:p>
    <w:p>
      <w:pPr>
        <w:ind w:left="920" w:right="140" w:firstLine="1"/>
        <w:spacing w:after="0" w:line="276" w:lineRule="auto"/>
        <w:tabs>
          <w:tab w:leader="none" w:pos="122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rendering such opinion, such counsel may (A) rely in respect of matters of fact upon certificates of officers and employees of GP LLC and the Partnership,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they express no opinion with respect to state or local taxes or tax statutes to which any of the limited partners of the Partnership or the Plains Entities may be subject.</w:t>
      </w:r>
    </w:p>
    <w:p>
      <w:pPr>
        <w:spacing w:after="0" w:line="178" w:lineRule="exact"/>
        <w:rPr>
          <w:sz w:val="20"/>
          <w:szCs w:val="20"/>
          <w:color w:val="auto"/>
        </w:rPr>
      </w:pPr>
    </w:p>
    <w:p>
      <w:pPr>
        <w:ind w:right="500" w:firstLine="913"/>
        <w:spacing w:after="0" w:line="291" w:lineRule="auto"/>
        <w:rPr>
          <w:sz w:val="20"/>
          <w:szCs w:val="20"/>
          <w:color w:val="auto"/>
        </w:rPr>
      </w:pPr>
      <w:r>
        <w:rPr>
          <w:rFonts w:ascii="Arial" w:cs="Arial" w:eastAsia="Arial" w:hAnsi="Arial"/>
          <w:sz w:val="16"/>
          <w:szCs w:val="16"/>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w:t>
      </w:r>
    </w:p>
    <w:p>
      <w:pPr>
        <w:ind w:right="100" w:firstLine="8"/>
        <w:spacing w:after="0" w:line="290" w:lineRule="auto"/>
        <w:tabs>
          <w:tab w:leader="none" w:pos="2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subject to the foregoing, such opinion letter may be relied upon only by the Underwriter and its counsel in connection with the transactions contemplated by this Agreement and no other use or distribution of such opinion letter may be made without such counsel’s prior written consent.</w:t>
      </w:r>
    </w:p>
    <w:p>
      <w:pPr>
        <w:spacing w:after="0" w:line="161" w:lineRule="exact"/>
        <w:rPr>
          <w:rFonts w:ascii="Arial" w:cs="Arial" w:eastAsia="Arial" w:hAnsi="Arial"/>
          <w:sz w:val="17"/>
          <w:szCs w:val="17"/>
          <w:color w:val="auto"/>
        </w:rPr>
      </w:pPr>
    </w:p>
    <w:p>
      <w:pPr>
        <w:ind w:right="80" w:firstLine="921"/>
        <w:spacing w:after="0" w:line="277" w:lineRule="auto"/>
        <w:tabs>
          <w:tab w:leader="none" w:pos="11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Representative shall have received on each applicable Delivery Date an opinion of Baker Botts L.L.P., counsel for the Underwriter, dated the applicable Delivery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and addressed to the Underwriter, with respect to the offering, issuance and sale of the Units, the Registration Statement, the Pricing Disclosure Package, the Prospectus (together with any amendment or supplement thereto) and other related matters the Underwriter may reasonably require.</w:t>
      </w:r>
    </w:p>
    <w:p>
      <w:pPr>
        <w:spacing w:after="0" w:line="147" w:lineRule="exact"/>
        <w:rPr>
          <w:sz w:val="20"/>
          <w:szCs w:val="20"/>
          <w:color w:val="auto"/>
        </w:rPr>
      </w:pPr>
    </w:p>
    <w:p>
      <w:pPr>
        <w:ind w:right="120" w:firstLine="921"/>
        <w:spacing w:after="0" w:line="276" w:lineRule="auto"/>
        <w:tabs>
          <w:tab w:leader="none" w:pos="11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At the time of the execution of this Agreement, the Representative shall have received from PricewaterhouseCoopers LLP, independent public accountants, a letter dated such date, in form and substance satisfactory to the Representative,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five days prior to the date of such letter.</w:t>
      </w:r>
    </w:p>
    <w:p>
      <w:pPr>
        <w:spacing w:after="0" w:line="172" w:lineRule="exact"/>
        <w:rPr>
          <w:rFonts w:ascii="Arial" w:cs="Arial" w:eastAsia="Arial" w:hAnsi="Arial"/>
          <w:sz w:val="17"/>
          <w:szCs w:val="17"/>
          <w:color w:val="auto"/>
        </w:rPr>
      </w:pPr>
    </w:p>
    <w:p>
      <w:pPr>
        <w:ind w:right="100" w:firstLine="921"/>
        <w:spacing w:after="0" w:line="286" w:lineRule="auto"/>
        <w:tabs>
          <w:tab w:leader="none" w:pos="11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On each applicable the Delivery Date, the Representative shall have received from PricewaterhouseCoopers LLP a letter, dated as of each such Delivery Date, to the effect that they reaffirm the statements made in the letter furnished pursuant to paragraph (g) of this Section 7, except that the date referred to in the proviso in Section 7(g) hereof shall be a date not more than three business days prior to each such Delivery Date.</w:t>
      </w:r>
    </w:p>
    <w:p>
      <w:pPr>
        <w:spacing w:after="0" w:line="165" w:lineRule="exact"/>
        <w:rPr>
          <w:rFonts w:ascii="Arial" w:cs="Arial" w:eastAsia="Arial" w:hAnsi="Arial"/>
          <w:sz w:val="17"/>
          <w:szCs w:val="17"/>
          <w:color w:val="auto"/>
        </w:rPr>
      </w:pPr>
    </w:p>
    <w:p>
      <w:pPr>
        <w:ind w:right="80" w:firstLine="921"/>
        <w:spacing w:after="0" w:line="259" w:lineRule="auto"/>
        <w:tabs>
          <w:tab w:leader="none" w:pos="11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 at each applicable Delivery Date a certificate of the Partnership, signed on behalf of the Partnership by the President or any Vice President and the Chief Financial Officer of GP LLC, dated the applicable Delivery Date, to the effect that the signers of such certificate have examined the Registration Statement, the Pricing Disclosure Package, the Prospectus and any amendment or supplement thereto, and this Agreement and that:</w:t>
      </w:r>
    </w:p>
    <w:p>
      <w:pPr>
        <w:spacing w:after="0" w:line="79" w:lineRule="exact"/>
        <w:rPr>
          <w:sz w:val="20"/>
          <w:szCs w:val="20"/>
          <w:color w:val="auto"/>
        </w:rPr>
      </w:pPr>
    </w:p>
    <w:p>
      <w:pPr>
        <w:ind w:left="920" w:right="160" w:firstLine="1"/>
        <w:spacing w:after="0" w:line="286" w:lineRule="auto"/>
        <w:tabs>
          <w:tab w:leader="none" w:pos="12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representations and warranties of the Partnership in this Agreement are true and correct on and as of the applicable Delivery Date with the same effect as if made on the applicable Delivery Date and the Partnership has complied in all material respects with all the agreements and satisfied all the conditions on its part to be performed or satisfied at or prior to the applicable Delivery Date;</w:t>
      </w:r>
    </w:p>
    <w:p>
      <w:pPr>
        <w:spacing w:after="0" w:line="57" w:lineRule="exact"/>
        <w:rPr>
          <w:rFonts w:ascii="Arial" w:cs="Arial" w:eastAsia="Arial" w:hAnsi="Arial"/>
          <w:sz w:val="17"/>
          <w:szCs w:val="17"/>
          <w:color w:val="auto"/>
        </w:rPr>
      </w:pPr>
    </w:p>
    <w:p>
      <w:pPr>
        <w:ind w:left="920" w:right="20" w:firstLine="1"/>
        <w:spacing w:after="0" w:line="277" w:lineRule="auto"/>
        <w:tabs>
          <w:tab w:leader="none" w:pos="12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62" w:lineRule="exact"/>
        <w:rPr>
          <w:rFonts w:ascii="Arial" w:cs="Arial" w:eastAsia="Arial" w:hAnsi="Arial"/>
          <w:sz w:val="18"/>
          <w:szCs w:val="18"/>
          <w:color w:val="auto"/>
        </w:rPr>
      </w:pPr>
    </w:p>
    <w:p>
      <w:pPr>
        <w:ind w:left="920" w:right="120" w:firstLine="1"/>
        <w:spacing w:after="0" w:line="259" w:lineRule="auto"/>
        <w:tabs>
          <w:tab w:leader="none" w:pos="12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87" w:lineRule="exact"/>
        <w:rPr>
          <w:sz w:val="20"/>
          <w:szCs w:val="20"/>
          <w:color w:val="auto"/>
        </w:rPr>
      </w:pPr>
    </w:p>
    <w:p>
      <w:pPr>
        <w:ind w:left="5620" w:right="520" w:hanging="4699"/>
        <w:spacing w:after="0" w:line="449" w:lineRule="auto"/>
        <w:tabs>
          <w:tab w:leader="none" w:pos="11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NYSE shall have approved the Units for listing, subject only to official notice of issuance and evidence of satisfactory distribution. 31</w:t>
      </w:r>
    </w:p>
    <w:p>
      <w:pPr>
        <w:sectPr>
          <w:pgSz w:w="11900" w:h="16838" w:orient="portrait"/>
          <w:cols w:equalWidth="0" w:num="1">
            <w:col w:w="11420"/>
          </w:cols>
          <w:pgMar w:left="240" w:top="274" w:right="239" w:bottom="1440" w:gutter="0" w:footer="0" w:header="0"/>
        </w:sectPr>
      </w:pPr>
    </w:p>
    <w:bookmarkStart w:id="35" w:name="page36"/>
    <w:bookmarkEnd w:id="35"/>
    <w:p>
      <w:pPr>
        <w:ind w:right="260" w:firstLine="921"/>
        <w:spacing w:after="0" w:line="342" w:lineRule="auto"/>
        <w:tabs>
          <w:tab w:leader="none" w:pos="1168"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or prior to the date hereof, the Partnership shall have furnished to the Underwriter a letter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from (i) each officer (as defined in Rule 16a-1(f) of the rules and regulations under the Exchange Act) of GP LLC and (ii) each director of GP LLC.</w:t>
      </w:r>
    </w:p>
    <w:p>
      <w:pPr>
        <w:spacing w:after="0" w:line="123" w:lineRule="exact"/>
        <w:rPr>
          <w:rFonts w:ascii="Arial" w:cs="Arial" w:eastAsia="Arial" w:hAnsi="Arial"/>
          <w:sz w:val="16"/>
          <w:szCs w:val="16"/>
          <w:color w:val="auto"/>
        </w:rPr>
      </w:pPr>
    </w:p>
    <w:p>
      <w:pPr>
        <w:ind w:right="200" w:firstLine="921"/>
        <w:spacing w:after="0" w:line="277" w:lineRule="auto"/>
        <w:tabs>
          <w:tab w:leader="none" w:pos="11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 shall have received from the Partnership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All such opinions, certificates, letters and other documents referred to in this Section 7 will be in compliance with the provisions hereof only if they are reasonably satisfactory in form and substance to the Representative and counsel for the Underwriter. The Partnership shall furnish to the Underwriter conformed copies of such opinions, certificates, letters and other documents in such number as they shall reasonably request.</w:t>
      </w:r>
    </w:p>
    <w:p>
      <w:pPr>
        <w:spacing w:after="0" w:line="166"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The obligations of the Underwriter to purchase Option Units hereunder are subject to the satisfaction on and as of any Option Units Delivery Date of the conditions set forth in this Section 7, except that, if any Option Units Delivery Date is other than the Initial Delivery Date, (i) the certificates, opinions and letters referred to in paragraphs (c) through (f), (h) and (i) shall be dated the Option Units Delivery Date in question, (ii) the opinions called for by paragraphs (c), (d), (e) and (f), as applicable, shall be revised to reflect the sale of Option Units and (iii) any references in Section 7 to the Initial Delivery Date shall be deemed to be such Option Units Delivery Date.</w:t>
      </w:r>
    </w:p>
    <w:p>
      <w:pPr>
        <w:spacing w:after="0" w:line="188" w:lineRule="exact"/>
        <w:rPr>
          <w:sz w:val="20"/>
          <w:szCs w:val="20"/>
          <w:color w:val="auto"/>
        </w:rPr>
      </w:pPr>
    </w:p>
    <w:p>
      <w:pPr>
        <w:jc w:val="both"/>
        <w:ind w:right="40" w:firstLine="913"/>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 and counsel for the Underwriter, this Agreement and all obligations of the Underwriter hereunder may be cancelled at, or at any time prior to, the applicable Delivery Date by the Underwriter. Notice of such cancellation shall be given to the Partnership in writing or by telephone or facsimile confirmed in writing.</w:t>
      </w:r>
    </w:p>
    <w:p>
      <w:pPr>
        <w:spacing w:after="0" w:line="188" w:lineRule="exact"/>
        <w:rPr>
          <w:sz w:val="20"/>
          <w:szCs w:val="20"/>
          <w:color w:val="auto"/>
        </w:rPr>
      </w:pPr>
    </w:p>
    <w:p>
      <w:pPr>
        <w:ind w:firstLine="921"/>
        <w:spacing w:after="0" w:line="284" w:lineRule="auto"/>
        <w:tabs>
          <w:tab w:leader="none" w:pos="1093"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w:t>
      </w:r>
    </w:p>
    <w:p>
      <w:pPr>
        <w:spacing w:after="0" w:line="2" w:lineRule="exact"/>
        <w:rPr>
          <w:rFonts w:ascii="Arial" w:cs="Arial" w:eastAsia="Arial" w:hAnsi="Arial"/>
          <w:sz w:val="16"/>
          <w:szCs w:val="16"/>
          <w:color w:val="auto"/>
        </w:rPr>
      </w:pPr>
    </w:p>
    <w:p>
      <w:pPr>
        <w:ind w:right="480" w:firstLine="8"/>
        <w:spacing w:after="0" w:line="261" w:lineRule="auto"/>
        <w:tabs>
          <w:tab w:leader="none" w:pos="3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printing (or reproduction) and delivery of this Agreement, the preliminary and supplemental Blue Sky Memoranda, and all other agreements or documents printed (or reproduced) and delivered in connection with the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36" w:name="page37"/>
    <w:bookmarkEnd w:id="36"/>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offering of the Units; (v) the registration of the Common Units under the Exchange Act and the listing of the Units on the NYSE and any applicable listing or other similar fees; (vi) the registration or qualification of the Units for offer and sale under the securities or Blue Sky laws of the several states as provided in Section 5(f) hereof (including the reasonable fees, expenses and disbursements of counsel for the Underwriter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Partnership in connection with presentations to prospective purchasers of the Units; and (ix) the fees and expenses of the Partnership’s accountants and the fees and expenses of counsel (including local and special counsel) for the Partnership.</w:t>
      </w:r>
    </w:p>
    <w:p>
      <w:pPr>
        <w:spacing w:after="0" w:line="17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It is understood, however, that except as otherwise provided in this Section 8 or Section 5(i) hereof, the Underwriter will pay all of its own costs and expenses, including the fees of its counsel, transfer taxes on any resale of the Units by the Underwriter, any advertising expenses connected with any offers they may make and the transportation and other expenses incurred by the Underwriter on its own behalf in connection with presentations to prospective purchasers of the Units.</w:t>
      </w:r>
    </w:p>
    <w:p>
      <w:pPr>
        <w:spacing w:after="0" w:line="187" w:lineRule="exact"/>
        <w:rPr>
          <w:sz w:val="20"/>
          <w:szCs w:val="20"/>
          <w:color w:val="auto"/>
        </w:rPr>
      </w:pPr>
    </w:p>
    <w:p>
      <w:pPr>
        <w:ind w:left="1100" w:hanging="179"/>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921"/>
        <w:spacing w:after="0" w:line="269" w:lineRule="auto"/>
        <w:tabs>
          <w:tab w:leader="none" w:pos="118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shall be subject to termination in the Representative’s absolute discretion, without liability on the part of the Underwriter to the Partnership, by notice to the Partnership, if prior to the Initial Delivery Date or any Option Units Delivery Date (if different from the Initial Delivery Date and then only as to the Option Units), as the case may be, (i) trading in the Common Units shall have been suspended by the Commission or the NYSE or trading in securities generally on the New York Stock Exchange, the NYSE MKT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w:t>
      </w:r>
    </w:p>
    <w:p>
      <w:pPr>
        <w:spacing w:after="0" w:line="182" w:lineRule="exact"/>
        <w:rPr>
          <w:rFonts w:ascii="Arial" w:cs="Arial" w:eastAsia="Arial" w:hAnsi="Arial"/>
          <w:sz w:val="17"/>
          <w:szCs w:val="17"/>
          <w:color w:val="auto"/>
        </w:rPr>
      </w:pPr>
    </w:p>
    <w:p>
      <w:pPr>
        <w:ind w:right="360" w:firstLine="921"/>
        <w:spacing w:after="0" w:line="302" w:lineRule="auto"/>
        <w:tabs>
          <w:tab w:leader="none" w:pos="117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Notice; Successors</w:t>
      </w:r>
      <w:r>
        <w:rPr>
          <w:rFonts w:ascii="Arial" w:cs="Arial" w:eastAsia="Arial" w:hAnsi="Arial"/>
          <w:sz w:val="16"/>
          <w:szCs w:val="16"/>
          <w:color w:val="auto"/>
        </w:rPr>
        <w:t>. Except as otherwise provided in Sections 5, 9 and 10 hereof, all communications hereunder will be in writing and effective only on receipt, and, if sent to the Underwriter, will be mailed, delivered or telefaxed to the Representative c/o Barclays Capital Inc., Attention: Syndicate Registration, 745 Seventh Avenue, New York, New York 10019 (fax: 646-834-8133); or, if sent to the Partnership, will be mailed, delivered or telefaxed to (713) 646-4313 and confirmed to it at 333 Clay St., Suite 1600, Houston, Texas 77002, Attention: General Counsel.</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7" w:name="page38"/>
    <w:bookmarkEnd w:id="37"/>
    <w:p>
      <w:pPr>
        <w:ind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and is made solely for the benefit of the Underwriter and its directors, officers, employees, agents and other controlling persons referred to in Section 6 hereof and the Partnership and GP LLC’s directors and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the Underwriter of any of the Units in his status as such purchaser.</w:t>
      </w:r>
    </w:p>
    <w:p>
      <w:pPr>
        <w:spacing w:after="0" w:line="173" w:lineRule="exact"/>
        <w:rPr>
          <w:sz w:val="20"/>
          <w:szCs w:val="20"/>
          <w:color w:val="auto"/>
        </w:rPr>
      </w:pPr>
    </w:p>
    <w:p>
      <w:pPr>
        <w:ind w:right="100" w:firstLine="921"/>
        <w:spacing w:after="0" w:line="286" w:lineRule="auto"/>
        <w:tabs>
          <w:tab w:leader="none" w:pos="1183"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w:t>
      </w:r>
      <w:r>
        <w:rPr>
          <w:rFonts w:ascii="Arial" w:cs="Arial" w:eastAsia="Arial" w:hAnsi="Arial"/>
          <w:sz w:val="16"/>
          <w:szCs w:val="16"/>
          <w:color w:val="auto"/>
        </w:rPr>
        <w:t>. The Partnership acknowledges that the following statements set forth in the most recent Preliminary Prospectus and the Prospectus constitute the only information furnished by or on behalf of the Underwriter through the Representative as such information is referred to in Sections 1(c), 1(d), 1(f), 1(g), 5(q), 6(a) and 6(c) hereof: (A) the name of the Underwriter, (B) the table under the first paragraph under the heading “Underwriting,” (C) the second paragraph under the heading “Underwriting—Commissions and Expenses” related to concessions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paragraphs under the heading “Underwriting—Price Stabilizations, Short Positions and Penalty Bids.”</w:t>
      </w:r>
    </w:p>
    <w:p>
      <w:pPr>
        <w:spacing w:after="0" w:line="210" w:lineRule="exact"/>
        <w:rPr>
          <w:rFonts w:ascii="Arial" w:cs="Arial" w:eastAsia="Arial" w:hAnsi="Arial"/>
          <w:sz w:val="18"/>
          <w:szCs w:val="18"/>
          <w:color w:val="auto"/>
        </w:rPr>
      </w:pPr>
    </w:p>
    <w:p>
      <w:pPr>
        <w:ind w:firstLine="921"/>
        <w:spacing w:after="0" w:line="289" w:lineRule="auto"/>
        <w:tabs>
          <w:tab w:leader="none" w:pos="1183"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Partnership acknowledges that the Underwriter’s research analysts and research departments are required to be independent from their respective investment banking divisions and are subject to certain regulations and internal policies, and that the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 with respect to any conflict of interest that may arise from the fact that the views expressed by its independent research analysts and research departments may be different from or inconsistent with the views or advice communicated to the Partnership by the Underwriter’s investment banking divisions. The Partnership acknowledges that the Underwriter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6" w:lineRule="exact"/>
        <w:rPr>
          <w:rFonts w:ascii="Arial" w:cs="Arial" w:eastAsia="Arial" w:hAnsi="Arial"/>
          <w:sz w:val="16"/>
          <w:szCs w:val="16"/>
          <w:color w:val="auto"/>
        </w:rPr>
      </w:pPr>
    </w:p>
    <w:p>
      <w:pPr>
        <w:ind w:right="240" w:firstLine="921"/>
        <w:spacing w:after="0" w:line="277" w:lineRule="auto"/>
        <w:tabs>
          <w:tab w:leader="none" w:pos="118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Partnership and the Underwriter, with respect to the subject matter hereof.</w:t>
      </w:r>
    </w:p>
    <w:p>
      <w:pPr>
        <w:spacing w:after="0" w:line="170" w:lineRule="exact"/>
        <w:rPr>
          <w:rFonts w:ascii="Arial" w:cs="Arial" w:eastAsia="Arial" w:hAnsi="Arial"/>
          <w:sz w:val="18"/>
          <w:szCs w:val="18"/>
          <w:color w:val="auto"/>
        </w:rPr>
      </w:pPr>
    </w:p>
    <w:p>
      <w:pPr>
        <w:ind w:left="1200" w:hanging="279"/>
        <w:spacing w:after="0"/>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200" w:hanging="279"/>
        <w:spacing w:after="0"/>
        <w:tabs>
          <w:tab w:leader="none" w:pos="1200"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Effective Date of Agreement</w:t>
      </w:r>
      <w:r>
        <w:rPr>
          <w:rFonts w:ascii="Arial" w:cs="Arial" w:eastAsia="Arial" w:hAnsi="Arial"/>
          <w:sz w:val="17"/>
          <w:szCs w:val="17"/>
          <w:color w:val="auto"/>
        </w:rPr>
        <w:t>. This Agreement shall become effective upon the execution and delivery hereof by the parties hereto.</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38" w:name="page39"/>
    <w:bookmarkEnd w:id="38"/>
    <w:p>
      <w:pPr>
        <w:ind w:left="-80" w:firstLine="921"/>
        <w:spacing w:after="0" w:line="289" w:lineRule="auto"/>
        <w:tabs>
          <w:tab w:leader="none" w:pos="110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Fiduciary Duty</w:t>
      </w:r>
      <w:r>
        <w:rPr>
          <w:rFonts w:ascii="Arial" w:cs="Arial" w:eastAsia="Arial" w:hAnsi="Arial"/>
          <w:sz w:val="16"/>
          <w:szCs w:val="16"/>
          <w:color w:val="auto"/>
        </w:rPr>
        <w:t>. The Partnership acknowledges and agrees that in connection with this offering and sale of the Units or any other services the Underwriter may be deemed to be providing hereunder, notwithstanding any preexisting relationship, advisory or otherwise, between the parties or any oral representations or assurances previously or subsequently made by the Underwriter: (i) no fiduciary or agency relationship between the Partnership and any other person, on the one hand, and the Underwriter, on the other hand, exists; (ii) the Underwriter is not acting as advisor, expert or otherwise, to the Partnership, including, without limitation, with respect to the determination of the public offering price of the Units, and such relationship between the Partnership, on the one hand, and the Underwriter, on the other, is entirely and solely commercial, based on arms-length negotiations; (iii) any duties and obligations that the Underwriter may have to the Partnership shall be limited to those duties and obligations specifically stated herein; and (iv) the Underwriter and its respective affiliates may have interests that differ from those of the Partnership. The Partnership hereby waives any claims that it may have against the Underwriter with respect to any breach of fiduciary duty in connection with this offering.</w:t>
      </w:r>
    </w:p>
    <w:p>
      <w:pPr>
        <w:spacing w:after="0" w:line="166" w:lineRule="exact"/>
        <w:rPr>
          <w:rFonts w:ascii="Arial" w:cs="Arial" w:eastAsia="Arial" w:hAnsi="Arial"/>
          <w:sz w:val="16"/>
          <w:szCs w:val="16"/>
          <w:color w:val="auto"/>
        </w:rPr>
      </w:pPr>
    </w:p>
    <w:p>
      <w:pPr>
        <w:ind w:left="-80" w:right="60" w:firstLine="921"/>
        <w:spacing w:after="0" w:line="259" w:lineRule="auto"/>
        <w:tabs>
          <w:tab w:leader="none" w:pos="110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274"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that the foregoing correctly sets forth the agreement among the Partnership and the Underwriter.</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PAA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AAP, L.P.,</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14605</wp:posOffset>
            </wp:positionV>
            <wp:extent cx="24180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 Herbold</w:t>
      </w:r>
    </w:p>
    <w:p>
      <w:pPr>
        <w:spacing w:after="0" w:line="23" w:lineRule="exact"/>
        <w:rPr>
          <w:sz w:val="20"/>
          <w:szCs w:val="20"/>
          <w:color w:val="auto"/>
        </w:rPr>
      </w:pPr>
    </w:p>
    <w:p>
      <w:pPr>
        <w:jc w:val="both"/>
        <w:ind w:left="6700"/>
        <w:spacing w:after="0"/>
        <w:tabs>
          <w:tab w:leader="none" w:pos="7300" w:val="left"/>
        </w:tabs>
        <w:rPr>
          <w:sz w:val="20"/>
          <w:szCs w:val="20"/>
          <w:color w:val="auto"/>
        </w:rPr>
      </w:pPr>
      <w:r>
        <w:rPr>
          <w:rFonts w:ascii="Arial" w:cs="Arial" w:eastAsia="Arial" w:hAnsi="Arial"/>
          <w:sz w:val="18"/>
          <w:szCs w:val="18"/>
          <w:color w:val="auto"/>
        </w:rPr>
        <w:t>Title:</w:t>
        <w:tab/>
        <w:t>Vice President – Accounting and Chief</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120"/>
          </w:cols>
          <w:pgMar w:left="1160" w:top="274" w:right="61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 confirmed and accepted as of the date first above written.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126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6"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Victoria Hale</w:t>
      </w:r>
    </w:p>
    <w:p>
      <w:pPr>
        <w:spacing w:after="0" w:line="23"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219"/>
          </w:cols>
          <w:pgMar w:left="240" w:top="274"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50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500" w:type="dxa"/>
            <w:vAlign w:val="bottom"/>
            <w:gridSpan w:val="3"/>
          </w:tcPr>
          <w:p>
            <w:pPr>
              <w:jc w:val="center"/>
              <w:ind w:right="2900"/>
              <w:spacing w:after="0"/>
              <w:rPr>
                <w:sz w:val="20"/>
                <w:szCs w:val="20"/>
                <w:color w:val="auto"/>
              </w:rPr>
            </w:pPr>
            <w:r>
              <w:rPr>
                <w:rFonts w:ascii="Arial" w:cs="Arial" w:eastAsia="Arial" w:hAnsi="Arial"/>
                <w:sz w:val="18"/>
                <w:szCs w:val="18"/>
                <w:color w:val="auto"/>
                <w:w w:val="93"/>
              </w:rPr>
              <w:t>Plains All American Pipeline, L.P.</w:t>
            </w: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Firm Units</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75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58"/>
        </w:trPr>
        <w:tc>
          <w:tcPr>
            <w:tcW w:w="2920" w:type="dxa"/>
            <w:vAlign w:val="bottom"/>
            <w:gridSpan w:val="2"/>
            <w:vMerge w:val="continue"/>
          </w:tcPr>
          <w:p>
            <w:pPr>
              <w:spacing w:after="0"/>
              <w:rPr>
                <w:sz w:val="13"/>
                <w:szCs w:val="13"/>
                <w:color w:val="auto"/>
              </w:rPr>
            </w:pPr>
          </w:p>
        </w:tc>
        <w:tc>
          <w:tcPr>
            <w:tcW w:w="7540" w:type="dxa"/>
            <w:vAlign w:val="bottom"/>
          </w:tcPr>
          <w:p>
            <w:pPr>
              <w:spacing w:after="0"/>
              <w:rPr>
                <w:sz w:val="13"/>
                <w:szCs w:val="13"/>
                <w:color w:val="auto"/>
              </w:rPr>
            </w:pP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7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21,000,000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500" w:type="dxa"/>
            <w:vAlign w:val="bottom"/>
            <w:gridSpan w:val="3"/>
          </w:tcPr>
          <w:p>
            <w:pPr>
              <w:jc w:val="center"/>
              <w:ind w:right="2920"/>
              <w:spacing w:after="0"/>
              <w:rPr>
                <w:sz w:val="20"/>
                <w:szCs w:val="20"/>
                <w:color w:val="auto"/>
              </w:rPr>
            </w:pPr>
            <w:r>
              <w:rPr>
                <w:rFonts w:ascii="Arial" w:cs="Arial" w:eastAsia="Arial" w:hAnsi="Arial"/>
                <w:sz w:val="18"/>
                <w:szCs w:val="18"/>
                <w:i w:val="1"/>
                <w:iCs w:val="1"/>
                <w:color w:val="auto"/>
                <w:w w:val="91"/>
              </w:rPr>
              <w:t>Schedule I to Underwriting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p>
      <w:pPr>
        <w:jc w:val="center"/>
        <w:ind w:right="-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Additional Pricing Disclosure Package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w:t>
      </w:r>
    </w:p>
    <w:p>
      <w:pPr>
        <w:sectPr>
          <w:pgSz w:w="11900" w:h="16838" w:orient="portrait"/>
          <w:cols w:equalWidth="0" w:num="1">
            <w:col w:w="10720"/>
          </w:cols>
          <w:pgMar w:left="240" w:top="270" w:right="9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Number of Units: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21,000,000 Firm Units or, if the Underwriter exercises in full its option to purchase additional Units granted in Section 2 hereof, 24,150,000 Units</w:t>
      </w:r>
    </w:p>
    <w:p>
      <w:pPr>
        <w:spacing w:after="0" w:line="62" w:lineRule="exact"/>
        <w:rPr>
          <w:sz w:val="20"/>
          <w:szCs w:val="20"/>
          <w:color w:val="auto"/>
        </w:rPr>
      </w:pPr>
    </w:p>
    <w:p>
      <w:pPr>
        <w:sectPr>
          <w:pgSz w:w="11900" w:h="16838" w:orient="portrait"/>
          <w:cols w:equalWidth="0" w:num="2">
            <w:col w:w="2020" w:space="720"/>
            <w:col w:w="7980"/>
          </w:cols>
          <w:pgMar w:left="240" w:top="270" w:right="939" w:bottom="1440" w:gutter="0" w:footer="0" w:header="0"/>
          <w:type w:val="continuous"/>
        </w:sectPr>
      </w:pPr>
    </w:p>
    <w:p>
      <w:pPr>
        <w:spacing w:after="0"/>
        <w:rPr>
          <w:sz w:val="20"/>
          <w:szCs w:val="20"/>
          <w:color w:val="auto"/>
        </w:rPr>
      </w:pPr>
      <w:r>
        <w:rPr>
          <w:rFonts w:ascii="Arial" w:cs="Arial" w:eastAsia="Arial" w:hAnsi="Arial"/>
          <w:sz w:val="16"/>
          <w:szCs w:val="16"/>
          <w:color w:val="auto"/>
        </w:rPr>
        <w:t>Public offering price for the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$50.00 per unit</w:t>
      </w:r>
    </w:p>
    <w:p>
      <w:pPr>
        <w:spacing w:after="0" w:line="200" w:lineRule="exact"/>
        <w:rPr>
          <w:sz w:val="20"/>
          <w:szCs w:val="20"/>
          <w:color w:val="auto"/>
        </w:rPr>
      </w:pPr>
    </w:p>
    <w:p>
      <w:pPr>
        <w:sectPr>
          <w:pgSz w:w="11900" w:h="16838" w:orient="portrait"/>
          <w:cols w:equalWidth="0" w:num="2">
            <w:col w:w="2500" w:space="240"/>
            <w:col w:w="7980"/>
          </w:cols>
          <w:pgMar w:left="240" w:top="270" w:right="939" w:bottom="1440" w:gutter="0" w:footer="0" w:header="0"/>
          <w:type w:val="continuous"/>
        </w:sectPr>
      </w:pPr>
    </w:p>
    <w:p>
      <w:pPr>
        <w:spacing w:after="0" w:line="48"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Schedule II to Underwriting Agreement</w:t>
      </w:r>
    </w:p>
    <w:p>
      <w:pPr>
        <w:sectPr>
          <w:pgSz w:w="11900" w:h="16838" w:orient="portrait"/>
          <w:cols w:equalWidth="0" w:num="1">
            <w:col w:w="10720"/>
          </w:cols>
          <w:pgMar w:left="240" w:top="270" w:right="939" w:bottom="1440" w:gutter="0" w:footer="0" w:header="0"/>
          <w:type w:val="continuous"/>
        </w:sectPr>
      </w:pPr>
    </w:p>
    <w:bookmarkStart w:id="43" w:name="page44"/>
    <w:bookmarkEnd w:id="4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III to Underwriting Agreement</w:t>
      </w:r>
    </w:p>
    <w:p>
      <w:pPr>
        <w:sectPr>
          <w:pgSz w:w="11900" w:h="16838" w:orient="portrait"/>
          <w:cols w:equalWidth="0" w:num="1">
            <w:col w:w="10219"/>
          </w:cols>
          <w:pgMar w:left="240" w:top="270" w:right="1440" w:bottom="1440" w:gutter="0" w:footer="0" w:header="0"/>
        </w:sectPr>
      </w:pPr>
    </w:p>
    <w:bookmarkStart w:id="44" w:name="page45"/>
    <w:bookmarkEnd w:id="4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IV to Underwriting Agreement</w:t>
      </w:r>
    </w:p>
    <w:p>
      <w:pPr>
        <w:sectPr>
          <w:pgSz w:w="11900" w:h="16838" w:orient="portrait"/>
          <w:cols w:equalWidth="0" w:num="1">
            <w:col w:w="10219"/>
          </w:cols>
          <w:pgMar w:left="240" w:top="270"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2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rPr>
              <w:t>EXHIBIT A</w:t>
            </w:r>
          </w:p>
        </w:tc>
      </w:tr>
      <w:tr>
        <w:trPr>
          <w:trHeight w:val="39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Entity</w:t>
            </w:r>
          </w:p>
        </w:tc>
        <w:tc>
          <w:tcPr>
            <w:tcW w:w="3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Jurisdiction in which registered or qualified</w:t>
            </w:r>
          </w:p>
        </w:tc>
        <w:tc>
          <w:tcPr>
            <w:tcW w:w="2360" w:type="dxa"/>
            <w:vAlign w:val="bottom"/>
          </w:tcPr>
          <w:p>
            <w:pPr>
              <w:spacing w:after="0"/>
              <w:rPr>
                <w:sz w:val="24"/>
                <w:szCs w:val="24"/>
                <w:color w:val="auto"/>
              </w:rPr>
            </w:pPr>
          </w:p>
        </w:tc>
      </w:tr>
      <w:tr>
        <w:trPr>
          <w:trHeight w:val="318"/>
        </w:trPr>
        <w:tc>
          <w:tcPr>
            <w:tcW w:w="4020" w:type="dxa"/>
            <w:vAlign w:val="bottom"/>
            <w:gridSpan w:val="2"/>
          </w:tcPr>
          <w:p>
            <w:pPr>
              <w:spacing w:after="0"/>
              <w:rPr>
                <w:sz w:val="20"/>
                <w:szCs w:val="20"/>
                <w:color w:val="auto"/>
              </w:rPr>
            </w:pPr>
            <w:r>
              <w:rPr>
                <w:rFonts w:ascii="Arial" w:cs="Arial" w:eastAsia="Arial" w:hAnsi="Arial"/>
                <w:sz w:val="18"/>
                <w:szCs w:val="18"/>
                <w:color w:val="auto"/>
              </w:rPr>
              <w:t>Plains All American Pipeline, L.P.</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PAA GP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Marketing, L.P.</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Pipeline, L.P.</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Products Terminals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310"/>
        </w:trPr>
        <w:tc>
          <w:tcPr>
            <w:tcW w:w="4020" w:type="dxa"/>
            <w:vAlign w:val="bottom"/>
            <w:gridSpan w:val="2"/>
          </w:tcPr>
          <w:p>
            <w:pPr>
              <w:spacing w:after="0"/>
              <w:rPr>
                <w:sz w:val="20"/>
                <w:szCs w:val="20"/>
                <w:color w:val="auto"/>
              </w:rPr>
            </w:pPr>
            <w:r>
              <w:rPr>
                <w:rFonts w:ascii="Arial" w:cs="Arial" w:eastAsia="Arial" w:hAnsi="Arial"/>
                <w:sz w:val="18"/>
                <w:szCs w:val="18"/>
                <w:color w:val="auto"/>
              </w:rPr>
              <w:t>Plains Midstream Canada ULC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w w:val="91"/>
              </w:rPr>
              <w:t>Alberta, Manitoba, New Brunswick, Nova Scotia, Ontario, Quebec,</w:t>
            </w:r>
          </w:p>
        </w:tc>
      </w:tr>
      <w:tr>
        <w:trPr>
          <w:trHeight w:val="230"/>
        </w:trPr>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Saskatchewan</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South Texas Gathering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Oklahoma</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Pacific Pipeline System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West Coast Terminals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Rocky Mountain Pipeline System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Pine Prairie Energy Center,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SG Resources Mississippi LLC</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Alabama, Mississippi</w:t>
            </w:r>
          </w:p>
        </w:tc>
      </w:tr>
      <w:tr>
        <w:trPr>
          <w:trHeight w:val="324"/>
        </w:trPr>
        <w:tc>
          <w:tcPr>
            <w:tcW w:w="4020" w:type="dxa"/>
            <w:vAlign w:val="bottom"/>
            <w:gridSpan w:val="2"/>
          </w:tcPr>
          <w:p>
            <w:pPr>
              <w:spacing w:after="0"/>
              <w:rPr>
                <w:sz w:val="20"/>
                <w:szCs w:val="20"/>
                <w:color w:val="auto"/>
              </w:rPr>
            </w:pPr>
            <w:r>
              <w:rPr>
                <w:rFonts w:ascii="Arial" w:cs="Arial" w:eastAsia="Arial" w:hAnsi="Arial"/>
                <w:sz w:val="18"/>
                <w:szCs w:val="18"/>
                <w:color w:val="auto"/>
              </w:rPr>
              <w:t>Plains LPG Services LP</w:t>
            </w:r>
          </w:p>
        </w:tc>
        <w:tc>
          <w:tcPr>
            <w:tcW w:w="204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California, Illinois, Oklahoma</w:t>
            </w:r>
          </w:p>
        </w:tc>
      </w:tr>
      <w:tr>
        <w:trPr>
          <w:trHeight w:val="365"/>
        </w:trPr>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920" w:type="dxa"/>
            <w:vAlign w:val="bottom"/>
            <w:gridSpan w:val="3"/>
          </w:tcPr>
          <w:p>
            <w:pPr>
              <w:jc w:val="center"/>
              <w:ind w:right="3540"/>
              <w:spacing w:after="0"/>
              <w:rPr>
                <w:sz w:val="20"/>
                <w:szCs w:val="20"/>
                <w:color w:val="auto"/>
              </w:rPr>
            </w:pPr>
            <w:r>
              <w:rPr>
                <w:rFonts w:ascii="Arial" w:cs="Arial" w:eastAsia="Arial" w:hAnsi="Arial"/>
                <w:sz w:val="18"/>
                <w:szCs w:val="18"/>
                <w:color w:val="auto"/>
                <w:w w:val="98"/>
              </w:rPr>
              <w:t>Exhibit A-1</w:t>
            </w:r>
          </w:p>
        </w:tc>
      </w:tr>
    </w:tbl>
    <w:p>
      <w:pPr>
        <w:jc w:val="center"/>
        <w:ind w:right="3540"/>
        <w:spacing w:after="0"/>
        <w:rPr>
          <w:sz w:val="20"/>
          <w:szCs w:val="20"/>
          <w:color w:val="auto"/>
        </w:rPr>
        <w:sectPr>
          <w:pgSz w:w="11900" w:h="16838" w:orient="portrait"/>
          <w:cols w:equalWidth="0" w:num="1">
            <w:col w:w="10940"/>
          </w:cols>
          <w:pgMar w:left="240" w:top="270" w:right="7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February 25, 2015</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Public Offering of Common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among Plains All American Pipeline, L.P., a Delaware limited partnership (the “Partnership”) and Barclays Capital Inc. (the “Underwriter”) relating to an underwritten public offering of common units representing limited partner interests of the Partnership.</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To induce you to enter into the Underwriting Agreement, the undersigned agrees that, except for transfers of Common Units (as defined in the Underwriting Agreement) in connection with (i) sales to pay tax liabilities associated with the vesting of Restricted Unit or Phantom Unit awards under the Partnership’s long-term incentive plans or (ii) gifts or charitable donations,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400"/>
          </w:cols>
          <w:pgMar w:left="240" w:top="270" w:right="25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Common Units, or publicly announce an intention to effect any such transaction, for a period of 45 days after the date of the Prospectus (as defined in the Underwriting Agreement) (the “Lock-Up Period”) without the prior written consent of Barclays Capital Inc.</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for any reason the Underwriting Agreement is terminated before the applicable Delivery Date (as defined in the Underwriting Agreement), the agreement set forth above shall likewise be terminated.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B-2</w:t>
      </w:r>
    </w:p>
    <w:p>
      <w:pPr>
        <w:sectPr>
          <w:pgSz w:w="11900" w:h="16838" w:orient="portrait"/>
          <w:cols w:equalWidth="0" w:num="1">
            <w:col w:w="11360"/>
          </w:cols>
          <w:pgMar w:left="240" w:top="274" w:right="29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February 25, 2015</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December 31, 2014. In addition, as of the date of this certificate, the total debt of the Partnership is approximately $9.8 billion.</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and Barclays Capital Inc. (the “Underwriter”).</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This certificate is to assist the Underwriter in conducting and documenting its investigation of the affairs of the Partnership in connection with the offering of the Units covered by the Registration Statement, the Pricing Disclosure Package and the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11420"/>
          </w:cols>
          <w:pgMar w:left="240" w:top="27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hereunto affixed his signature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306705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C-2</w:t>
      </w:r>
    </w:p>
    <w:p>
      <w:pPr>
        <w:sectPr>
          <w:pgSz w:w="11900" w:h="16838" w:orient="portrait"/>
          <w:cols w:equalWidth="0" w:num="1">
            <w:col w:w="10220"/>
          </w:cols>
          <w:pgMar w:left="700" w:top="274" w:right="9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43685"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6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713.758.2346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acted as counsel for Plains All American Pipeline,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with respect to certain legal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matters in connection with the registration by the Partnership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 sale by the Partnership of up to 24,150,000 common units representing limited partner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We have participated in the preparation of a Prospectus Supplement dated February 26, 2015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Prospectus dated September 27, 2012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forming part of the Registration Statement on Form S-3 (No. 333-184137)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which this opinion is an exhibit. The Prospectus Supplement has been filed pursuant to Rule 424(b) promulgated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In rendering the opinions set forth below, we have examined and relied upon (i) the Delaware Revised Uniform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the Registration Statement, the Prospectus Supplement and the Prospectus, (iii) the Fourth Amended and Restated Agreement of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 of the Partnership, dated as of May 17, 2012, as amended, (iv) the Certificate of Limited Partnership of the Partnership, (v) an Underwriting Agreement, dated February 25, 2015 relating to the offering and sale of the Units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a copy of which is being filed with the Commission as an exhibit to the Partnership’s Current Report on Form 8-K on or about the date hereof, (vi) certain resolutions adopted by the board of directors Plains All American GP LLC, the general partner of Plains AAP, L.P., which is the sole member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w:t>
      </w:r>
    </w:p>
    <w:p>
      <w:pPr>
        <w:spacing w:after="0" w:line="166"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the Units are duly and validly authorized for issuance and, upon payment and delivery of the Units in accordance with the Underwriting Agreement, the Prospectus Supplement and the Prospectus, will be validly issued, fully paid and non-assessable.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Vinson &amp; Elkins LLP Attorneys at Law</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1001 Fannin Street, Suite 2500</w:t>
      </w:r>
    </w:p>
    <w:p>
      <w:pPr>
        <w:spacing w:after="0" w:line="118" w:lineRule="exact"/>
        <w:rPr>
          <w:sz w:val="20"/>
          <w:szCs w:val="20"/>
          <w:color w:val="auto"/>
        </w:rPr>
      </w:pPr>
    </w:p>
    <w:p>
      <w:pPr>
        <w:sectPr>
          <w:pgSz w:w="11900" w:h="16838" w:orient="portrait"/>
          <w:cols w:equalWidth="0" w:num="2">
            <w:col w:w="5920" w:space="720"/>
            <w:col w:w="4780"/>
          </w:cols>
          <w:pgMar w:left="240" w:top="121" w:right="239" w:bottom="1440" w:gutter="0" w:footer="0" w:header="0"/>
          <w:type w:val="continuous"/>
        </w:sectPr>
      </w:pPr>
    </w:p>
    <w:p>
      <w:pPr>
        <w:spacing w:after="0"/>
        <w:rPr>
          <w:sz w:val="20"/>
          <w:szCs w:val="20"/>
          <w:color w:val="auto"/>
        </w:rPr>
      </w:pPr>
      <w:r>
        <w:rPr>
          <w:rFonts w:ascii="Arial" w:cs="Arial" w:eastAsia="Arial" w:hAnsi="Arial"/>
          <w:sz w:val="14"/>
          <w:szCs w:val="14"/>
          <w:color w:val="auto"/>
        </w:rPr>
        <w:t>Abu Dhabi Austin Beijing Dallas Dubai Hong Kong Houston London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Houston, TX 77002-6760</w:t>
      </w:r>
    </w:p>
    <w:p>
      <w:pPr>
        <w:spacing w:after="0" w:line="103" w:lineRule="exact"/>
        <w:rPr>
          <w:sz w:val="20"/>
          <w:szCs w:val="20"/>
          <w:color w:val="auto"/>
        </w:rPr>
      </w:pPr>
    </w:p>
    <w:p>
      <w:pPr>
        <w:sectPr>
          <w:pgSz w:w="11900" w:h="16838" w:orient="portrait"/>
          <w:cols w:equalWidth="0" w:num="2">
            <w:col w:w="5920" w:space="720"/>
            <w:col w:w="4780"/>
          </w:cols>
          <w:pgMar w:left="240" w:top="121"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Moscow New York Palo Alto Riyadh San Francisco Tokyo Washington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 xml:space="preserve">Fax </w:t>
      </w:r>
      <w:r>
        <w:rPr>
          <w:rFonts w:ascii="Arial" w:cs="Arial" w:eastAsia="Arial" w:hAnsi="Arial"/>
          <w:sz w:val="12"/>
          <w:szCs w:val="12"/>
          <w:color w:val="auto"/>
        </w:rPr>
        <w:t>+1.713.758.2346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www.velaw.com</w:t>
      </w:r>
    </w:p>
    <w:p>
      <w:pPr>
        <w:sectPr>
          <w:pgSz w:w="11900" w:h="16838" w:orient="portrait"/>
          <w:cols w:equalWidth="0" w:num="4">
            <w:col w:w="5920" w:space="720"/>
            <w:col w:w="1200" w:space="80"/>
            <w:col w:w="1240" w:space="80"/>
            <w:col w:w="2180"/>
          </w:cols>
          <w:pgMar w:left="240" w:top="121"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February 27, 2015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8006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0060" cy="222885"/>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A. 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 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420"/>
          </w:cols>
          <w:pgMar w:left="240" w:top="2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5194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519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80" w:firstLine="456"/>
        <w:spacing w:after="0" w:line="279" w:lineRule="auto"/>
        <w:rPr>
          <w:sz w:val="20"/>
          <w:szCs w:val="20"/>
          <w:color w:val="auto"/>
        </w:rPr>
      </w:pPr>
      <w:r>
        <w:rPr>
          <w:rFonts w:ascii="Arial" w:cs="Arial" w:eastAsia="Arial" w:hAnsi="Arial"/>
          <w:sz w:val="17"/>
          <w:szCs w:val="17"/>
          <w:color w:val="auto"/>
        </w:rPr>
        <w:t>We have acted as counsel for Plains All American Pipeline, L.P.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a Delaware limited partnership, with respect to certain legal matters in connection with the offer and sale of common units representing limited partner interests in the Partnership. We have also participated in the preparation of a Prospectus Supplement dated February 26, 2015 (the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and the Prospectus dated September 27, 2012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forming part of the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p>
    <w:p>
      <w:pPr>
        <w:spacing w:after="0" w:line="17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hereby confirm that all statements of legal conclusions contained in the discussion in the Prospectus under the caption “Material U.S. Federal Income Tax Consequences,” as updated by the discussion in the Prospectus Supplement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w:t>
      </w:r>
    </w:p>
    <w:p>
      <w:pPr>
        <w:sectPr>
          <w:pgSz w:w="11900" w:h="16838" w:orient="portrait"/>
          <w:cols w:equalWidth="0" w:num="1">
            <w:col w:w="11420"/>
          </w:cols>
          <w:pgMar w:left="240" w:top="121" w:right="23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Vinson &amp; Elkins LLP Attorneys at Law</w:t>
      </w:r>
    </w:p>
    <w:p>
      <w:pPr>
        <w:spacing w:after="0" w:line="226" w:lineRule="auto"/>
        <w:rPr>
          <w:sz w:val="20"/>
          <w:szCs w:val="20"/>
          <w:color w:val="auto"/>
        </w:rPr>
      </w:pPr>
      <w:r>
        <w:rPr>
          <w:rFonts w:ascii="Arial" w:cs="Arial" w:eastAsia="Arial" w:hAnsi="Arial"/>
          <w:sz w:val="14"/>
          <w:szCs w:val="14"/>
          <w:color w:val="auto"/>
        </w:rPr>
        <w:t>Abu Dhabi Austin Beijing Dallas Dubai Hong Kong Houston London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Moscow New York Palo Alto Riyadh Shanghai Tokyo Washington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1001 Fannin Street, Suite 2500</w:t>
      </w:r>
    </w:p>
    <w:p>
      <w:pPr>
        <w:spacing w:after="0" w:line="221" w:lineRule="auto"/>
        <w:rPr>
          <w:sz w:val="20"/>
          <w:szCs w:val="20"/>
          <w:color w:val="auto"/>
        </w:rPr>
      </w:pPr>
      <w:r>
        <w:rPr>
          <w:rFonts w:ascii="Arial" w:cs="Arial" w:eastAsia="Arial" w:hAnsi="Arial"/>
          <w:sz w:val="14"/>
          <w:szCs w:val="14"/>
          <w:color w:val="auto"/>
        </w:rPr>
        <w:t>Houston, TX 77002-6760</w:t>
      </w:r>
    </w:p>
    <w:p>
      <w:pPr>
        <w:spacing w:after="0"/>
        <w:rPr>
          <w:sz w:val="20"/>
          <w:szCs w:val="20"/>
          <w:color w:val="auto"/>
        </w:rPr>
      </w:pPr>
      <w:r>
        <w:rPr>
          <w:rFonts w:ascii="Arial" w:cs="Arial" w:eastAsia="Arial" w:hAnsi="Arial"/>
          <w:sz w:val="13"/>
          <w:szCs w:val="13"/>
          <w:b w:val="1"/>
          <w:bCs w:val="1"/>
          <w:color w:val="auto"/>
        </w:rPr>
        <w:t xml:space="preserve">Tel </w:t>
      </w:r>
      <w:r>
        <w:rPr>
          <w:rFonts w:ascii="Arial" w:cs="Arial" w:eastAsia="Arial" w:hAnsi="Arial"/>
          <w:sz w:val="13"/>
          <w:szCs w:val="13"/>
          <w:color w:val="auto"/>
        </w:rPr>
        <w:t>+1.713.758.2222</w:t>
      </w:r>
      <w:r>
        <w:rPr>
          <w:rFonts w:ascii="Arial" w:cs="Arial" w:eastAsia="Arial" w:hAnsi="Arial"/>
          <w:sz w:val="13"/>
          <w:szCs w:val="13"/>
          <w:b w:val="1"/>
          <w:bCs w:val="1"/>
          <w:color w:val="auto"/>
        </w:rPr>
        <w:t xml:space="preserve"> Fax </w:t>
      </w:r>
      <w:r>
        <w:rPr>
          <w:rFonts w:ascii="Arial" w:cs="Arial" w:eastAsia="Arial" w:hAnsi="Arial"/>
          <w:sz w:val="13"/>
          <w:szCs w:val="13"/>
          <w:color w:val="auto"/>
        </w:rPr>
        <w:t>+1.713.758.2346</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www.velaw.com</w:t>
      </w:r>
    </w:p>
    <w:p>
      <w:pPr>
        <w:sectPr>
          <w:pgSz w:w="11900" w:h="16838" w:orient="portrait"/>
          <w:cols w:equalWidth="0" w:num="3">
            <w:col w:w="5100" w:space="720"/>
            <w:col w:w="2540" w:space="60"/>
            <w:col w:w="3000"/>
          </w:cols>
          <w:pgMar w:left="240" w:top="121" w:right="239" w:bottom="1440" w:gutter="0" w:footer="0" w:header="0"/>
          <w:type w:val="continuous"/>
        </w:sectPr>
      </w:pPr>
    </w:p>
    <w:bookmarkStart w:id="53" w:name="page54"/>
    <w:bookmarkEnd w:id="53"/>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40385" cy="317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40385" cy="317500"/>
                    </a:xfrm>
                    <a:prstGeom prst="rect">
                      <a:avLst/>
                    </a:prstGeom>
                    <a:noFill/>
                  </pic:spPr>
                </pic:pic>
              </a:graphicData>
            </a:graphic>
          </wp:anchor>
        </w:drawing>
        <w:t>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No opinion is expressed as to any matter not discussed in the Prospectus under the caption “Material U.S. Federal Income Tax Consequences” or in the Prospectus Supplement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opinion is rendered to you as of the effective date of the Registration Statement, and we undertake no obligation to update this opinion subsequent to the date hereof. This opinion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and the Prospectus Supplement. In giving such consent, we do not admit that we are within the category of persons whose consent is required under Section 7 of the Securities Act of 1933, as amended</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VINSON &amp; ELKINS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Vinson &amp; Elkins L.L.P.</w:t>
      </w:r>
    </w:p>
    <w:sectPr>
      <w:pgSz w:w="11900" w:h="16838" w:orient="portrait"/>
      <w:cols w:equalWidth="0" w:num="1">
        <w:col w:w="11400"/>
      </w:cols>
      <w:pgMar w:left="240" w:top="7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Letter"/>
      <w:start w:val="1"/>
    </w:lvl>
  </w:abstractNum>
  <w:abstractNum w:abstractNumId="2">
    <w:nsid w:val="4516DDE9"/>
    <w:multiLevelType w:val="hybridMultilevel"/>
    <w:lvl w:ilvl="0">
      <w:lvlJc w:val="left"/>
      <w:lvlText w:val="(%1)"/>
      <w:numFmt w:val="lowerRoman"/>
      <w:start w:val="1"/>
    </w:lvl>
  </w:abstractNum>
  <w:abstractNum w:abstractNumId="3">
    <w:nsid w:val="3006C83E"/>
    <w:multiLevelType w:val="hybridMultilevel"/>
    <w:lvl w:ilvl="0">
      <w:lvlJc w:val="left"/>
      <w:lvlText w:val="(%1)"/>
      <w:numFmt w:val="lowerLetter"/>
      <w:start w:val="2"/>
    </w:lvl>
  </w:abstractNum>
  <w:abstractNum w:abstractNumId="4">
    <w:nsid w:val="614FD4A1"/>
    <w:multiLevelType w:val="hybridMultilevel"/>
    <w:lvl w:ilvl="0">
      <w:lvlJc w:val="left"/>
      <w:lvlText w:val="(%1)"/>
      <w:numFmt w:val="lowerLetter"/>
      <w:start w:val="5"/>
    </w:lvl>
  </w:abstractNum>
  <w:abstractNum w:abstractNumId="5">
    <w:nsid w:val="419AC241"/>
    <w:multiLevelType w:val="hybridMultilevel"/>
    <w:lvl w:ilvl="0">
      <w:lvlJc w:val="left"/>
      <w:lvlText w:val="%1"/>
      <w:numFmt w:val="lowerLetter"/>
      <w:start w:val="1"/>
    </w:lvl>
    <w:lvl w:ilvl="1">
      <w:lvlJc w:val="left"/>
      <w:lvlText w:val="(%2)"/>
      <w:numFmt w:val="lowerLetter"/>
      <w:start w:val="10"/>
    </w:lvl>
  </w:abstractNum>
  <w:abstractNum w:abstractNumId="6">
    <w:nsid w:val="5577F8E1"/>
    <w:multiLevelType w:val="hybridMultilevel"/>
    <w:lvl w:ilvl="0">
      <w:lvlJc w:val="left"/>
      <w:lvlText w:val="(%1)"/>
      <w:numFmt w:val="lowerLetter"/>
      <w:start w:val="35"/>
    </w:lvl>
    <w:lvl w:ilvl="1">
      <w:lvlJc w:val="left"/>
      <w:lvlText w:val="(%2)"/>
      <w:numFmt w:val="lowerLetter"/>
      <w:start w:val="11"/>
    </w:lvl>
  </w:abstractNum>
  <w:abstractNum w:abstractNumId="7">
    <w:nsid w:val="440BADFC"/>
    <w:multiLevelType w:val="hybridMultilevel"/>
    <w:lvl w:ilvl="0">
      <w:lvlJc w:val="left"/>
      <w:lvlText w:val="(%1)"/>
      <w:numFmt w:val="lowerLetter"/>
      <w:start w:val="1"/>
    </w:lvl>
    <w:lvl w:ilvl="1">
      <w:lvlJc w:val="left"/>
      <w:lvlText w:val="%2"/>
      <w:numFmt w:val="lowerLetter"/>
      <w:start w:val="1"/>
    </w:lvl>
  </w:abstractNum>
  <w:abstractNum w:abstractNumId="8">
    <w:nsid w:val="5072367"/>
    <w:multiLevelType w:val="hybridMultilevel"/>
    <w:lvl w:ilvl="0">
      <w:lvlJc w:val="left"/>
      <w:lvlText w:val="(%1)"/>
      <w:numFmt w:val="lowerLetter"/>
      <w:start w:val="14"/>
    </w:lvl>
  </w:abstractNum>
  <w:abstractNum w:abstractNumId="9">
    <w:nsid w:val="3804823E"/>
    <w:multiLevelType w:val="hybridMultilevel"/>
    <w:lvl w:ilvl="0">
      <w:lvlJc w:val="left"/>
      <w:lvlText w:val="(%1)"/>
      <w:numFmt w:val="lowerLetter"/>
      <w:start w:val="17"/>
    </w:lvl>
  </w:abstractNum>
  <w:abstractNum w:abstractNumId="10">
    <w:nsid w:val="77465F01"/>
    <w:multiLevelType w:val="hybridMultilevel"/>
    <w:lvl w:ilvl="0">
      <w:lvlJc w:val="left"/>
      <w:lvlText w:val="(%1)"/>
      <w:numFmt w:val="lowerLetter"/>
      <w:start w:val="21"/>
    </w:lvl>
  </w:abstractNum>
  <w:abstractNum w:abstractNumId="11">
    <w:nsid w:val="7724C67E"/>
    <w:multiLevelType w:val="hybridMultilevel"/>
    <w:lvl w:ilvl="0">
      <w:lvlJc w:val="left"/>
      <w:lvlText w:val="(%1)"/>
      <w:numFmt w:val="lowerLetter"/>
      <w:start w:val="25"/>
    </w:lvl>
  </w:abstractNum>
  <w:abstractNum w:abstractNumId="12">
    <w:nsid w:val="5C482A97"/>
    <w:multiLevelType w:val="hybridMultilevel"/>
    <w:lvl w:ilvl="0">
      <w:lvlJc w:val="left"/>
      <w:lvlText w:val="(%1)"/>
      <w:numFmt w:val="lowerLetter"/>
      <w:start w:val="27"/>
    </w:lvl>
  </w:abstractNum>
  <w:abstractNum w:abstractNumId="13">
    <w:nsid w:val="2463B9EA"/>
    <w:multiLevelType w:val="hybridMultilevel"/>
    <w:lvl w:ilvl="0">
      <w:lvlJc w:val="left"/>
      <w:lvlText w:val="(%1)"/>
      <w:numFmt w:val="lowerLetter"/>
      <w:start w:val="28"/>
    </w:lvl>
  </w:abstractNum>
  <w:abstractNum w:abstractNumId="14">
    <w:nsid w:val="5E884ADC"/>
    <w:multiLevelType w:val="hybridMultilevel"/>
    <w:lvl w:ilvl="0">
      <w:lvlJc w:val="left"/>
      <w:lvlText w:val="(%1)"/>
      <w:numFmt w:val="lowerLetter"/>
      <w:start w:val="30"/>
    </w:lvl>
  </w:abstractNum>
  <w:abstractNum w:abstractNumId="15">
    <w:nsid w:val="51EAD36B"/>
    <w:multiLevelType w:val="hybridMultilevel"/>
    <w:lvl w:ilvl="0">
      <w:lvlJc w:val="left"/>
      <w:lvlText w:val="%1"/>
      <w:numFmt w:val="lowerLetter"/>
      <w:start w:val="1"/>
    </w:lvl>
    <w:lvl w:ilvl="1">
      <w:lvlJc w:val="left"/>
      <w:lvlText w:val="(%2)"/>
      <w:numFmt w:val="lowerLetter"/>
      <w:start w:val="31"/>
    </w:lvl>
  </w:abstractNum>
  <w:abstractNum w:abstractNumId="16">
    <w:nsid w:val="2D517796"/>
    <w:multiLevelType w:val="hybridMultilevel"/>
    <w:lvl w:ilvl="0">
      <w:lvlJc w:val="left"/>
      <w:lvlText w:val="(%1)"/>
      <w:numFmt w:val="lowerLetter"/>
      <w:start w:val="9"/>
    </w:lvl>
    <w:lvl w:ilvl="1">
      <w:lvlJc w:val="left"/>
      <w:lvlText w:val="%2"/>
      <w:numFmt w:val="lowerLetter"/>
      <w:start w:val="1"/>
    </w:lvl>
  </w:abstractNum>
  <w:abstractNum w:abstractNumId="17">
    <w:nsid w:val="580BD78F"/>
    <w:multiLevelType w:val="hybridMultilevel"/>
    <w:lvl w:ilvl="0">
      <w:lvlJc w:val="left"/>
      <w:lvlText w:val="(%1)"/>
      <w:numFmt w:val="lowerLetter"/>
      <w:start w:val="37"/>
    </w:lvl>
  </w:abstractNum>
  <w:abstractNum w:abstractNumId="18">
    <w:nsid w:val="153EA438"/>
    <w:multiLevelType w:val="hybridMultilevel"/>
    <w:lvl w:ilvl="0">
      <w:lvlJc w:val="left"/>
      <w:lvlText w:val="(%1)"/>
      <w:numFmt w:val="lowerLetter"/>
      <w:start w:val="43"/>
    </w:lvl>
  </w:abstractNum>
  <w:abstractNum w:abstractNumId="19">
    <w:nsid w:val="3855585C"/>
    <w:multiLevelType w:val="hybridMultilevel"/>
    <w:lvl w:ilvl="0">
      <w:lvlJc w:val="left"/>
      <w:lvlText w:val="%1."/>
      <w:numFmt w:val="decimal"/>
      <w:start w:val="2"/>
    </w:lvl>
  </w:abstractNum>
  <w:abstractNum w:abstractNumId="20">
    <w:nsid w:val="70A64E2A"/>
    <w:multiLevelType w:val="hybridMultilevel"/>
    <w:lvl w:ilvl="0">
      <w:lvlJc w:val="left"/>
      <w:lvlText w:val="(%1)"/>
      <w:numFmt w:val="lowerLetter"/>
      <w:start w:val="2"/>
    </w:lvl>
  </w:abstractNum>
  <w:abstractNum w:abstractNumId="21">
    <w:nsid w:val="6A2342EC"/>
    <w:multiLevelType w:val="hybridMultilevel"/>
    <w:lvl w:ilvl="0">
      <w:lvlJc w:val="left"/>
      <w:lvlText w:val="%1."/>
      <w:numFmt w:val="decimal"/>
      <w:start w:val="3"/>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lowerLetter"/>
      <w:start w:val="3"/>
    </w:lvl>
  </w:abstractNum>
  <w:abstractNum w:abstractNumId="24">
    <w:nsid w:val="725A06FB"/>
    <w:multiLevelType w:val="hybridMultilevel"/>
    <w:lvl w:ilvl="0">
      <w:lvlJc w:val="left"/>
      <w:lvlText w:val="(%1)"/>
      <w:numFmt w:val="lowerLetter"/>
      <w:start w:val="6"/>
    </w:lvl>
  </w:abstractNum>
  <w:abstractNum w:abstractNumId="25">
    <w:nsid w:val="2CD89A32"/>
    <w:multiLevelType w:val="hybridMultilevel"/>
    <w:lvl w:ilvl="0">
      <w:lvlJc w:val="left"/>
      <w:lvlText w:val="(%1)"/>
      <w:numFmt w:val="lowerLetter"/>
      <w:start w:val="9"/>
    </w:lvl>
  </w:abstractNum>
  <w:abstractNum w:abstractNumId="26">
    <w:nsid w:val="57E4CCAF"/>
    <w:multiLevelType w:val="hybridMultilevel"/>
    <w:lvl w:ilvl="0">
      <w:lvlJc w:val="left"/>
      <w:lvlText w:val="(%1)"/>
      <w:numFmt w:val="lowerLetter"/>
      <w:start w:val="14"/>
    </w:lvl>
  </w:abstractNum>
  <w:abstractNum w:abstractNumId="27">
    <w:nsid w:val="7A6D8D3C"/>
    <w:multiLevelType w:val="hybridMultilevel"/>
    <w:lvl w:ilvl="0">
      <w:lvlJc w:val="left"/>
      <w:lvlText w:val="%1."/>
      <w:numFmt w:val="decimal"/>
      <w:start w:val="6"/>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1"/>
    </w:lvl>
    <w:lvl w:ilvl="1">
      <w:lvlJc w:val="left"/>
      <w:lvlText w:val="(%2)"/>
      <w:numFmt w:val="lowerLetter"/>
      <w:start w:val="2"/>
    </w:lvl>
  </w:abstractNum>
  <w:abstractNum w:abstractNumId="30">
    <w:nsid w:val="6DE91B18"/>
    <w:multiLevelType w:val="hybridMultilevel"/>
    <w:lvl w:ilvl="0">
      <w:lvlJc w:val="left"/>
      <w:lvlText w:val="(%1)"/>
      <w:numFmt w:val="lowerLetter"/>
      <w:start w:val="61"/>
    </w:lvl>
    <w:lvl w:ilvl="1">
      <w:lvlJc w:val="left"/>
      <w:lvlText w:val="%2"/>
      <w:numFmt w:val="lowerLetter"/>
      <w:start w:val="1"/>
    </w:lvl>
  </w:abstractNum>
  <w:abstractNum w:abstractNumId="31">
    <w:nsid w:val="38437FDB"/>
    <w:multiLevelType w:val="hybridMultilevel"/>
    <w:lvl w:ilvl="0">
      <w:lvlJc w:val="left"/>
      <w:lvlText w:val="%1"/>
      <w:numFmt w:val="lowerLetter"/>
      <w:start w:val="1"/>
    </w:lvl>
    <w:lvl w:ilvl="1">
      <w:lvlJc w:val="left"/>
      <w:lvlText w:val="(%2)"/>
      <w:numFmt w:val="lowerLetter"/>
      <w:start w:val="3"/>
    </w:lvl>
  </w:abstractNum>
  <w:abstractNum w:abstractNumId="32">
    <w:nsid w:val="7644A45C"/>
    <w:multiLevelType w:val="hybridMultilevel"/>
    <w:lvl w:ilvl="0">
      <w:lvlJc w:val="left"/>
      <w:lvlText w:val="(%1)"/>
      <w:numFmt w:val="lowerLetter"/>
      <w:start w:val="35"/>
    </w:lvl>
    <w:lvl w:ilvl="1">
      <w:lvlJc w:val="left"/>
      <w:lvlText w:val="(%2)"/>
      <w:numFmt w:val="lowerLetter"/>
      <w:start w:val="5"/>
    </w:lvl>
  </w:abstractNum>
  <w:abstractNum w:abstractNumId="33">
    <w:nsid w:val="32FFF902"/>
    <w:multiLevelType w:val="hybridMultilevel"/>
    <w:lvl w:ilvl="0">
      <w:lvlJc w:val="left"/>
      <w:lvlText w:val="(%1)"/>
      <w:numFmt w:val="lowerLetter"/>
      <w:start w:val="6"/>
    </w:lvl>
  </w:abstractNum>
  <w:abstractNum w:abstractNumId="34">
    <w:nsid w:val="684A481A"/>
    <w:multiLevelType w:val="hybridMultilevel"/>
    <w:lvl w:ilvl="0">
      <w:lvlJc w:val="left"/>
      <w:lvlText w:val="%1."/>
      <w:numFmt w:val="decimal"/>
      <w:start w:val="7"/>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2"/>
    </w:lvl>
  </w:abstractNum>
  <w:abstractNum w:abstractNumId="37">
    <w:nsid w:val="3DC240FB"/>
    <w:multiLevelType w:val="hybridMultilevel"/>
    <w:lvl w:ilvl="0">
      <w:lvlJc w:val="left"/>
      <w:lvlText w:val="(%1)"/>
      <w:numFmt w:val="lowerRoman"/>
      <w:start w:val="1"/>
    </w:lvl>
  </w:abstractNum>
  <w:abstractNum w:abstractNumId="38">
    <w:nsid w:val="1BA026FA"/>
    <w:multiLevelType w:val="hybridMultilevel"/>
    <w:lvl w:ilvl="0">
      <w:lvlJc w:val="left"/>
      <w:lvlText w:val="(%1)"/>
      <w:numFmt w:val="lowerRoman"/>
      <w:start w:val="4"/>
    </w:lvl>
  </w:abstractNum>
  <w:abstractNum w:abstractNumId="39">
    <w:nsid w:val="79A1DEAA"/>
    <w:multiLevelType w:val="hybridMultilevel"/>
    <w:lvl w:ilvl="0">
      <w:lvlJc w:val="left"/>
      <w:lvlText w:val="(%1)"/>
      <w:numFmt w:val="lowerRoman"/>
      <w:start w:val="7"/>
    </w:lvl>
  </w:abstractNum>
  <w:abstractNum w:abstractNumId="40">
    <w:nsid w:val="75C6C33A"/>
    <w:multiLevelType w:val="hybridMultilevel"/>
    <w:lvl w:ilvl="0">
      <w:lvlJc w:val="left"/>
      <w:lvlText w:val="(%1)"/>
      <w:numFmt w:val="lowerRoman"/>
      <w:start w:val="12"/>
    </w:lvl>
  </w:abstractNum>
  <w:abstractNum w:abstractNumId="41">
    <w:nsid w:val="12E685FB"/>
    <w:multiLevelType w:val="hybridMultilevel"/>
    <w:lvl w:ilvl="0">
      <w:lvlJc w:val="left"/>
      <w:lvlText w:val="(%1)"/>
      <w:numFmt w:val="lowerRoman"/>
      <w:start w:val="14"/>
    </w:lvl>
  </w:abstractNum>
  <w:abstractNum w:abstractNumId="42">
    <w:nsid w:val="70C6A529"/>
    <w:multiLevelType w:val="hybridMultilevel"/>
    <w:lvl w:ilvl="0">
      <w:lvlJc w:val="left"/>
      <w:lvlText w:val="(%1)"/>
      <w:numFmt w:val="upperLetter"/>
      <w:start w:val="1"/>
    </w:lvl>
  </w:abstractNum>
  <w:abstractNum w:abstractNumId="43">
    <w:nsid w:val="520EEDD1"/>
    <w:multiLevelType w:val="hybridMultilevel"/>
    <w:lvl w:ilvl="0">
      <w:lvlJc w:val="left"/>
      <w:lvlText w:val="(%1)"/>
      <w:numFmt w:val="upperLetter"/>
      <w:start w:val="3"/>
    </w:lvl>
  </w:abstractNum>
  <w:abstractNum w:abstractNumId="44">
    <w:nsid w:val="374A3FE6"/>
    <w:multiLevelType w:val="hybridMultilevel"/>
    <w:lvl w:ilvl="0">
      <w:lvlJc w:val="left"/>
      <w:lvlText w:val="(%1)"/>
      <w:numFmt w:val="lowerLetter"/>
      <w:start w:val="4"/>
    </w:lvl>
  </w:abstractNum>
  <w:abstractNum w:abstractNumId="45">
    <w:nsid w:val="4F4EF005"/>
    <w:multiLevelType w:val="hybridMultilevel"/>
    <w:lvl w:ilvl="0">
      <w:lvlJc w:val="left"/>
      <w:lvlText w:val="(%1)"/>
      <w:numFmt w:val="lowerRoman"/>
      <w:start w:val="1"/>
    </w:lvl>
  </w:abstractNum>
  <w:abstractNum w:abstractNumId="46">
    <w:nsid w:val="23F9C13C"/>
    <w:multiLevelType w:val="hybridMultilevel"/>
    <w:lvl w:ilvl="0">
      <w:lvlJc w:val="left"/>
      <w:lvlText w:val="(%1)"/>
      <w:numFmt w:val="lowerRoman"/>
      <w:start w:val="2"/>
    </w:lvl>
  </w:abstractNum>
  <w:abstractNum w:abstractNumId="47">
    <w:nsid w:val="649BB77C"/>
    <w:multiLevelType w:val="hybridMultilevel"/>
    <w:lvl w:ilvl="0">
      <w:lvlJc w:val="left"/>
      <w:lvlText w:val="(%1)"/>
      <w:numFmt w:val="upperLetter"/>
      <w:start w:val="1"/>
    </w:lvl>
  </w:abstractNum>
  <w:abstractNum w:abstractNumId="48">
    <w:nsid w:val="275AC794"/>
    <w:multiLevelType w:val="hybridMultilevel"/>
    <w:lvl w:ilvl="0">
      <w:lvlJc w:val="left"/>
      <w:lvlText w:val="(%1)"/>
      <w:numFmt w:val="lowerLetter"/>
      <w:start w:val="5"/>
    </w:lvl>
  </w:abstractNum>
  <w:abstractNum w:abstractNumId="49">
    <w:nsid w:val="39386575"/>
    <w:multiLevelType w:val="hybridMultilevel"/>
    <w:lvl w:ilvl="0">
      <w:lvlJc w:val="left"/>
      <w:lvlText w:val="(%1)"/>
      <w:numFmt w:val="lowerRoman"/>
      <w:start w:val="1"/>
    </w:lvl>
  </w:abstractNum>
  <w:abstractNum w:abstractNumId="50">
    <w:nsid w:val="1CF10FD8"/>
    <w:multiLevelType w:val="hybridMultilevel"/>
    <w:lvl w:ilvl="0">
      <w:lvlJc w:val="left"/>
      <w:lvlText w:val="(%1)"/>
      <w:numFmt w:val="lowerRoman"/>
      <w:start w:val="5"/>
    </w:lvl>
  </w:abstractNum>
  <w:abstractNum w:abstractNumId="51">
    <w:nsid w:val="180115BE"/>
    <w:multiLevelType w:val="hybridMultilevel"/>
    <w:lvl w:ilvl="0">
      <w:lvlJc w:val="left"/>
      <w:lvlText w:val="(%1)"/>
      <w:numFmt w:val="lowerRoman"/>
      <w:start w:val="9"/>
    </w:lvl>
  </w:abstractNum>
  <w:abstractNum w:abstractNumId="52">
    <w:nsid w:val="235BA861"/>
    <w:multiLevelType w:val="hybridMultilevel"/>
    <w:lvl w:ilvl="0">
      <w:lvlJc w:val="left"/>
      <w:lvlText w:val="(%1)"/>
      <w:numFmt w:val="upperLetter"/>
      <w:start w:val="2"/>
    </w:lvl>
    <w:lvl w:ilvl="1">
      <w:lvlJc w:val="left"/>
      <w:lvlText w:val="(%2)"/>
      <w:numFmt w:val="lowerLetter"/>
      <w:start w:val="6"/>
    </w:lvl>
  </w:abstractNum>
  <w:abstractNum w:abstractNumId="53">
    <w:nsid w:val="47398C89"/>
    <w:multiLevelType w:val="hybridMultilevel"/>
    <w:lvl w:ilvl="0">
      <w:lvlJc w:val="left"/>
      <w:lvlText w:val="(%1)"/>
      <w:numFmt w:val="lowerLetter"/>
      <w:start w:val="7"/>
    </w:lvl>
  </w:abstractNum>
  <w:abstractNum w:abstractNumId="54">
    <w:nsid w:val="354FE9F9"/>
    <w:multiLevelType w:val="hybridMultilevel"/>
    <w:lvl w:ilvl="0">
      <w:lvlJc w:val="left"/>
      <w:lvlText w:val="(%1)"/>
      <w:numFmt w:val="upperLetter"/>
      <w:start w:val="1"/>
    </w:lvl>
  </w:abstractNum>
  <w:abstractNum w:abstractNumId="55">
    <w:nsid w:val="15B5AF5C"/>
    <w:multiLevelType w:val="hybridMultilevel"/>
    <w:lvl w:ilvl="0">
      <w:lvlJc w:val="left"/>
      <w:lvlText w:val="(%1)"/>
      <w:numFmt w:val="lowerLetter"/>
      <w:start w:val="10"/>
    </w:lvl>
  </w:abstractNum>
  <w:abstractNum w:abstractNumId="56">
    <w:nsid w:val="741226BB"/>
    <w:multiLevelType w:val="hybridMultilevel"/>
    <w:lvl w:ilvl="0">
      <w:lvlJc w:val="left"/>
      <w:lvlText w:val="(%1)"/>
      <w:numFmt w:val="lowerLetter"/>
      <w:start w:val="11"/>
    </w:lvl>
  </w:abstractNum>
  <w:abstractNum w:abstractNumId="57">
    <w:nsid w:val="D34B6A8"/>
    <w:multiLevelType w:val="hybridMultilevel"/>
    <w:lvl w:ilvl="0">
      <w:lvlJc w:val="left"/>
      <w:lvlText w:val="%1"/>
      <w:numFmt w:val="lowerRoman"/>
      <w:start w:val="1"/>
    </w:lvl>
    <w:lvl w:ilvl="1">
      <w:lvlJc w:val="left"/>
      <w:lvlText w:val="%2."/>
      <w:numFmt w:val="decimal"/>
      <w:start w:val="8"/>
    </w:lvl>
  </w:abstractNum>
  <w:abstractNum w:abstractNumId="58">
    <w:nsid w:val="10233C99"/>
    <w:multiLevelType w:val="hybridMultilevel"/>
    <w:lvl w:ilvl="0">
      <w:lvlJc w:val="left"/>
      <w:lvlText w:val="(%1)"/>
      <w:numFmt w:val="lowerRoman"/>
      <w:start w:val="4"/>
    </w:lvl>
    <w:lvl w:ilvl="1">
      <w:lvlJc w:val="left"/>
      <w:lvlText w:val="%2"/>
      <w:numFmt w:val="decimal"/>
      <w:start w:val="1"/>
    </w:lvl>
  </w:abstractNum>
  <w:abstractNum w:abstractNumId="59">
    <w:nsid w:val="3F6AB60F"/>
    <w:multiLevelType w:val="hybridMultilevel"/>
    <w:lvl w:ilvl="0">
      <w:lvlJc w:val="left"/>
      <w:lvlText w:val="%1."/>
      <w:numFmt w:val="decimal"/>
      <w:start w:val="9"/>
    </w:lvl>
  </w:abstractNum>
  <w:abstractNum w:abstractNumId="60">
    <w:nsid w:val="61574095"/>
    <w:multiLevelType w:val="hybridMultilevel"/>
    <w:lvl w:ilvl="0">
      <w:lvlJc w:val="left"/>
      <w:lvlText w:val="%1"/>
      <w:numFmt w:val="upperLetter"/>
      <w:start w:val="1"/>
    </w:lvl>
    <w:lvl w:ilvl="1">
      <w:lvlJc w:val="left"/>
      <w:lvlText w:val="%2."/>
      <w:numFmt w:val="decimal"/>
      <w:start w:val="12"/>
    </w:lvl>
  </w:abstractNum>
  <w:abstractNum w:abstractNumId="61">
    <w:nsid w:val="7E0C57B1"/>
    <w:multiLevelType w:val="hybridMultilevel"/>
    <w:lvl w:ilvl="0">
      <w:lvlJc w:val="left"/>
      <w:lvlText w:val="(%1)"/>
      <w:numFmt w:val="upperLetter"/>
      <w:start w:val="4"/>
    </w:lvl>
    <w:lvl w:ilvl="1">
      <w:lvlJc w:val="left"/>
      <w:lvlText w:val="%2."/>
      <w:numFmt w:val="decimal"/>
      <w:start w:val="13"/>
    </w:lvl>
  </w:abstractNum>
  <w:abstractNum w:abstractNumId="62">
    <w:nsid w:val="77AE35EB"/>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2020-01-22T17:47:31Z</dcterms:created>
  <dcterms:modified xsi:type="dcterms:W3CDTF">2020-01-22T17:47:31Z</dcterms:modified>
</cp:coreProperties>
</file>