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142875</wp:posOffset>
            </wp:positionV>
            <wp:extent cx="200660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143,936,001 Common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firstLine="324"/>
        <w:spacing w:after="0" w:line="312" w:lineRule="auto"/>
        <w:rPr>
          <w:sz w:val="20"/>
          <w:szCs w:val="20"/>
          <w:color w:val="auto"/>
        </w:rPr>
      </w:pPr>
      <w:r>
        <w:rPr>
          <w:rFonts w:ascii="Arial" w:cs="Arial" w:eastAsia="Arial" w:hAnsi="Arial"/>
          <w:sz w:val="16"/>
          <w:szCs w:val="16"/>
          <w:color w:val="auto"/>
        </w:rPr>
        <w:t>This prospectus supplement updates and amends certain information contained in the prospectus dated December 7, 2016 (the “Prospectus”), covering the resale by selling unitholders of up to an aggregate of 143,936,001 common units representing limited partner interests in us. This prospectus supplement is not complete without, and may not be utilized except in connection with, the Prospectus, including any additional amendments or supplements thereto.</w:t>
      </w:r>
    </w:p>
    <w:p>
      <w:pPr>
        <w:spacing w:after="0" w:line="143" w:lineRule="exact"/>
        <w:rPr>
          <w:sz w:val="24"/>
          <w:szCs w:val="24"/>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the prospectus dated December 7, 2016 before you make an investment in our common units.</w:t>
      </w:r>
    </w:p>
    <w:p>
      <w:pPr>
        <w:spacing w:after="0" w:line="176" w:lineRule="exact"/>
        <w:rPr>
          <w:sz w:val="24"/>
          <w:szCs w:val="24"/>
          <w:color w:val="auto"/>
        </w:rPr>
      </w:pPr>
    </w:p>
    <w:p>
      <w:pPr>
        <w:ind w:right="44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common units or determined if this prospectus supplement is truthful or complete. Any representation to the contrary is a criminal offense.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8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Unitholders”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229" w:lineRule="exact"/>
        <w:rPr>
          <w:sz w:val="24"/>
          <w:szCs w:val="24"/>
          <w:color w:val="auto"/>
        </w:rPr>
      </w:pPr>
    </w:p>
    <w:p>
      <w:pPr>
        <w:ind w:right="80" w:firstLine="324"/>
        <w:spacing w:after="0" w:line="255" w:lineRule="auto"/>
        <w:rPr>
          <w:sz w:val="20"/>
          <w:szCs w:val="20"/>
          <w:color w:val="auto"/>
        </w:rPr>
      </w:pPr>
      <w:r>
        <w:rPr>
          <w:rFonts w:ascii="Arial" w:cs="Arial" w:eastAsia="Arial" w:hAnsi="Arial"/>
          <w:sz w:val="18"/>
          <w:szCs w:val="18"/>
          <w:color w:val="auto"/>
        </w:rPr>
        <w:t>On or about December 30, 2016, (i) KAFU Holdings, L.P. (“KAFU”) exercised a Redemption Right with respect to an aggregate of 307,593 of its AAP Units, PAGP Class B shares and PAGP GP company units and then distributed the resulting 307,593 common units to certain of the selling unitholders listed below and (ii) KAFU Holdings (QP), L.P. (“KAFU QP”) exercised a Redemption Right with respect to an aggregate of 2,727,924 AAP Units, PAGP Class B shares and PAGP GP company units and then distributed the resulting 2,727,924 common units to certain of the selling unitholders listed below. We are amending the Selling Unitholders table in the Prospectus to reflect these transfers and to include or update information with respect to the transferees of such interests.</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Percentage of</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Common Units</w:t>
            </w:r>
          </w:p>
        </w:tc>
        <w:tc>
          <w:tcPr>
            <w:tcW w:w="16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 Units</w:t>
            </w: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Common Units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Unitholders</w:t>
            </w: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Offered</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 the Offering</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 the Offering</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Hereby</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Offering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KAFU Holdings, L.P.(1)</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933,224</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933,224</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Buena Vista Three Investment Corporation</w:t>
            </w:r>
          </w:p>
        </w:tc>
        <w:tc>
          <w:tcPr>
            <w:tcW w:w="1380" w:type="dxa"/>
            <w:vAlign w:val="bottom"/>
          </w:tcPr>
          <w:p>
            <w:pPr>
              <w:jc w:val="right"/>
              <w:spacing w:after="0"/>
              <w:rPr>
                <w:sz w:val="20"/>
                <w:szCs w:val="20"/>
                <w:color w:val="auto"/>
              </w:rPr>
            </w:pPr>
            <w:r>
              <w:rPr>
                <w:rFonts w:ascii="Arial" w:cs="Arial" w:eastAsia="Arial" w:hAnsi="Arial"/>
                <w:sz w:val="18"/>
                <w:szCs w:val="18"/>
                <w:color w:val="auto"/>
              </w:rPr>
              <w:t>307,593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307,593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(QP), L.P.(1)</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21,172,741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21,172,741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Richard Kayne 2010 GRAT(1)(2)</w:t>
            </w:r>
          </w:p>
        </w:tc>
        <w:tc>
          <w:tcPr>
            <w:tcW w:w="1380" w:type="dxa"/>
            <w:vAlign w:val="bottom"/>
          </w:tcPr>
          <w:p>
            <w:pPr>
              <w:jc w:val="right"/>
              <w:spacing w:after="0"/>
              <w:rPr>
                <w:sz w:val="20"/>
                <w:szCs w:val="20"/>
                <w:color w:val="auto"/>
              </w:rPr>
            </w:pPr>
            <w:r>
              <w:rPr>
                <w:rFonts w:ascii="Arial" w:cs="Arial" w:eastAsia="Arial" w:hAnsi="Arial"/>
                <w:sz w:val="18"/>
                <w:szCs w:val="18"/>
                <w:color w:val="auto"/>
              </w:rPr>
              <w:t>1,475,167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1,363,962(3)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111,205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Suzanne Kayne 2010 GRAT(1)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1,475,167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1,363,962(3)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340" w:right="20" w:hanging="332"/>
        <w:spacing w:after="0" w:line="264"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w:t>
      </w:r>
    </w:p>
    <w:p>
      <w:pPr>
        <w:spacing w:after="0" w:line="181" w:lineRule="exact"/>
        <w:rPr>
          <w:rFonts w:ascii="Arial" w:cs="Arial" w:eastAsia="Arial" w:hAnsi="Arial"/>
          <w:sz w:val="18"/>
          <w:szCs w:val="18"/>
          <w:color w:val="auto"/>
        </w:rPr>
      </w:pPr>
    </w:p>
    <w:p>
      <w:pPr>
        <w:ind w:left="340" w:right="60" w:hanging="332"/>
        <w:spacing w:after="0" w:line="277"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A. Kayne, the beneficiary of the Richard Kayne 2010 GRAT, is the controlling owner of the manager of KAFU. KAFU is entitled to appoint one member of the board of directors of PAGP GP pursuant to PAGP GP’s limited liability company agreement.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unitholder received 1,363,962 common units in the transfer from KAFU QP; 111,205 common units were previously owned.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2020-01-22T01:12:46Z</dcterms:created>
  <dcterms:modified xsi:type="dcterms:W3CDTF">2020-01-22T01:12:46Z</dcterms:modified>
</cp:coreProperties>
</file>