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jc w:val="center"/>
        <w:ind w:right="15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Plains All American Pipeline, L.P.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Units, no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726503105</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1999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536"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11 pages</w:t>
      </w:r>
    </w:p>
    <w:p>
      <w:pPr>
        <w:sectPr>
          <w:pgSz w:w="11900" w:h="16838" w:orient="portrait"/>
          <w:cols w:equalWidth="0" w:num="1">
            <w:col w:w="10139"/>
          </w:cols>
          <w:pgMar w:left="320" w:top="85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44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7"/>
              </w:rPr>
              <w:t>- -----------------------</w:t>
            </w:r>
          </w:p>
        </w:tc>
        <w:tc>
          <w:tcPr>
            <w:tcW w:w="1100" w:type="dxa"/>
            <w:vAlign w:val="bottom"/>
          </w:tcPr>
          <w:p>
            <w:pPr>
              <w:spacing w:after="0"/>
              <w:rPr>
                <w:sz w:val="17"/>
                <w:szCs w:val="17"/>
                <w:color w:val="auto"/>
              </w:rPr>
            </w:pPr>
          </w:p>
        </w:tc>
      </w:tr>
      <w:tr>
        <w:trPr>
          <w:trHeight w:val="203"/>
        </w:trPr>
        <w:tc>
          <w:tcPr>
            <w:tcW w:w="344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CUSIP No. 726503105</w:t>
            </w:r>
          </w:p>
        </w:tc>
        <w:tc>
          <w:tcPr>
            <w:tcW w:w="11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Goldman, Sachs &amp; Co.</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160" w:hanging="413"/>
        <w:spacing w:after="0" w:line="238" w:lineRule="auto"/>
        <w:tabs>
          <w:tab w:leader="none" w:pos="716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60" w:hanging="413"/>
        <w:spacing w:after="0" w:line="238" w:lineRule="auto"/>
        <w:tabs>
          <w:tab w:leader="none" w:pos="716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1"/>
        <w:spacing w:after="0" w:line="238"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1,278,325</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1,278,325</w:t>
            </w:r>
          </w:p>
        </w:tc>
      </w:tr>
    </w:tbl>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1,278,325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160" w:right="2659" w:hanging="7152"/>
        <w:spacing w:after="0" w:line="399" w:lineRule="auto"/>
        <w:tabs>
          <w:tab w:leader="none" w:pos="63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4339" w:hanging="1152"/>
        <w:spacing w:after="0" w:line="469" w:lineRule="auto"/>
        <w:tabs>
          <w:tab w:leader="none" w:pos="63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6979" w:hanging="1152"/>
        <w:spacing w:after="0" w:line="469" w:lineRule="auto"/>
        <w:tabs>
          <w:tab w:leader="none" w:pos="63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BD-PN-IA</w:t>
      </w:r>
    </w:p>
    <w:p>
      <w:pPr>
        <w:spacing w:after="0" w:line="13"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11 pages</w:t>
      </w:r>
    </w:p>
    <w:p>
      <w:pPr>
        <w:sectPr>
          <w:pgSz w:w="11900" w:h="16838" w:orient="portrait"/>
          <w:cols w:equalWidth="0" w:num="1">
            <w:col w:w="10139"/>
          </w:cols>
          <w:pgMar w:left="320" w:top="7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44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7"/>
              </w:rPr>
              <w:t>- -----------------------</w:t>
            </w:r>
          </w:p>
        </w:tc>
        <w:tc>
          <w:tcPr>
            <w:tcW w:w="1100" w:type="dxa"/>
            <w:vAlign w:val="bottom"/>
          </w:tcPr>
          <w:p>
            <w:pPr>
              <w:spacing w:after="0"/>
              <w:rPr>
                <w:sz w:val="17"/>
                <w:szCs w:val="17"/>
                <w:color w:val="auto"/>
              </w:rPr>
            </w:pPr>
          </w:p>
        </w:tc>
      </w:tr>
      <w:tr>
        <w:trPr>
          <w:trHeight w:val="203"/>
        </w:trPr>
        <w:tc>
          <w:tcPr>
            <w:tcW w:w="344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CUSIP No. 726503105</w:t>
            </w:r>
          </w:p>
        </w:tc>
        <w:tc>
          <w:tcPr>
            <w:tcW w:w="11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Goldman Sachs Group, Inc.</w:t>
      </w:r>
    </w:p>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160" w:hanging="413"/>
        <w:spacing w:after="0" w:line="238" w:lineRule="auto"/>
        <w:tabs>
          <w:tab w:leader="none" w:pos="716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60" w:hanging="413"/>
        <w:spacing w:after="0" w:line="238" w:lineRule="auto"/>
        <w:tabs>
          <w:tab w:leader="none" w:pos="716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1"/>
        <w:spacing w:after="0" w:line="238" w:lineRule="auto"/>
        <w:tabs>
          <w:tab w:leader="none" w:pos="2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1,278,325</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1,278,325</w:t>
            </w:r>
          </w:p>
        </w:tc>
      </w:tr>
    </w:tbl>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1,278,325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160" w:right="2659" w:hanging="7152"/>
        <w:spacing w:after="0" w:line="399" w:lineRule="auto"/>
        <w:tabs>
          <w:tab w:leader="none" w:pos="63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4339" w:hanging="1152"/>
        <w:spacing w:after="0" w:line="469" w:lineRule="auto"/>
        <w:tabs>
          <w:tab w:leader="none" w:pos="63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6979" w:hanging="1152"/>
        <w:spacing w:after="0" w:line="469" w:lineRule="auto"/>
        <w:tabs>
          <w:tab w:leader="none" w:pos="63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HC-CO</w:t>
      </w:r>
    </w:p>
    <w:p>
      <w:pPr>
        <w:spacing w:after="0" w:line="13"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11 pages</w:t>
      </w:r>
    </w:p>
    <w:p>
      <w:pPr>
        <w:sectPr>
          <w:pgSz w:w="11900" w:h="16838" w:orient="portrait"/>
          <w:cols w:equalWidth="0" w:num="1">
            <w:col w:w="10139"/>
          </w:cols>
          <w:pgMar w:left="32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Plains All American Pipeline, L.P.</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500 Dallas Street</w:t>
            </w:r>
          </w:p>
        </w:tc>
      </w:tr>
      <w:tr>
        <w:trPr>
          <w:trHeight w:val="203"/>
        </w:trPr>
        <w:tc>
          <w:tcPr>
            <w:tcW w:w="190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Suite 700</w:t>
            </w:r>
          </w:p>
        </w:tc>
        <w:tc>
          <w:tcPr>
            <w:tcW w:w="49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Houston, TX</w:t>
            </w:r>
          </w:p>
        </w:tc>
        <w:tc>
          <w:tcPr>
            <w:tcW w:w="4940" w:type="dxa"/>
            <w:vAlign w:val="bottom"/>
          </w:tcPr>
          <w:p>
            <w:pPr>
              <w:jc w:val="right"/>
              <w:ind w:right="4332"/>
              <w:spacing w:after="0" w:line="203" w:lineRule="exact"/>
              <w:rPr>
                <w:sz w:val="20"/>
                <w:szCs w:val="20"/>
                <w:color w:val="auto"/>
              </w:rPr>
            </w:pPr>
            <w:r>
              <w:rPr>
                <w:rFonts w:ascii="Courier New" w:cs="Courier New" w:eastAsia="Courier New" w:hAnsi="Courier New"/>
                <w:sz w:val="18"/>
                <w:szCs w:val="18"/>
                <w:color w:val="auto"/>
                <w:w w:val="92"/>
              </w:rPr>
              <w:t>77002</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Name of Persons Filing:</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Goldman, Sachs &amp; Co. and The Goldman Sachs Group, Inc.</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85 Broad Street</w:t>
            </w:r>
          </w:p>
        </w:tc>
      </w:tr>
      <w:tr>
        <w:trPr>
          <w:trHeight w:val="203"/>
        </w:trPr>
        <w:tc>
          <w:tcPr>
            <w:tcW w:w="190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NY</w:t>
            </w:r>
          </w:p>
        </w:tc>
        <w:tc>
          <w:tcPr>
            <w:tcW w:w="494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10004</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Citizenship:</w:t>
            </w:r>
          </w:p>
        </w:tc>
        <w:tc>
          <w:tcPr>
            <w:tcW w:w="494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Goldman, Sachs &amp; Co. - New York</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Goldman Sachs Group, Inc. - Delaware</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Common Units, no par value</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CUSIP Number:</w:t>
            </w:r>
          </w:p>
        </w:tc>
        <w:tc>
          <w:tcPr>
            <w:tcW w:w="494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726503105</w:t>
            </w:r>
          </w:p>
        </w:tc>
        <w:tc>
          <w:tcPr>
            <w:tcW w:w="4940" w:type="dxa"/>
            <w:vAlign w:val="bottom"/>
          </w:tcPr>
          <w:p>
            <w:pPr>
              <w:spacing w:after="0"/>
              <w:rPr>
                <w:sz w:val="17"/>
                <w:szCs w:val="17"/>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If this statement is filed pursuant to Rules 13d-1(b) or</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13d-2(b) or (c), check whether the person filing is a :</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(a).[X]</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Broker or dealer registered under Section 15 of the Act</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 U.S.C. 78o).</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Goldman, Sachs &amp; Co.</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(b).[_]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Bank as defined in Section 3(a)(6) of the Act</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 U.S.C. 78c).</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(c).[_]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Insurance company as defined in Section 3(a)(19) of the Act</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 U.S.C. 78c).</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(d).[_]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 (15 U.S.C. 80a-8).</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(e).[X]</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An investment adviser in accordance with</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Rule 13d-1(b)(1)(ii)(E);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Goldman, Sachs &amp; Co.</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(f).[_]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An employee benefit plan or endowment fund in accordance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with Rule 13d-1(b)(1)(ii)(F);</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(g).[X]</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 parent holding company or control person in accordance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with Rule 13d-1(b)(1)(ii)(G);</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The Goldman Sachs Group, Inc.</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(h).[_]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 savings association as defined in Section 3(b) of the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Federal Deposit Insurance Act (12 U.S.C. 1813);</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(i).[_]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 church plan that is excluded from the definition of an</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 (15 U.S.C. 80a-3);</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(j).[_]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Group, in accordance with Rule 13d-1(b)(1)(ii)(J).</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4 of 11 pages</w:t>
      </w:r>
    </w:p>
    <w:p>
      <w:pPr>
        <w:sectPr>
          <w:pgSz w:w="11900" w:h="16838" w:orient="portrait"/>
          <w:cols w:equalWidth="0" w:num="1">
            <w:col w:w="10139"/>
          </w:cols>
          <w:pgMar w:left="32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Ownership.*</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4160" w:type="dxa"/>
            <w:vAlign w:val="bottom"/>
            <w:gridSpan w:val="4"/>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6700" w:type="dxa"/>
            <w:vAlign w:val="bottom"/>
            <w:gridSpan w:val="7"/>
          </w:tcPr>
          <w:p>
            <w:pPr>
              <w:ind w:left="260"/>
              <w:spacing w:after="0" w:line="203" w:lineRule="exact"/>
              <w:rPr>
                <w:sz w:val="20"/>
                <w:szCs w:val="20"/>
                <w:color w:val="auto"/>
              </w:rPr>
            </w:pPr>
            <w:r>
              <w:rPr>
                <w:rFonts w:ascii="Courier New" w:cs="Courier New" w:eastAsia="Courier New" w:hAnsi="Courier New"/>
                <w:sz w:val="18"/>
                <w:szCs w:val="18"/>
                <w:color w:val="auto"/>
                <w:w w:val="97"/>
              </w:rPr>
              <w:t>See the response(s) to Item  9 on 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6700" w:type="dxa"/>
            <w:vAlign w:val="bottom"/>
            <w:gridSpan w:val="7"/>
          </w:tcPr>
          <w:p>
            <w:pPr>
              <w:ind w:left="260"/>
              <w:spacing w:after="0" w:line="203" w:lineRule="exact"/>
              <w:rPr>
                <w:sz w:val="20"/>
                <w:szCs w:val="20"/>
                <w:color w:val="auto"/>
              </w:rPr>
            </w:pPr>
            <w:r>
              <w:rPr>
                <w:rFonts w:ascii="Courier New" w:cs="Courier New" w:eastAsia="Courier New" w:hAnsi="Courier New"/>
                <w:sz w:val="18"/>
                <w:szCs w:val="18"/>
                <w:color w:val="auto"/>
                <w:w w:val="97"/>
              </w:rPr>
              <w:t>See the response(s) to Item 11 on 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5060" w:type="dxa"/>
            <w:vAlign w:val="bottom"/>
            <w:gridSpan w:val="5"/>
          </w:tcPr>
          <w:p>
            <w:pPr>
              <w:ind w:left="260"/>
              <w:spacing w:after="0"/>
              <w:rPr>
                <w:sz w:val="20"/>
                <w:szCs w:val="20"/>
                <w:color w:val="auto"/>
              </w:rPr>
            </w:pPr>
            <w:r>
              <w:rPr>
                <w:rFonts w:ascii="Courier New" w:cs="Courier New" w:eastAsia="Courier New" w:hAnsi="Courier New"/>
                <w:sz w:val="18"/>
                <w:szCs w:val="18"/>
                <w:color w:val="auto"/>
                <w:w w:val="98"/>
              </w:rPr>
              <w:t>Number of shares as to which such person has: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174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16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Sole power to</w:t>
            </w:r>
          </w:p>
        </w:tc>
        <w:tc>
          <w:tcPr>
            <w:tcW w:w="31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9"/>
              </w:rPr>
              <w:t>vote or to direct  the vote:</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See the</w:t>
            </w:r>
          </w:p>
        </w:tc>
      </w:tr>
      <w:tr>
        <w:trPr>
          <w:trHeight w:val="203"/>
        </w:trPr>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40" w:type="dxa"/>
            <w:vAlign w:val="bottom"/>
            <w:gridSpan w:val="6"/>
          </w:tcPr>
          <w:p>
            <w:pPr>
              <w:ind w:left="160"/>
              <w:spacing w:after="0" w:line="203" w:lineRule="exact"/>
              <w:rPr>
                <w:sz w:val="20"/>
                <w:szCs w:val="20"/>
                <w:color w:val="auto"/>
              </w:rPr>
            </w:pPr>
            <w:r>
              <w:rPr>
                <w:rFonts w:ascii="Courier New" w:cs="Courier New" w:eastAsia="Courier New" w:hAnsi="Courier New"/>
                <w:sz w:val="18"/>
                <w:szCs w:val="18"/>
                <w:color w:val="auto"/>
                <w:w w:val="97"/>
              </w:rPr>
              <w:t>response(s) to Item 5 on the attached cover page(s).</w:t>
            </w:r>
          </w:p>
        </w:tc>
      </w:tr>
      <w:tr>
        <w:trPr>
          <w:trHeight w:val="405"/>
        </w:trPr>
        <w:tc>
          <w:tcPr>
            <w:tcW w:w="174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8"/>
                <w:szCs w:val="18"/>
                <w:color w:val="auto"/>
              </w:rPr>
              <w:t>(ii).</w:t>
            </w:r>
          </w:p>
        </w:tc>
        <w:tc>
          <w:tcPr>
            <w:tcW w:w="4780" w:type="dxa"/>
            <w:vAlign w:val="bottom"/>
            <w:gridSpan w:val="5"/>
          </w:tcPr>
          <w:p>
            <w:pPr>
              <w:ind w:left="160"/>
              <w:spacing w:after="0"/>
              <w:rPr>
                <w:sz w:val="20"/>
                <w:szCs w:val="20"/>
                <w:color w:val="auto"/>
              </w:rPr>
            </w:pPr>
            <w:r>
              <w:rPr>
                <w:rFonts w:ascii="Courier New" w:cs="Courier New" w:eastAsia="Courier New" w:hAnsi="Courier New"/>
                <w:sz w:val="18"/>
                <w:szCs w:val="18"/>
                <w:color w:val="auto"/>
                <w:w w:val="99"/>
              </w:rPr>
              <w:t>Shared power to vote or to direct the vote:</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See the</w:t>
            </w:r>
          </w:p>
        </w:tc>
      </w:tr>
      <w:tr>
        <w:trPr>
          <w:trHeight w:val="203"/>
        </w:trPr>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40" w:type="dxa"/>
            <w:vAlign w:val="bottom"/>
            <w:gridSpan w:val="6"/>
          </w:tcPr>
          <w:p>
            <w:pPr>
              <w:ind w:left="160"/>
              <w:spacing w:after="0" w:line="203" w:lineRule="exact"/>
              <w:rPr>
                <w:sz w:val="20"/>
                <w:szCs w:val="20"/>
                <w:color w:val="auto"/>
              </w:rPr>
            </w:pPr>
            <w:r>
              <w:rPr>
                <w:rFonts w:ascii="Courier New" w:cs="Courier New" w:eastAsia="Courier New" w:hAnsi="Courier New"/>
                <w:sz w:val="18"/>
                <w:szCs w:val="18"/>
                <w:color w:val="auto"/>
                <w:w w:val="97"/>
              </w:rPr>
              <w:t>response(s) to Item 6 on the attached cover page(s).</w:t>
            </w:r>
          </w:p>
        </w:tc>
      </w:tr>
      <w:tr>
        <w:trPr>
          <w:trHeight w:val="405"/>
        </w:trPr>
        <w:tc>
          <w:tcPr>
            <w:tcW w:w="174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8"/>
                <w:szCs w:val="18"/>
                <w:color w:val="auto"/>
              </w:rPr>
              <w:t>(iii).</w:t>
            </w:r>
          </w:p>
        </w:tc>
        <w:tc>
          <w:tcPr>
            <w:tcW w:w="16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Sole power to</w:t>
            </w:r>
          </w:p>
        </w:tc>
        <w:tc>
          <w:tcPr>
            <w:tcW w:w="2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dispose or to direct</w:t>
            </w:r>
          </w:p>
        </w:tc>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the disposition</w:t>
            </w:r>
          </w:p>
        </w:tc>
      </w:tr>
      <w:tr>
        <w:trPr>
          <w:trHeight w:val="203"/>
        </w:trPr>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w:t>
            </w:r>
          </w:p>
        </w:tc>
        <w:tc>
          <w:tcPr>
            <w:tcW w:w="2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See the response(s) to</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Item 7</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on the attached</w:t>
            </w:r>
          </w:p>
        </w:tc>
      </w:tr>
      <w:tr>
        <w:trPr>
          <w:trHeight w:val="203"/>
        </w:trPr>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cover page(s).</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174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8"/>
                <w:szCs w:val="18"/>
                <w:color w:val="auto"/>
              </w:rPr>
              <w:t>(iv).</w:t>
            </w:r>
          </w:p>
        </w:tc>
        <w:tc>
          <w:tcPr>
            <w:tcW w:w="5640" w:type="dxa"/>
            <w:vAlign w:val="bottom"/>
            <w:gridSpan w:val="6"/>
          </w:tcPr>
          <w:p>
            <w:pPr>
              <w:ind w:left="160"/>
              <w:spacing w:after="0"/>
              <w:rPr>
                <w:sz w:val="20"/>
                <w:szCs w:val="20"/>
                <w:color w:val="auto"/>
              </w:rPr>
            </w:pPr>
            <w:r>
              <w:rPr>
                <w:rFonts w:ascii="Courier New" w:cs="Courier New" w:eastAsia="Courier New" w:hAnsi="Courier New"/>
                <w:sz w:val="18"/>
                <w:szCs w:val="18"/>
                <w:color w:val="auto"/>
                <w:w w:val="97"/>
              </w:rPr>
              <w:t>Shared power to dispose or to direct the disposition</w:t>
            </w:r>
          </w:p>
        </w:tc>
      </w:tr>
      <w:tr>
        <w:trPr>
          <w:trHeight w:val="203"/>
        </w:trPr>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w:t>
            </w:r>
          </w:p>
        </w:tc>
        <w:tc>
          <w:tcPr>
            <w:tcW w:w="2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See the response(s) to</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Item 8</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on the attached</w:t>
            </w:r>
          </w:p>
        </w:tc>
      </w:tr>
    </w:tbl>
    <w:p>
      <w:pPr>
        <w:ind w:left="2960"/>
        <w:spacing w:after="0" w:line="238" w:lineRule="auto"/>
        <w:rPr>
          <w:sz w:val="20"/>
          <w:szCs w:val="20"/>
          <w:color w:val="auto"/>
        </w:rPr>
      </w:pPr>
      <w:r>
        <w:rPr>
          <w:rFonts w:ascii="Courier New" w:cs="Courier New" w:eastAsia="Courier New" w:hAnsi="Courier New"/>
          <w:sz w:val="18"/>
          <w:szCs w:val="18"/>
          <w:color w:val="auto"/>
        </w:rPr>
        <w:t>cover page(s).</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000" w:right="2239" w:hanging="2000"/>
        <w:spacing w:after="0" w:line="235"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ind w:left="3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left="2000" w:right="1699" w:hanging="2000"/>
        <w:spacing w:after="0" w:line="236" w:lineRule="auto"/>
        <w:tabs>
          <w:tab w:leader="none" w:pos="19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jc w:val="center"/>
        <w:ind w:right="2119"/>
        <w:spacing w:after="0"/>
        <w:rPr>
          <w:sz w:val="20"/>
          <w:szCs w:val="20"/>
          <w:color w:val="auto"/>
        </w:rPr>
      </w:pPr>
      <w:r>
        <w:rPr>
          <w:rFonts w:ascii="Courier New" w:cs="Courier New" w:eastAsia="Courier New" w:hAnsi="Courier New"/>
          <w:sz w:val="18"/>
          <w:szCs w:val="18"/>
          <w:color w:val="auto"/>
        </w:rPr>
        <w:t>See Exhibit (99.2)</w:t>
      </w:r>
    </w:p>
    <w:p>
      <w:pPr>
        <w:spacing w:after="0" w:line="207" w:lineRule="exact"/>
        <w:rPr>
          <w:sz w:val="20"/>
          <w:szCs w:val="20"/>
          <w:color w:val="auto"/>
        </w:rPr>
      </w:pPr>
    </w:p>
    <w:p>
      <w:pPr>
        <w:ind w:left="2000" w:right="2019" w:hanging="3053"/>
        <w:spacing w:after="0" w:line="235" w:lineRule="auto"/>
        <w:tabs>
          <w:tab w:leader="none" w:pos="19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4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Certification.</w:t>
            </w: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8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By signing</w:t>
            </w:r>
          </w:p>
        </w:tc>
        <w:tc>
          <w:tcPr>
            <w:tcW w:w="5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below I certify that, to the best of my knowledge</w:t>
            </w:r>
          </w:p>
        </w:tc>
      </w:tr>
      <w:tr>
        <w:trPr>
          <w:trHeight w:val="203"/>
        </w:trPr>
        <w:tc>
          <w:tcPr>
            <w:tcW w:w="1420" w:type="dxa"/>
            <w:vAlign w:val="bottom"/>
          </w:tcPr>
          <w:p>
            <w:pPr>
              <w:spacing w:after="0"/>
              <w:rPr>
                <w:sz w:val="17"/>
                <w:szCs w:val="17"/>
                <w:color w:val="auto"/>
              </w:rPr>
            </w:pPr>
          </w:p>
        </w:tc>
        <w:tc>
          <w:tcPr>
            <w:tcW w:w="18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and belief,</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3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referred to above were acquired</w:t>
            </w:r>
          </w:p>
        </w:tc>
      </w:tr>
      <w:tr>
        <w:trPr>
          <w:trHeight w:val="203"/>
        </w:trPr>
        <w:tc>
          <w:tcPr>
            <w:tcW w:w="1420" w:type="dxa"/>
            <w:vAlign w:val="bottom"/>
          </w:tcPr>
          <w:p>
            <w:pPr>
              <w:spacing w:after="0"/>
              <w:rPr>
                <w:sz w:val="17"/>
                <w:szCs w:val="17"/>
                <w:color w:val="auto"/>
              </w:rPr>
            </w:pPr>
          </w:p>
        </w:tc>
        <w:tc>
          <w:tcPr>
            <w:tcW w:w="3580" w:type="dxa"/>
            <w:vAlign w:val="bottom"/>
            <w:gridSpan w:val="5"/>
          </w:tcPr>
          <w:p>
            <w:pPr>
              <w:ind w:left="580"/>
              <w:spacing w:after="0" w:line="203" w:lineRule="exact"/>
              <w:rPr>
                <w:sz w:val="20"/>
                <w:szCs w:val="20"/>
                <w:color w:val="auto"/>
              </w:rPr>
            </w:pPr>
            <w:r>
              <w:rPr>
                <w:rFonts w:ascii="Courier New" w:cs="Courier New" w:eastAsia="Courier New" w:hAnsi="Courier New"/>
                <w:sz w:val="18"/>
                <w:szCs w:val="18"/>
                <w:color w:val="auto"/>
                <w:w w:val="98"/>
              </w:rPr>
              <w:t>and are held in the ordinary</w:t>
            </w:r>
          </w:p>
        </w:tc>
        <w:tc>
          <w:tcPr>
            <w:tcW w:w="3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course of business and were not</w:t>
            </w:r>
          </w:p>
        </w:tc>
      </w:tr>
      <w:tr>
        <w:trPr>
          <w:trHeight w:val="203"/>
        </w:trPr>
        <w:tc>
          <w:tcPr>
            <w:tcW w:w="1420" w:type="dxa"/>
            <w:vAlign w:val="bottom"/>
          </w:tcPr>
          <w:p>
            <w:pPr>
              <w:spacing w:after="0"/>
              <w:rPr>
                <w:sz w:val="17"/>
                <w:szCs w:val="17"/>
                <w:color w:val="auto"/>
              </w:rPr>
            </w:pPr>
          </w:p>
        </w:tc>
        <w:tc>
          <w:tcPr>
            <w:tcW w:w="14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5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and are not</w:t>
            </w:r>
          </w:p>
        </w:tc>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rPr>
              <w:t>held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for the</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purpose  of or with the</w:t>
            </w:r>
          </w:p>
        </w:tc>
      </w:tr>
      <w:tr>
        <w:trPr>
          <w:trHeight w:val="203"/>
        </w:trPr>
        <w:tc>
          <w:tcPr>
            <w:tcW w:w="1420" w:type="dxa"/>
            <w:vAlign w:val="bottom"/>
          </w:tcPr>
          <w:p>
            <w:pPr>
              <w:spacing w:after="0"/>
              <w:rPr>
                <w:sz w:val="17"/>
                <w:szCs w:val="17"/>
                <w:color w:val="auto"/>
              </w:rPr>
            </w:pPr>
          </w:p>
        </w:tc>
        <w:tc>
          <w:tcPr>
            <w:tcW w:w="302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rPr>
              <w:t>effect of changing or</w:t>
            </w: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influencing</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the control of the issuer</w:t>
            </w:r>
          </w:p>
        </w:tc>
      </w:tr>
      <w:tr>
        <w:trPr>
          <w:trHeight w:val="203"/>
        </w:trPr>
        <w:tc>
          <w:tcPr>
            <w:tcW w:w="1420" w:type="dxa"/>
            <w:vAlign w:val="bottom"/>
          </w:tcPr>
          <w:p>
            <w:pPr>
              <w:spacing w:after="0"/>
              <w:rPr>
                <w:sz w:val="17"/>
                <w:szCs w:val="17"/>
                <w:color w:val="auto"/>
              </w:rPr>
            </w:pPr>
          </w:p>
        </w:tc>
        <w:tc>
          <w:tcPr>
            <w:tcW w:w="14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of the</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4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and were not acquired and are not held in</w:t>
            </w:r>
          </w:p>
        </w:tc>
      </w:tr>
      <w:tr>
        <w:trPr>
          <w:trHeight w:val="202"/>
        </w:trPr>
        <w:tc>
          <w:tcPr>
            <w:tcW w:w="1420" w:type="dxa"/>
            <w:vAlign w:val="bottom"/>
          </w:tcPr>
          <w:p>
            <w:pPr>
              <w:spacing w:after="0"/>
              <w:rPr>
                <w:sz w:val="17"/>
                <w:szCs w:val="17"/>
                <w:color w:val="auto"/>
              </w:rPr>
            </w:pPr>
          </w:p>
        </w:tc>
        <w:tc>
          <w:tcPr>
            <w:tcW w:w="7020" w:type="dxa"/>
            <w:vAlign w:val="bottom"/>
            <w:gridSpan w:val="7"/>
          </w:tcPr>
          <w:p>
            <w:pPr>
              <w:ind w:left="580"/>
              <w:spacing w:after="0" w:line="203" w:lineRule="exact"/>
              <w:rPr>
                <w:sz w:val="20"/>
                <w:szCs w:val="20"/>
                <w:color w:val="auto"/>
              </w:rPr>
            </w:pPr>
            <w:r>
              <w:rPr>
                <w:rFonts w:ascii="Courier New" w:cs="Courier New" w:eastAsia="Courier New" w:hAnsi="Courier New"/>
                <w:sz w:val="18"/>
                <w:szCs w:val="18"/>
                <w:color w:val="auto"/>
                <w:w w:val="97"/>
              </w:rPr>
              <w:t>connection with or as a participant in any transaction having</w:t>
            </w:r>
          </w:p>
        </w:tc>
      </w:tr>
      <w:tr>
        <w:trPr>
          <w:trHeight w:val="203"/>
        </w:trPr>
        <w:tc>
          <w:tcPr>
            <w:tcW w:w="1420" w:type="dxa"/>
            <w:vAlign w:val="bottom"/>
          </w:tcPr>
          <w:p>
            <w:pPr>
              <w:spacing w:after="0"/>
              <w:rPr>
                <w:sz w:val="17"/>
                <w:szCs w:val="17"/>
                <w:color w:val="auto"/>
              </w:rPr>
            </w:pPr>
          </w:p>
        </w:tc>
        <w:tc>
          <w:tcPr>
            <w:tcW w:w="302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w w:val="97"/>
              </w:rPr>
              <w:t>that purpose or effect.</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right="1699" w:firstLine="526"/>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Goldman Sachs Group, Inc. ("GS Group") and Goldman, Sachs &amp; Co. ("Goldman Sachs") each disclaim beneficial ownership of the securities beneficially owned by (i) any client accounts with respect to which Goldman Sachs or employees of Goldman Sachs have voting or investment discretion, or both and (ii) certain investment entities, of which a subsidiary of GS Group or Goldman Sachs is the general partner, managing general partner or other manager, to the extent interests in such entities are held by persons other than GS Group, Goldman Sachs or their affiliates.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5 of 11 pages</w:t>
      </w:r>
    </w:p>
    <w:p>
      <w:pPr>
        <w:sectPr>
          <w:pgSz w:w="11900" w:h="16838" w:orient="portrait"/>
          <w:cols w:equalWidth="0" w:num="1">
            <w:col w:w="10139"/>
          </w:cols>
          <w:pgMar w:left="320" w:top="717" w:right="1440" w:bottom="1440" w:gutter="0" w:footer="0" w:header="0"/>
        </w:sectPr>
      </w:pPr>
    </w:p>
    <w:bookmarkStart w:id="5" w:name="page6"/>
    <w:bookmarkEnd w:id="5"/>
    <w:p>
      <w:pPr>
        <w:jc w:val="center"/>
        <w:ind w:right="15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1280" w:right="297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14, 2000</w:t>
      </w: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8"/>
          <w:szCs w:val="18"/>
          <w:color w:val="auto"/>
        </w:rPr>
        <w:t>THE GOLDMAN SACHS GROUP,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Roger S. Begelman</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Roger S. Begelman</w:t>
      </w:r>
    </w:p>
    <w:p>
      <w:pPr>
        <w:ind w:left="34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Roger S. Begelman</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Roger S. Begelman</w:t>
      </w:r>
    </w:p>
    <w:p>
      <w:pPr>
        <w:ind w:left="34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6 of 11 pages</w:t>
      </w:r>
    </w:p>
    <w:p>
      <w:pPr>
        <w:sectPr>
          <w:pgSz w:w="11900" w:h="16838" w:orient="portrait"/>
          <w:cols w:equalWidth="0" w:num="1">
            <w:col w:w="10139"/>
          </w:cols>
          <w:pgMar w:left="320" w:top="717" w:right="1440" w:bottom="1440" w:gutter="0" w:footer="0" w:header="0"/>
        </w:sectPr>
      </w:pPr>
    </w:p>
    <w:bookmarkStart w:id="6" w:name="page7"/>
    <w:bookmarkEnd w:id="6"/>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3620" w:type="dxa"/>
            <w:vAlign w:val="bottom"/>
          </w:tcPr>
          <w:p>
            <w:pPr>
              <w:ind w:left="580"/>
              <w:spacing w:after="0"/>
              <w:rPr>
                <w:sz w:val="20"/>
                <w:szCs w:val="20"/>
                <w:color w:val="auto"/>
              </w:rPr>
            </w:pPr>
            <w:r>
              <w:rPr>
                <w:rFonts w:ascii="Courier New" w:cs="Courier New" w:eastAsia="Courier New" w:hAnsi="Courier New"/>
                <w:sz w:val="18"/>
                <w:szCs w:val="18"/>
                <w:color w:val="auto"/>
              </w:rPr>
              <w:t>Exhibit</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6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96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99.1</w:t>
            </w:r>
          </w:p>
        </w:tc>
        <w:tc>
          <w:tcPr>
            <w:tcW w:w="6480" w:type="dxa"/>
            <w:vAlign w:val="bottom"/>
            <w:gridSpan w:val="5"/>
          </w:tcPr>
          <w:p>
            <w:pPr>
              <w:ind w:left="580"/>
              <w:spacing w:after="0"/>
              <w:rPr>
                <w:sz w:val="20"/>
                <w:szCs w:val="20"/>
                <w:color w:val="auto"/>
              </w:rPr>
            </w:pPr>
            <w:r>
              <w:rPr>
                <w:rFonts w:ascii="Courier New" w:cs="Courier New" w:eastAsia="Courier New" w:hAnsi="Courier New"/>
                <w:sz w:val="18"/>
                <w:szCs w:val="18"/>
                <w:color w:val="auto"/>
                <w:w w:val="97"/>
              </w:rPr>
              <w:t>Joint Filing Agreement, dated February 14, 2000, between</w:t>
            </w:r>
          </w:p>
        </w:tc>
      </w:tr>
      <w:tr>
        <w:trPr>
          <w:trHeight w:val="203"/>
        </w:trPr>
        <w:tc>
          <w:tcPr>
            <w:tcW w:w="1960" w:type="dxa"/>
            <w:vAlign w:val="bottom"/>
          </w:tcPr>
          <w:p>
            <w:pPr>
              <w:spacing w:after="0"/>
              <w:rPr>
                <w:sz w:val="17"/>
                <w:szCs w:val="17"/>
                <w:color w:val="auto"/>
              </w:rPr>
            </w:pPr>
          </w:p>
        </w:tc>
        <w:tc>
          <w:tcPr>
            <w:tcW w:w="36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The Goldman Sachs Group, Inc.</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and</w:t>
            </w:r>
          </w:p>
        </w:tc>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Goldman, Sachs &amp; Co.</w:t>
            </w:r>
          </w:p>
        </w:tc>
      </w:tr>
      <w:tr>
        <w:trPr>
          <w:trHeight w:val="405"/>
        </w:trPr>
        <w:tc>
          <w:tcPr>
            <w:tcW w:w="196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99.2</w:t>
            </w:r>
          </w:p>
        </w:tc>
        <w:tc>
          <w:tcPr>
            <w:tcW w:w="3620" w:type="dxa"/>
            <w:vAlign w:val="bottom"/>
          </w:tcPr>
          <w:p>
            <w:pPr>
              <w:ind w:left="580"/>
              <w:spacing w:after="0"/>
              <w:rPr>
                <w:sz w:val="20"/>
                <w:szCs w:val="20"/>
                <w:color w:val="auto"/>
              </w:rPr>
            </w:pPr>
            <w:r>
              <w:rPr>
                <w:rFonts w:ascii="Courier New" w:cs="Courier New" w:eastAsia="Courier New" w:hAnsi="Courier New"/>
                <w:sz w:val="18"/>
                <w:szCs w:val="18"/>
                <w:color w:val="auto"/>
              </w:rPr>
              <w:t>Item 7 Information</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196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99.3</w:t>
            </w:r>
          </w:p>
        </w:tc>
        <w:tc>
          <w:tcPr>
            <w:tcW w:w="416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9"/>
              </w:rPr>
              <w:t>Power of Attorney, dated December</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relating to</w:t>
            </w:r>
          </w:p>
        </w:tc>
      </w:tr>
      <w:tr>
        <w:trPr>
          <w:trHeight w:val="203"/>
        </w:trPr>
        <w:tc>
          <w:tcPr>
            <w:tcW w:w="1960" w:type="dxa"/>
            <w:vAlign w:val="bottom"/>
          </w:tcPr>
          <w:p>
            <w:pPr>
              <w:spacing w:after="0"/>
              <w:rPr>
                <w:sz w:val="17"/>
                <w:szCs w:val="17"/>
                <w:color w:val="auto"/>
              </w:rPr>
            </w:pPr>
          </w:p>
        </w:tc>
        <w:tc>
          <w:tcPr>
            <w:tcW w:w="36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Goldman, Sachs &amp; Co.</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96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99.4</w:t>
            </w:r>
          </w:p>
        </w:tc>
        <w:tc>
          <w:tcPr>
            <w:tcW w:w="3620" w:type="dxa"/>
            <w:vAlign w:val="bottom"/>
          </w:tcPr>
          <w:p>
            <w:pPr>
              <w:ind w:left="580"/>
              <w:spacing w:after="0"/>
              <w:rPr>
                <w:sz w:val="20"/>
                <w:szCs w:val="20"/>
                <w:color w:val="auto"/>
              </w:rPr>
            </w:pPr>
            <w:r>
              <w:rPr>
                <w:rFonts w:ascii="Courier New" w:cs="Courier New" w:eastAsia="Courier New" w:hAnsi="Courier New"/>
                <w:sz w:val="18"/>
                <w:szCs w:val="18"/>
                <w:color w:val="auto"/>
              </w:rPr>
              <w:t>Power  of  Attorney,  dated</w:t>
            </w:r>
          </w:p>
        </w:tc>
        <w:tc>
          <w:tcPr>
            <w:tcW w:w="540" w:type="dxa"/>
            <w:vAlign w:val="bottom"/>
          </w:tcPr>
          <w:p>
            <w:pPr>
              <w:spacing w:after="0"/>
              <w:rPr>
                <w:sz w:val="20"/>
                <w:szCs w:val="20"/>
                <w:color w:val="auto"/>
              </w:rPr>
            </w:pPr>
            <w:r>
              <w:rPr>
                <w:rFonts w:ascii="Courier New" w:cs="Courier New" w:eastAsia="Courier New" w:hAnsi="Courier New"/>
                <w:sz w:val="18"/>
                <w:szCs w:val="18"/>
                <w:color w:val="auto"/>
              </w:rPr>
              <w:t>May</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relating to</w:t>
            </w:r>
          </w:p>
        </w:tc>
      </w:tr>
      <w:tr>
        <w:trPr>
          <w:trHeight w:val="203"/>
        </w:trPr>
        <w:tc>
          <w:tcPr>
            <w:tcW w:w="1960" w:type="dxa"/>
            <w:vAlign w:val="bottom"/>
          </w:tcPr>
          <w:p>
            <w:pPr>
              <w:spacing w:after="0"/>
              <w:rPr>
                <w:sz w:val="17"/>
                <w:szCs w:val="17"/>
                <w:color w:val="auto"/>
              </w:rPr>
            </w:pPr>
          </w:p>
        </w:tc>
        <w:tc>
          <w:tcPr>
            <w:tcW w:w="36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The Goldman Sachs Group, Inc.</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7 of 11 pages</w:t>
      </w:r>
    </w:p>
    <w:p>
      <w:pPr>
        <w:sectPr>
          <w:pgSz w:w="11900" w:h="16838" w:orient="portrait"/>
          <w:cols w:equalWidth="0" w:num="1">
            <w:col w:w="10139"/>
          </w:cols>
          <w:pgMar w:left="320" w:top="717" w:right="1440" w:bottom="1440" w:gutter="0" w:footer="0" w:header="0"/>
        </w:sectPr>
      </w:pPr>
    </w:p>
    <w:bookmarkStart w:id="7" w:name="page8"/>
    <w:bookmarkEnd w:id="7"/>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699" w:firstLine="526"/>
        <w:spacing w:after="0" w:line="271" w:lineRule="auto"/>
        <w:rPr>
          <w:sz w:val="20"/>
          <w:szCs w:val="20"/>
          <w:color w:val="auto"/>
        </w:rPr>
      </w:pPr>
      <w:r>
        <w:rPr>
          <w:rFonts w:ascii="Courier New" w:cs="Courier New" w:eastAsia="Courier New" w:hAnsi="Courier New"/>
          <w:sz w:val="16"/>
          <w:szCs w:val="16"/>
          <w:color w:val="auto"/>
        </w:rPr>
        <w:t>In accordance with Rule 13d-1(k)(1) promulgated under the Securities Exchange Act of 1934, the undersigned agree to the joint filing of a Statement on Schedule 13G (including any and all amendments thereto) with respect to the Common Units, no par value, of Plains All American Pipeline, L.P.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38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14, 2000</w:t>
      </w: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THE GOLDMAN SACHS GROUP, INC.</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Roger S. Begelman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Roger S. Begelman</w:t>
      </w:r>
    </w:p>
    <w:p>
      <w:pPr>
        <w:ind w:left="3580"/>
        <w:spacing w:after="0"/>
        <w:tabs>
          <w:tab w:leader="none" w:pos="442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Roger S. Begelman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Roger S. Begelman</w:t>
      </w:r>
    </w:p>
    <w:p>
      <w:pPr>
        <w:ind w:left="3580"/>
        <w:spacing w:after="0"/>
        <w:tabs>
          <w:tab w:leader="none" w:pos="442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8 of 11 pages</w:t>
      </w:r>
    </w:p>
    <w:p>
      <w:pPr>
        <w:sectPr>
          <w:pgSz w:w="11900" w:h="16838" w:orient="portrait"/>
          <w:cols w:equalWidth="0" w:num="1">
            <w:col w:w="10139"/>
          </w:cols>
          <w:pgMar w:left="320" w:top="717" w:right="1440" w:bottom="1440" w:gutter="0" w:footer="0" w:header="0"/>
        </w:sectPr>
      </w:pPr>
    </w:p>
    <w:bookmarkStart w:id="8" w:name="page9"/>
    <w:bookmarkEnd w:id="8"/>
    <w:p>
      <w:pPr>
        <w:jc w:val="right"/>
        <w:ind w:right="169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699" w:firstLine="526"/>
        <w:spacing w:after="0" w:line="236" w:lineRule="auto"/>
        <w:rPr>
          <w:sz w:val="20"/>
          <w:szCs w:val="20"/>
          <w:color w:val="auto"/>
        </w:rPr>
      </w:pPr>
      <w:r>
        <w:rPr>
          <w:rFonts w:ascii="Courier New" w:cs="Courier New" w:eastAsia="Courier New" w:hAnsi="Courier New"/>
          <w:sz w:val="18"/>
          <w:szCs w:val="18"/>
          <w:color w:val="auto"/>
        </w:rPr>
        <w:t>Goldman, Sachs &amp; Co. is a broker or dealer registered under Section 15 of the Act and an investment adviser registered under Section 203 of the Investment Advisers Act of 1940.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9 of 11 pages</w:t>
      </w:r>
    </w:p>
    <w:p>
      <w:pPr>
        <w:sectPr>
          <w:pgSz w:w="11900" w:h="16838" w:orient="portrait"/>
          <w:cols w:equalWidth="0" w:num="1">
            <w:col w:w="10139"/>
          </w:cols>
          <w:pgMar w:left="320" w:top="717" w:right="1440" w:bottom="1440" w:gutter="0" w:footer="0" w:header="0"/>
        </w:sectPr>
      </w:pPr>
    </w:p>
    <w:bookmarkStart w:id="9" w:name="page10"/>
    <w:bookmarkEnd w:id="9"/>
    <w:p>
      <w:pPr>
        <w:jc w:val="right"/>
        <w:ind w:right="1699"/>
        <w:spacing w:after="0"/>
        <w:rPr>
          <w:sz w:val="20"/>
          <w:szCs w:val="20"/>
          <w:color w:val="auto"/>
        </w:rPr>
      </w:pPr>
      <w:r>
        <w:rPr>
          <w:rFonts w:ascii="Courier New" w:cs="Courier New" w:eastAsia="Courier New" w:hAnsi="Courier New"/>
          <w:sz w:val="18"/>
          <w:szCs w:val="18"/>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power of attorney will expire on December 31, 2000.</w:t>
      </w:r>
    </w:p>
    <w:p>
      <w:pPr>
        <w:spacing w:after="0" w:line="207" w:lineRule="exact"/>
        <w:rPr>
          <w:sz w:val="20"/>
          <w:szCs w:val="20"/>
          <w:color w:val="auto"/>
        </w:rPr>
      </w:pPr>
    </w:p>
    <w:p>
      <w:pPr>
        <w:jc w:val="both"/>
        <w:ind w:right="1699" w:firstLine="526"/>
        <w:spacing w:after="0" w:line="237" w:lineRule="auto"/>
        <w:rPr>
          <w:sz w:val="20"/>
          <w:szCs w:val="20"/>
          <w:color w:val="auto"/>
        </w:rPr>
      </w:pPr>
      <w:r>
        <w:rPr>
          <w:rFonts w:ascii="Courier New" w:cs="Courier New" w:eastAsia="Courier New" w:hAnsi="Courier New"/>
          <w:sz w:val="18"/>
          <w:szCs w:val="18"/>
          <w:color w:val="auto"/>
        </w:rPr>
        <w:t>KNOW ALL PERSONS BY THESE PRESENTS that GOLDMAN, SACHS &amp; CO. (the "Company") does hereby make, constitute and appoint each of Hans L. Reich and Roger S. Begelman,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15" w:lineRule="exact"/>
        <w:rPr>
          <w:sz w:val="20"/>
          <w:szCs w:val="20"/>
          <w:color w:val="auto"/>
        </w:rPr>
      </w:pPr>
    </w:p>
    <w:p>
      <w:pPr>
        <w:jc w:val="both"/>
        <w:ind w:right="1699" w:firstLine="526"/>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21, 1998.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The Goldman, Sachs &amp; Co.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Robert J. Katz</w:t>
      </w:r>
    </w:p>
    <w:p>
      <w:pPr>
        <w:ind w:left="220" w:hanging="212"/>
        <w:spacing w:after="0" w:line="238" w:lineRule="auto"/>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Robert J. Katz</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11 pages</w:t>
      </w:r>
    </w:p>
    <w:p>
      <w:pPr>
        <w:sectPr>
          <w:pgSz w:w="11900" w:h="16838" w:orient="portrait"/>
          <w:cols w:equalWidth="0" w:num="1">
            <w:col w:w="10139"/>
          </w:cols>
          <w:pgMar w:left="320" w:top="717" w:right="1440" w:bottom="1440" w:gutter="0" w:footer="0" w:header="0"/>
        </w:sectPr>
      </w:pPr>
    </w:p>
    <w:bookmarkStart w:id="10" w:name="page11"/>
    <w:bookmarkEnd w:id="10"/>
    <w:p>
      <w:pPr>
        <w:jc w:val="right"/>
        <w:ind w:right="1699"/>
        <w:spacing w:after="0"/>
        <w:rPr>
          <w:sz w:val="20"/>
          <w:szCs w:val="20"/>
          <w:color w:val="auto"/>
        </w:rPr>
      </w:pPr>
      <w:r>
        <w:rPr>
          <w:rFonts w:ascii="Courier New" w:cs="Courier New" w:eastAsia="Courier New" w:hAnsi="Courier New"/>
          <w:sz w:val="18"/>
          <w:szCs w:val="18"/>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power of attorney will expire on May 31, 2001.</w:t>
      </w:r>
    </w:p>
    <w:p>
      <w:pPr>
        <w:spacing w:after="0" w:line="207" w:lineRule="exact"/>
        <w:rPr>
          <w:sz w:val="20"/>
          <w:szCs w:val="20"/>
          <w:color w:val="auto"/>
        </w:rPr>
      </w:pPr>
    </w:p>
    <w:p>
      <w:pPr>
        <w:jc w:val="both"/>
        <w:ind w:right="1699" w:firstLine="526"/>
        <w:spacing w:after="0" w:line="237" w:lineRule="auto"/>
        <w:rPr>
          <w:sz w:val="20"/>
          <w:szCs w:val="20"/>
          <w:color w:val="auto"/>
        </w:rPr>
      </w:pPr>
      <w:r>
        <w:rPr>
          <w:rFonts w:ascii="Courier New" w:cs="Courier New" w:eastAsia="Courier New" w:hAnsi="Courier New"/>
          <w:sz w:val="18"/>
          <w:szCs w:val="18"/>
          <w:color w:val="auto"/>
        </w:rPr>
        <w:t>KNOW ALL PERSONS BY THESE PRESENTS that THE GOLDMAN SACHS GROUP, Inc. (the "Company") does hereby make, constitute and appoint each of Hans L. Reich and Roger S. Begelman,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15" w:lineRule="exact"/>
        <w:rPr>
          <w:sz w:val="20"/>
          <w:szCs w:val="20"/>
          <w:color w:val="auto"/>
        </w:rPr>
      </w:pPr>
    </w:p>
    <w:p>
      <w:pPr>
        <w:jc w:val="both"/>
        <w:ind w:right="1699" w:firstLine="526"/>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May 7, 1999.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GOLDMAN SACHS GROUP,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Robert J. Katz</w:t>
      </w: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Robert J. Katz</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11 of 11 pages</w:t>
      </w:r>
    </w:p>
    <w:sectPr>
      <w:pgSz w:w="11900" w:h="16838" w:orient="portrait"/>
      <w:cols w:equalWidth="0" w:num="1">
        <w:col w:w="10139"/>
      </w:cols>
      <w:pgMar w:left="32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upperLetter"/>
      <w:start w:val="24"/>
    </w:lvl>
  </w:abstractNum>
  <w:abstractNum w:abstractNumId="4">
    <w:nsid w:val="6B68079A"/>
    <w:multiLevelType w:val="hybridMultilevel"/>
    <w:lvl w:ilvl="0">
      <w:lvlJc w:val="left"/>
      <w:lvlText w:val="-"/>
      <w:numFmt w:val="bullet"/>
      <w:start w:val="1"/>
    </w:lvl>
    <w:lvl w:ilvl="1">
      <w:lvlJc w:val="left"/>
      <w:lvlText w:val="%2."/>
      <w:numFmt w:val="decimal"/>
      <w:start w:val="1"/>
    </w:lvl>
  </w:abstractNum>
  <w:abstractNum w:abstractNumId="5">
    <w:nsid w:val="4E6AFB66"/>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6">
    <w:nsid w:val="25E45D32"/>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7">
    <w:nsid w:val="519B500D"/>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8">
    <w:nsid w:val="431BD7B7"/>
    <w:multiLevelType w:val="hybridMultilevel"/>
    <w:lvl w:ilvl="0">
      <w:lvlJc w:val="left"/>
      <w:lvlText w:val="-"/>
      <w:numFmt w:val="bullet"/>
      <w:start w:val="1"/>
    </w:lvl>
    <w:lvl w:ilvl="1">
      <w:lvlJc w:val="left"/>
      <w:lvlText w:val="%2."/>
      <w:numFmt w:val="decimal"/>
      <w:start w:val="5"/>
    </w:lvl>
  </w:abstractNum>
  <w:abstractNum w:abstractNumId="9">
    <w:nsid w:val="3F2DBA31"/>
    <w:multiLevelType w:val="hybridMultilevel"/>
    <w:lvl w:ilvl="0">
      <w:lvlJc w:val="left"/>
      <w:lvlText w:val="-"/>
      <w:numFmt w:val="bullet"/>
      <w:start w:val="1"/>
    </w:lvl>
    <w:lvl w:ilvl="1">
      <w:lvlJc w:val="left"/>
      <w:lvlText w:val="%2."/>
      <w:numFmt w:val="decimal"/>
      <w:start w:val="9"/>
    </w:lvl>
  </w:abstractNum>
  <w:abstractNum w:abstractNumId="10">
    <w:nsid w:val="7C83E458"/>
    <w:multiLevelType w:val="hybridMultilevel"/>
    <w:lvl w:ilvl="0">
      <w:lvlJc w:val="left"/>
      <w:lvlText w:val="%1."/>
      <w:numFmt w:val="decimal"/>
      <w:start w:val="10"/>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1."/>
      <w:numFmt w:val="decimal"/>
      <w:start w:val="12"/>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lvl w:ilvl="1">
      <w:lvlJc w:val="left"/>
      <w:lvlText w:val="%2."/>
      <w:numFmt w:val="decimal"/>
      <w:start w:val="1"/>
    </w:lvl>
  </w:abstractNum>
  <w:abstractNum w:abstractNumId="15">
    <w:nsid w:val="333AB10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6">
    <w:nsid w:val="721DA31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7">
    <w:nsid w:val="2443A858"/>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8">
    <w:nsid w:val="2D1D5AE9"/>
    <w:multiLevelType w:val="hybridMultilevel"/>
    <w:lvl w:ilvl="0">
      <w:lvlJc w:val="left"/>
      <w:lvlText w:val="-"/>
      <w:numFmt w:val="bullet"/>
      <w:start w:val="1"/>
    </w:lvl>
    <w:lvl w:ilvl="1">
      <w:lvlJc w:val="left"/>
      <w:lvlText w:val="%2."/>
      <w:numFmt w:val="decimal"/>
      <w:start w:val="5"/>
    </w:lvl>
  </w:abstractNum>
  <w:abstractNum w:abstractNumId="19">
    <w:nsid w:val="6763845E"/>
    <w:multiLevelType w:val="hybridMultilevel"/>
    <w:lvl w:ilvl="0">
      <w:lvlJc w:val="left"/>
      <w:lvlText w:val="-"/>
      <w:numFmt w:val="bullet"/>
      <w:start w:val="1"/>
    </w:lvl>
    <w:lvl w:ilvl="1">
      <w:lvlJc w:val="left"/>
      <w:lvlText w:val="%2."/>
      <w:numFmt w:val="decimal"/>
      <w:start w:val="9"/>
    </w:lvl>
  </w:abstractNum>
  <w:abstractNum w:abstractNumId="20">
    <w:nsid w:val="75A2A8D4"/>
    <w:multiLevelType w:val="hybridMultilevel"/>
    <w:lvl w:ilvl="0">
      <w:lvlJc w:val="left"/>
      <w:lvlText w:val="%1."/>
      <w:numFmt w:val="decimal"/>
      <w:start w:val="10"/>
    </w:lvl>
  </w:abstractNum>
  <w:abstractNum w:abstractNumId="21">
    <w:nsid w:val="8EDBDAB"/>
    <w:multiLevelType w:val="hybridMultilevel"/>
    <w:lvl w:ilvl="0">
      <w:lvlJc w:val="left"/>
      <w:lvlText w:val="%1."/>
      <w:numFmt w:val="decimal"/>
      <w:start w:val="11"/>
    </w:lvl>
  </w:abstractNum>
  <w:abstractNum w:abstractNumId="22">
    <w:nsid w:val="79838CB2"/>
    <w:multiLevelType w:val="hybridMultilevel"/>
    <w:lvl w:ilvl="0">
      <w:lvlJc w:val="left"/>
      <w:lvlText w:val="%1."/>
      <w:numFmt w:val="decimal"/>
      <w:start w:val="12"/>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lvl w:ilvl="1">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2020-10-07T15:56:17Z</dcterms:created>
  <dcterms:modified xsi:type="dcterms:W3CDTF">2020-10-07T15:56:17Z</dcterms:modified>
</cp:coreProperties>
</file>