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333-184137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333-184137-01</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1600" w:type="dxa"/>
            <w:vAlign w:val="bottom"/>
            <w:tcBorders>
              <w:right w:val="single" w:sz="8" w:color="auto"/>
            </w:tcBorders>
          </w:tcPr>
          <w:p>
            <w:pPr>
              <w:jc w:val="center"/>
              <w:ind w:left="1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w:t>
            </w:r>
          </w:p>
        </w:tc>
        <w:tc>
          <w:tcPr>
            <w:tcW w:w="1560" w:type="dxa"/>
            <w:vAlign w:val="bottom"/>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8"/>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56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4.65% Senior Notes due 2025</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$998,460,000</w:t>
            </w:r>
          </w:p>
        </w:tc>
        <w:tc>
          <w:tcPr>
            <w:tcW w:w="156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w w:val="97"/>
              </w:rPr>
              <w:t>$116,022(1)</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60" w:right="500" w:hanging="452"/>
        <w:spacing w:after="0" w:line="27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calculated in accordance with Rule 457(r), has been transmitted to the SEC in connection with the securities offered from Registration Statement File No. 333-184137 by means of this prospectus supplement.</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238760</wp:posOffset>
            </wp:positionV>
            <wp:extent cx="169799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$1,000,000,000 4.65%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Plains All American Pipeline, L.P. and PAA Finance Corp. are offering $1.0 billion aggregate principal amount of 4.65% Senior Notes due 2025 (the “Notes”).</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April 15 and October 15 of each year, beginning on April 15, 2016. The Notes will mature on October 15, 2025, unless redeemed prior to the maturity date.</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Notes involves risks. See “</w:t>
      </w:r>
      <w:hyperlink w:anchor="page11">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S-5 of this prospectus supplement.</w:t>
      </w:r>
    </w:p>
    <w:p>
      <w:pPr>
        <w:spacing w:after="0" w:line="17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8"/>
              </w:rPr>
              <w:t>Public Offering</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Underwriting</w:t>
            </w:r>
          </w:p>
        </w:tc>
        <w:tc>
          <w:tcPr>
            <w:tcW w:w="24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Proceeds, Before</w:t>
            </w:r>
          </w:p>
        </w:tc>
      </w:tr>
      <w:tr>
        <w:trPr>
          <w:trHeight w:val="165"/>
        </w:trPr>
        <w:tc>
          <w:tcPr>
            <w:tcW w:w="7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Price(1)</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Expenses, to Us</w:t>
            </w:r>
          </w:p>
        </w:tc>
        <w:tc>
          <w:tcPr>
            <w:tcW w:w="200" w:type="dxa"/>
            <w:vAlign w:val="bottom"/>
            <w:tcBorders>
              <w:bottom w:val="single" w:sz="8" w:color="CCEEFF"/>
            </w:tcBorders>
          </w:tcPr>
          <w:p>
            <w:pPr>
              <w:spacing w:after="0"/>
              <w:rPr>
                <w:sz w:val="14"/>
                <w:szCs w:val="14"/>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99.846%</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0.650%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99.196%</w:t>
            </w:r>
          </w:p>
        </w:tc>
      </w:tr>
      <w:tr>
        <w:trPr>
          <w:trHeight w:val="228"/>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$998,460,000</w:t>
            </w:r>
          </w:p>
        </w:tc>
        <w:tc>
          <w:tcPr>
            <w:tcW w:w="6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$6,500,000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$991,960,000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if any, from August 24, 2015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August 24, 2015, the fifth trading day after the date of this prospectus supplement.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81" w:lineRule="exact"/>
        <w:rPr>
          <w:sz w:val="20"/>
          <w:szCs w:val="20"/>
          <w:color w:val="auto"/>
        </w:rPr>
      </w:pPr>
    </w:p>
    <w:p>
      <w:pPr>
        <w:spacing w:after="0"/>
        <w:tabs>
          <w:tab w:leader="none" w:pos="2800" w:val="left"/>
          <w:tab w:leader="none" w:pos="6000" w:val="left"/>
          <w:tab w:leader="none" w:pos="8140" w:val="left"/>
        </w:tabs>
        <w:rPr>
          <w:sz w:val="20"/>
          <w:szCs w:val="20"/>
          <w:color w:val="auto"/>
        </w:rPr>
      </w:pPr>
      <w:r>
        <w:rPr>
          <w:rFonts w:ascii="Times New Roman" w:cs="Times New Roman" w:eastAsia="Times New Roman" w:hAnsi="Times New Roman"/>
          <w:sz w:val="32"/>
          <w:szCs w:val="32"/>
          <w:b w:val="1"/>
          <w:bCs w:val="1"/>
          <w:color w:val="auto"/>
        </w:rPr>
        <w:t>Citigroup</w:t>
      </w:r>
      <w:r>
        <w:rPr>
          <w:sz w:val="20"/>
          <w:szCs w:val="20"/>
          <w:color w:val="auto"/>
        </w:rPr>
        <w:tab/>
      </w:r>
      <w:r>
        <w:rPr>
          <w:rFonts w:ascii="Times New Roman" w:cs="Times New Roman" w:eastAsia="Times New Roman" w:hAnsi="Times New Roman"/>
          <w:sz w:val="32"/>
          <w:szCs w:val="32"/>
          <w:b w:val="1"/>
          <w:bCs w:val="1"/>
          <w:color w:val="auto"/>
        </w:rPr>
        <w:t>Mizuho Securities</w:t>
      </w:r>
      <w:r>
        <w:rPr>
          <w:sz w:val="20"/>
          <w:szCs w:val="20"/>
          <w:color w:val="auto"/>
        </w:rPr>
        <w:tab/>
      </w:r>
      <w:r>
        <w:rPr>
          <w:rFonts w:ascii="Times New Roman" w:cs="Times New Roman" w:eastAsia="Times New Roman" w:hAnsi="Times New Roman"/>
          <w:sz w:val="32"/>
          <w:szCs w:val="32"/>
          <w:b w:val="1"/>
          <w:bCs w:val="1"/>
          <w:color w:val="auto"/>
        </w:rPr>
        <w:t>MUFG</w:t>
      </w:r>
      <w:r>
        <w:rPr>
          <w:sz w:val="20"/>
          <w:szCs w:val="20"/>
          <w:color w:val="auto"/>
        </w:rPr>
        <w:tab/>
      </w:r>
      <w:r>
        <w:rPr>
          <w:rFonts w:ascii="Times New Roman" w:cs="Times New Roman" w:eastAsia="Times New Roman" w:hAnsi="Times New Roman"/>
          <w:sz w:val="32"/>
          <w:szCs w:val="32"/>
          <w:b w:val="1"/>
          <w:bCs w:val="1"/>
          <w:color w:val="auto"/>
        </w:rPr>
        <w:t>UBS Investment Bank</w:t>
      </w:r>
    </w:p>
    <w:p>
      <w:pPr>
        <w:spacing w:after="0" w:line="39" w:lineRule="exact"/>
        <w:rPr>
          <w:sz w:val="20"/>
          <w:szCs w:val="20"/>
          <w:color w:val="auto"/>
        </w:rPr>
      </w:pPr>
    </w:p>
    <w:p>
      <w:pPr>
        <w:ind w:left="1060"/>
        <w:spacing w:after="0"/>
        <w:tabs>
          <w:tab w:leader="none" w:pos="7700" w:val="left"/>
        </w:tabs>
        <w:rPr>
          <w:sz w:val="20"/>
          <w:szCs w:val="20"/>
          <w:color w:val="auto"/>
        </w:rPr>
      </w:pPr>
      <w:r>
        <w:rPr>
          <w:rFonts w:ascii="Times New Roman" w:cs="Times New Roman" w:eastAsia="Times New Roman" w:hAnsi="Times New Roman"/>
          <w:sz w:val="32"/>
          <w:szCs w:val="32"/>
          <w:b w:val="1"/>
          <w:bCs w:val="1"/>
          <w:color w:val="auto"/>
        </w:rPr>
        <w:t>Deutsche Bank Securities</w:t>
      </w:r>
      <w:r>
        <w:rPr>
          <w:sz w:val="20"/>
          <w:szCs w:val="20"/>
          <w:color w:val="auto"/>
        </w:rPr>
        <w:tab/>
      </w:r>
      <w:r>
        <w:rPr>
          <w:rFonts w:ascii="Times New Roman" w:cs="Times New Roman" w:eastAsia="Times New Roman" w:hAnsi="Times New Roman"/>
          <w:sz w:val="32"/>
          <w:szCs w:val="32"/>
          <w:b w:val="1"/>
          <w:bCs w:val="1"/>
          <w:color w:val="auto"/>
        </w:rPr>
        <w:t>DNB Markets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12" w:lineRule="exact"/>
        <w:rPr>
          <w:sz w:val="20"/>
          <w:szCs w:val="20"/>
          <w:color w:val="auto"/>
        </w:rPr>
      </w:pPr>
    </w:p>
    <w:p>
      <w:pPr>
        <w:spacing w:after="0"/>
        <w:tabs>
          <w:tab w:leader="none" w:pos="2120" w:val="left"/>
          <w:tab w:leader="none" w:pos="5880" w:val="left"/>
          <w:tab w:leader="none" w:pos="8900" w:val="left"/>
          <w:tab w:leader="none" w:pos="10960" w:val="left"/>
        </w:tabs>
        <w:rPr>
          <w:sz w:val="20"/>
          <w:szCs w:val="20"/>
          <w:color w:val="auto"/>
        </w:rPr>
      </w:pPr>
      <w:r>
        <w:rPr>
          <w:rFonts w:ascii="Times New Roman" w:cs="Times New Roman" w:eastAsia="Times New Roman" w:hAnsi="Times New Roman"/>
          <w:sz w:val="18"/>
          <w:szCs w:val="18"/>
          <w:b w:val="1"/>
          <w:bCs w:val="1"/>
          <w:color w:val="auto"/>
        </w:rPr>
        <w:t>Scotiabank</w:t>
      </w:r>
      <w:r>
        <w:rPr>
          <w:sz w:val="20"/>
          <w:szCs w:val="20"/>
          <w:color w:val="auto"/>
        </w:rPr>
        <w:tab/>
      </w:r>
      <w:r>
        <w:rPr>
          <w:rFonts w:ascii="Times New Roman" w:cs="Times New Roman" w:eastAsia="Times New Roman" w:hAnsi="Times New Roman"/>
          <w:sz w:val="18"/>
          <w:szCs w:val="18"/>
          <w:b w:val="1"/>
          <w:bCs w:val="1"/>
          <w:color w:val="auto"/>
        </w:rPr>
        <w:t>SOCIETE GENERALE</w:t>
      </w:r>
      <w:r>
        <w:rPr>
          <w:sz w:val="20"/>
          <w:szCs w:val="20"/>
          <w:color w:val="auto"/>
        </w:rPr>
        <w:tab/>
      </w:r>
      <w:r>
        <w:rPr>
          <w:rFonts w:ascii="Times New Roman" w:cs="Times New Roman" w:eastAsia="Times New Roman" w:hAnsi="Times New Roman"/>
          <w:sz w:val="18"/>
          <w:szCs w:val="18"/>
          <w:b w:val="1"/>
          <w:bCs w:val="1"/>
          <w:color w:val="auto"/>
        </w:rPr>
        <w:t>BB&amp;T Capital Markets</w:t>
      </w:r>
      <w:r>
        <w:rPr>
          <w:sz w:val="20"/>
          <w:szCs w:val="20"/>
          <w:color w:val="auto"/>
        </w:rPr>
        <w:tab/>
      </w:r>
      <w:r>
        <w:rPr>
          <w:rFonts w:ascii="Times New Roman" w:cs="Times New Roman" w:eastAsia="Times New Roman" w:hAnsi="Times New Roman"/>
          <w:sz w:val="18"/>
          <w:szCs w:val="18"/>
          <w:b w:val="1"/>
          <w:bCs w:val="1"/>
          <w:color w:val="auto"/>
        </w:rPr>
        <w:t>BMO Capital Markets</w:t>
      </w:r>
      <w:r>
        <w:rPr>
          <w:sz w:val="20"/>
          <w:szCs w:val="20"/>
          <w:color w:val="auto"/>
        </w:rPr>
        <w:tab/>
      </w:r>
      <w:r>
        <w:rPr>
          <w:rFonts w:ascii="Times New Roman" w:cs="Times New Roman" w:eastAsia="Times New Roman" w:hAnsi="Times New Roman"/>
          <w:sz w:val="16"/>
          <w:szCs w:val="16"/>
          <w:b w:val="1"/>
          <w:bCs w:val="1"/>
          <w:color w:val="auto"/>
        </w:rPr>
        <w:t>CIBC</w:t>
      </w:r>
    </w:p>
    <w:p>
      <w:pPr>
        <w:spacing w:after="0" w:line="23" w:lineRule="exact"/>
        <w:rPr>
          <w:sz w:val="20"/>
          <w:szCs w:val="20"/>
          <w:color w:val="auto"/>
        </w:rPr>
      </w:pPr>
    </w:p>
    <w:p>
      <w:pPr>
        <w:spacing w:after="0"/>
        <w:tabs>
          <w:tab w:leader="none" w:pos="2920" w:val="left"/>
          <w:tab w:leader="none" w:pos="4920" w:val="left"/>
          <w:tab w:leader="none" w:pos="8260" w:val="left"/>
          <w:tab w:leader="none" w:pos="10480" w:val="left"/>
        </w:tabs>
        <w:rPr>
          <w:sz w:val="20"/>
          <w:szCs w:val="20"/>
          <w:color w:val="auto"/>
        </w:rPr>
      </w:pPr>
      <w:r>
        <w:rPr>
          <w:rFonts w:ascii="Times New Roman" w:cs="Times New Roman" w:eastAsia="Times New Roman" w:hAnsi="Times New Roman"/>
          <w:sz w:val="18"/>
          <w:szCs w:val="18"/>
          <w:b w:val="1"/>
          <w:bCs w:val="1"/>
          <w:color w:val="auto"/>
        </w:rPr>
        <w:t>Fifth Third Securities</w:t>
      </w:r>
      <w:r>
        <w:rPr>
          <w:sz w:val="20"/>
          <w:szCs w:val="20"/>
          <w:color w:val="auto"/>
        </w:rPr>
        <w:tab/>
      </w:r>
      <w:r>
        <w:rPr>
          <w:rFonts w:ascii="Times New Roman" w:cs="Times New Roman" w:eastAsia="Times New Roman" w:hAnsi="Times New Roman"/>
          <w:sz w:val="18"/>
          <w:szCs w:val="18"/>
          <w:b w:val="1"/>
          <w:bCs w:val="1"/>
          <w:color w:val="auto"/>
        </w:rPr>
        <w:t>ING</w:t>
      </w:r>
      <w:r>
        <w:rPr>
          <w:sz w:val="20"/>
          <w:szCs w:val="20"/>
          <w:color w:val="auto"/>
        </w:rPr>
        <w:tab/>
      </w:r>
      <w:r>
        <w:rPr>
          <w:rFonts w:ascii="Times New Roman" w:cs="Times New Roman" w:eastAsia="Times New Roman" w:hAnsi="Times New Roman"/>
          <w:sz w:val="18"/>
          <w:szCs w:val="18"/>
          <w:b w:val="1"/>
          <w:bCs w:val="1"/>
          <w:color w:val="auto"/>
        </w:rPr>
        <w:t>PNC Capital Markets LLC</w:t>
      </w:r>
      <w:r>
        <w:rPr>
          <w:sz w:val="20"/>
          <w:szCs w:val="20"/>
          <w:color w:val="auto"/>
        </w:rPr>
        <w:tab/>
      </w:r>
      <w:r>
        <w:rPr>
          <w:rFonts w:ascii="Times New Roman" w:cs="Times New Roman" w:eastAsia="Times New Roman" w:hAnsi="Times New Roman"/>
          <w:sz w:val="18"/>
          <w:szCs w:val="18"/>
          <w:b w:val="1"/>
          <w:bCs w:val="1"/>
          <w:color w:val="auto"/>
        </w:rPr>
        <w:t>Regions Securities LLC</w:t>
      </w:r>
      <w:r>
        <w:rPr>
          <w:sz w:val="20"/>
          <w:szCs w:val="20"/>
          <w:color w:val="auto"/>
        </w:rPr>
        <w:tab/>
      </w:r>
      <w:r>
        <w:rPr>
          <w:rFonts w:ascii="Times New Roman" w:cs="Times New Roman" w:eastAsia="Times New Roman" w:hAnsi="Times New Roman"/>
          <w:sz w:val="16"/>
          <w:szCs w:val="16"/>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date of this prospectus supplement is August 17, 2015.</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0"/>
                <w:szCs w:val="20"/>
                <w:color w:val="auto"/>
              </w:rPr>
            </w:pPr>
          </w:p>
        </w:tc>
      </w:tr>
      <w:tr>
        <w:trPr>
          <w:trHeight w:val="378"/>
        </w:trPr>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000" w:type="dxa"/>
            <w:vAlign w:val="bottom"/>
          </w:tcPr>
          <w:p>
            <w:pPr>
              <w:spacing w:after="0"/>
              <w:rPr>
                <w:sz w:val="24"/>
                <w:szCs w:val="24"/>
                <w:color w:val="auto"/>
              </w:rPr>
            </w:pPr>
          </w:p>
        </w:tc>
      </w:tr>
      <w:tr>
        <w:trPr>
          <w:trHeight w:val="380"/>
        </w:trPr>
        <w:tc>
          <w:tcPr>
            <w:tcW w:w="932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Forward-Looking Statements</w:t>
              </w:r>
            </w:hyperlink>
          </w:p>
        </w:tc>
        <w:tc>
          <w:tcPr>
            <w:tcW w:w="5560" w:type="dxa"/>
            <w:vAlign w:val="bottom"/>
            <w:tcBorders>
              <w:top w:val="single" w:sz="8" w:color="0000EE"/>
            </w:tcBorders>
            <w:gridSpan w:val="9"/>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w:t>
            </w:r>
          </w:p>
        </w:tc>
      </w:tr>
      <w:tr>
        <w:trPr>
          <w:trHeight w:val="196"/>
        </w:trPr>
        <w:tc>
          <w:tcPr>
            <w:tcW w:w="2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Prospectus Supplement Summary</w:t>
              </w:r>
            </w:hyperlink>
          </w:p>
        </w:tc>
        <w:tc>
          <w:tcPr>
            <w:tcW w:w="694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Risk Factors</w:t>
              </w:r>
            </w:hyperlink>
          </w:p>
        </w:tc>
        <w:tc>
          <w:tcPr>
            <w:tcW w:w="842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Ratio of Earnings to Fixed Charges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15">
              <w:r>
                <w:rPr>
                  <w:rFonts w:ascii="Times New Roman" w:cs="Times New Roman" w:eastAsia="Times New Roman" w:hAnsi="Times New Roman"/>
                  <w:sz w:val="18"/>
                  <w:szCs w:val="18"/>
                  <w:color w:val="0000EE"/>
                  <w:w w:val="96"/>
                </w:rPr>
                <w:t>Capitalization</w:t>
              </w:r>
            </w:hyperlink>
          </w:p>
        </w:tc>
        <w:tc>
          <w:tcPr>
            <w:tcW w:w="1480" w:type="dxa"/>
            <w:vAlign w:val="bottom"/>
            <w:tcBorders>
              <w:top w:val="single" w:sz="8" w:color="0000EE"/>
            </w:tcBorders>
            <w:gridSpan w:val="12"/>
          </w:tcPr>
          <w:p>
            <w:pPr>
              <w:spacing w:after="0"/>
              <w:rPr>
                <w:sz w:val="17"/>
                <w:szCs w:val="17"/>
                <w:color w:val="auto"/>
              </w:rPr>
            </w:pPr>
          </w:p>
        </w:tc>
        <w:tc>
          <w:tcPr>
            <w:tcW w:w="684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Description of Notes</w:t>
              </w:r>
            </w:hyperlink>
          </w:p>
        </w:tc>
        <w:tc>
          <w:tcPr>
            <w:tcW w:w="784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2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Book Entry, Delivery and Form</w:t>
              </w:r>
            </w:hyperlink>
          </w:p>
        </w:tc>
        <w:tc>
          <w:tcPr>
            <w:tcW w:w="70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3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196"/>
        </w:trPr>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37">
              <w:r>
                <w:rPr>
                  <w:rFonts w:ascii="Times New Roman" w:cs="Times New Roman" w:eastAsia="Times New Roman" w:hAnsi="Times New Roman"/>
                  <w:sz w:val="18"/>
                  <w:szCs w:val="18"/>
                  <w:color w:val="0000EE"/>
                  <w:w w:val="96"/>
                </w:rPr>
                <w:t>Underwriting</w:t>
              </w:r>
            </w:hyperlink>
          </w:p>
        </w:tc>
        <w:tc>
          <w:tcPr>
            <w:tcW w:w="836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r>
      <w:tr>
        <w:trPr>
          <w:trHeight w:val="196"/>
        </w:trPr>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r>
      <w:tr>
        <w:trPr>
          <w:trHeight w:val="559"/>
        </w:trPr>
        <w:tc>
          <w:tcPr>
            <w:tcW w:w="28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5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r>
      <w:tr>
        <w:trPr>
          <w:trHeight w:val="394"/>
        </w:trPr>
        <w:tc>
          <w:tcPr>
            <w:tcW w:w="9320" w:type="dxa"/>
            <w:vAlign w:val="bottom"/>
            <w:gridSpan w:val="24"/>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About This Prospectus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51">
              <w:r>
                <w:rPr>
                  <w:rFonts w:ascii="Times New Roman" w:cs="Times New Roman" w:eastAsia="Times New Roman" w:hAnsi="Times New Roman"/>
                  <w:sz w:val="18"/>
                  <w:szCs w:val="18"/>
                  <w:color w:val="0000EE"/>
                  <w:w w:val="96"/>
                </w:rPr>
                <w:t>Ratio Of Earnings To Fixed Charges</w:t>
              </w:r>
            </w:hyperlink>
          </w:p>
        </w:tc>
        <w:tc>
          <w:tcPr>
            <w:tcW w:w="67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Description of Our Debt Securities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Legal Matters</w:t>
              </w:r>
            </w:hyperlink>
          </w:p>
        </w:tc>
        <w:tc>
          <w:tcPr>
            <w:tcW w:w="79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AND THE ACCOMPANYING BASE PROSPECTUS</w:t>
      </w:r>
    </w:p>
    <w:p>
      <w:pPr>
        <w:spacing w:after="0" w:line="157"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34" w:lineRule="exact"/>
        <w:rPr>
          <w:sz w:val="20"/>
          <w:szCs w:val="20"/>
          <w:color w:val="auto"/>
        </w:rPr>
      </w:pPr>
    </w:p>
    <w:p>
      <w:pPr>
        <w:ind w:right="6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1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in or incorporated by reference into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39" w:lineRule="exact"/>
        <w:rPr>
          <w:sz w:val="20"/>
          <w:szCs w:val="20"/>
          <w:color w:val="auto"/>
        </w:rPr>
      </w:pPr>
    </w:p>
    <w:p>
      <w:pPr>
        <w:ind w:right="5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29"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expect delivery of the Notes will be made against payment therefor on or about August 24, 2015,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60" w:lineRule="exact"/>
        <w:rPr>
          <w:sz w:val="20"/>
          <w:szCs w:val="20"/>
          <w:color w:val="auto"/>
        </w:rPr>
      </w:pPr>
    </w:p>
    <w:p>
      <w:pPr>
        <w:ind w:left="5580" w:right="3140" w:hanging="5005"/>
        <w:spacing w:after="0" w:line="447"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growth projects; S-ii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00" w:hanging="325"/>
        <w:spacing w:after="0" w:line="310"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90"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90"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6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2014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300"/>
          </w:cols>
          <w:pgMar w:left="240" w:top="455" w:right="3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78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included in or incorporated by reference into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S-5 of this prospectus supplement and in our Annual Report on Form 10-K for the fiscal year ended December 31, 2014, which is incorporated by reference herein, for information regarding risks you should consider before making a decision to purchase any Notes in this offering.</w:t>
      </w:r>
    </w:p>
    <w:p>
      <w:pPr>
        <w:spacing w:after="0" w:line="139" w:lineRule="exact"/>
        <w:rPr>
          <w:sz w:val="20"/>
          <w:szCs w:val="20"/>
          <w:color w:val="auto"/>
        </w:rPr>
      </w:pPr>
    </w:p>
    <w:p>
      <w:pPr>
        <w:ind w:left="200" w:right="280" w:firstLine="443"/>
        <w:spacing w:after="0" w:line="297" w:lineRule="auto"/>
        <w:rPr>
          <w:sz w:val="20"/>
          <w:szCs w:val="20"/>
          <w:color w:val="auto"/>
        </w:rPr>
      </w:pPr>
      <w:r>
        <w:rPr>
          <w:rFonts w:ascii="Times New Roman" w:cs="Times New Roman" w:eastAsia="Times New Roman" w:hAnsi="Times New Roman"/>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73" w:lineRule="exact"/>
        <w:rPr>
          <w:sz w:val="20"/>
          <w:szCs w:val="20"/>
          <w:color w:val="auto"/>
        </w:rPr>
      </w:pPr>
    </w:p>
    <w:p>
      <w:pPr>
        <w:ind w:left="200" w:right="100" w:firstLine="443"/>
        <w:spacing w:after="0" w:line="258"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36" w:lineRule="exact"/>
        <w:rPr>
          <w:sz w:val="20"/>
          <w:szCs w:val="20"/>
          <w:color w:val="auto"/>
        </w:rPr>
      </w:pPr>
    </w:p>
    <w:p>
      <w:pPr>
        <w:jc w:val="both"/>
        <w:ind w:left="200" w:right="140" w:firstLine="443"/>
        <w:spacing w:after="0" w:line="262" w:lineRule="auto"/>
        <w:rPr>
          <w:sz w:val="20"/>
          <w:szCs w:val="20"/>
          <w:color w:val="auto"/>
        </w:rPr>
      </w:pPr>
      <w:r>
        <w:rPr>
          <w:rFonts w:ascii="Times New Roman" w:cs="Times New Roman" w:eastAsia="Times New Roman" w:hAnsi="Times New Roman"/>
          <w:sz w:val="18"/>
          <w:szCs w:val="18"/>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Ongoing Acquisition and Investment Activities</w:t>
      </w:r>
    </w:p>
    <w:p>
      <w:pPr>
        <w:spacing w:after="0" w:line="173"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38" w:lineRule="exact"/>
        <w:rPr>
          <w:sz w:val="20"/>
          <w:szCs w:val="20"/>
          <w:color w:val="auto"/>
        </w:rPr>
      </w:pPr>
    </w:p>
    <w:p>
      <w:pPr>
        <w:ind w:left="200" w:right="20" w:firstLine="443"/>
        <w:spacing w:after="0" w:line="256"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60"/>
          </w:cols>
          <w:pgMar w:left="240" w:top="455"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173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217360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0" w:right="300"/>
        <w:spacing w:after="0" w:line="275" w:lineRule="auto"/>
        <w:rPr>
          <w:sz w:val="20"/>
          <w:szCs w:val="20"/>
          <w:color w:val="auto"/>
        </w:rPr>
      </w:pPr>
      <w:r>
        <w:rPr>
          <w:rFonts w:ascii="Times New Roman" w:cs="Times New Roman" w:eastAsia="Times New Roman" w:hAnsi="Times New Roman"/>
          <w:sz w:val="18"/>
          <w:szCs w:val="18"/>
          <w:color w:val="auto"/>
        </w:rPr>
        <w:t>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73" w:lineRule="exact"/>
        <w:rPr>
          <w:sz w:val="20"/>
          <w:szCs w:val="20"/>
          <w:color w:val="auto"/>
        </w:rPr>
      </w:pPr>
    </w:p>
    <w:p>
      <w:pPr>
        <w:jc w:val="both"/>
        <w:ind w:left="200" w:right="420" w:firstLine="443"/>
        <w:spacing w:after="0" w:line="262" w:lineRule="auto"/>
        <w:rPr>
          <w:sz w:val="20"/>
          <w:szCs w:val="20"/>
          <w:color w:val="auto"/>
        </w:rPr>
      </w:pPr>
      <w:r>
        <w:rPr>
          <w:rFonts w:ascii="Times New Roman" w:cs="Times New Roman" w:eastAsia="Times New Roman" w:hAnsi="Times New Roman"/>
          <w:sz w:val="18"/>
          <w:szCs w:val="18"/>
          <w:color w:val="auto"/>
        </w:rPr>
        <w:t xml:space="preserve">Our executive offices are located at 333 Clay Street, Suite 1600, Houston, Texas 77002. Our telephone number is (713) 646-4100. We maintain a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3" w:lineRule="exact"/>
        <w:rPr>
          <w:sz w:val="20"/>
          <w:szCs w:val="20"/>
          <w:color w:val="auto"/>
        </w:rPr>
      </w:pPr>
    </w:p>
    <w:p>
      <w:pPr>
        <w:ind w:left="200" w:firstLine="443"/>
        <w:spacing w:after="0" w:line="310" w:lineRule="auto"/>
        <w:rPr>
          <w:sz w:val="20"/>
          <w:szCs w:val="20"/>
          <w:color w:val="auto"/>
        </w:rPr>
      </w:pPr>
      <w:r>
        <w:rPr>
          <w:rFonts w:ascii="Times New Roman" w:cs="Times New Roman" w:eastAsia="Times New Roman" w:hAnsi="Times New Roman"/>
          <w:sz w:val="16"/>
          <w:szCs w:val="16"/>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2014 and our Quarterly Reports on Form 10-Q for the quarterly periods ended March 31, 2015 and June 30, 2015,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212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3" w:lineRule="exact"/>
        <w:rPr>
          <w:sz w:val="20"/>
          <w:szCs w:val="20"/>
          <w:color w:val="auto"/>
        </w:rPr>
      </w:pPr>
    </w:p>
    <w:p>
      <w:pPr>
        <w:ind w:left="200" w:firstLine="443"/>
        <w:spacing w:after="0" w:line="262" w:lineRule="auto"/>
        <w:rPr>
          <w:sz w:val="20"/>
          <w:szCs w:val="20"/>
          <w:color w:val="auto"/>
        </w:rPr>
      </w:pPr>
      <w:r>
        <w:rPr>
          <w:rFonts w:ascii="Times New Roman" w:cs="Times New Roman" w:eastAsia="Times New Roman" w:hAnsi="Times New Roman"/>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ectPr>
          <w:pgSz w:w="11900" w:h="16838" w:orient="portrait"/>
          <w:cols w:equalWidth="0" w:num="1">
            <w:col w:w="11260"/>
          </w:cols>
          <w:pgMar w:left="240" w:top="455" w:right="399" w:bottom="1440" w:gutter="0" w:footer="0" w:header="0"/>
        </w:sectPr>
      </w:pP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Issuers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Plains All American Pipeline, L.P. and PAA Finance Corp.</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48" w:lineRule="exact"/>
        <w:rPr>
          <w:sz w:val="20"/>
          <w:szCs w:val="20"/>
          <w:color w:val="auto"/>
        </w:rPr>
      </w:pPr>
    </w:p>
    <w:p>
      <w:pPr>
        <w:ind w:left="4400" w:right="80"/>
        <w:spacing w:after="0" w:line="256" w:lineRule="auto"/>
        <w:rPr>
          <w:sz w:val="20"/>
          <w:szCs w:val="20"/>
          <w:color w:val="auto"/>
        </w:rPr>
      </w:pPr>
      <w:r>
        <w:rPr>
          <w:rFonts w:ascii="Times New Roman" w:cs="Times New Roman" w:eastAsia="Times New Roman" w:hAnsi="Times New Roman"/>
          <w:sz w:val="18"/>
          <w:szCs w:val="18"/>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ectPr>
          <w:pgSz w:w="11900" w:h="16838" w:orient="portrait"/>
          <w:cols w:equalWidth="0" w:num="1">
            <w:col w:w="11260"/>
          </w:cols>
          <w:pgMar w:left="240" w:top="455" w:right="399" w:bottom="1440" w:gutter="0" w:footer="0" w:header="0"/>
          <w:type w:val="continuous"/>
        </w:sectPr>
      </w:pP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Future guarantees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 Possible Future Guarantees.”</w:t>
      </w:r>
    </w:p>
    <w:p>
      <w:pPr>
        <w:spacing w:after="0" w:line="144"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$1,000,000,000 aggregate principal amount of 4.65% Senior Notes due 2025.</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Maturity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15, 2025.</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Interest rate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4.65%.</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April 15 and October 15 of each year, beginning on April 15, 2016.</w:t>
      </w:r>
    </w:p>
    <w:p>
      <w:pPr>
        <w:spacing w:after="0" w:line="16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Optional redemption</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We may redeem the Notes, in whole or in part, at any time and from time to time prior to maturity. If we redeem the Notes before July 15, 2025 (three months prior to their maturity date), the Notes may be redeemed at a price equal to the greater of (i) 100% of the principal amount of the Notes to be redeemed or (ii) the sum of the present values of the remaining scheduled payments of principal of and interest on the Notes to be redeemed that would be due if the Notes matured three months prior to the maturity date (which we refer to as the “Par Call Date”), discounted to the redemption date on a semiannual basis at the Adjusted Treasury Rate (as defined herein) plus 37.5 basis points, together with accrued and unpaid interest to the date of redemption. If we redeem the Notes on or after July 15, 2025 (three months prior to their maturity date), the redemption price will equal 100% of the principal amount of the Notes to be redeemed plus accrued and unpaid interest to the redemption date. See “Description of Notes— Optional Redemption.”</w:t>
      </w:r>
    </w:p>
    <w:p>
      <w:pPr>
        <w:spacing w:after="0" w:line="188"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Ranking</w:t>
      </w:r>
    </w:p>
    <w:p>
      <w:pPr>
        <w:spacing w:after="0" w:line="20" w:lineRule="exact"/>
        <w:rPr>
          <w:sz w:val="20"/>
          <w:szCs w:val="20"/>
          <w:color w:val="auto"/>
        </w:rPr>
      </w:pPr>
      <w:r>
        <w:rPr>
          <w:sz w:val="20"/>
          <w:szCs w:val="20"/>
          <w:color w:val="auto"/>
        </w:rPr>
        <w:br w:type="column"/>
      </w:r>
    </w:p>
    <w:p>
      <w:pPr>
        <w:ind w:right="320"/>
        <w:spacing w:after="0" w:line="275" w:lineRule="auto"/>
        <w:rPr>
          <w:sz w:val="20"/>
          <w:szCs w:val="20"/>
          <w:color w:val="auto"/>
        </w:rPr>
      </w:pPr>
      <w:r>
        <w:rPr>
          <w:rFonts w:ascii="Times New Roman" w:cs="Times New Roman" w:eastAsia="Times New Roman" w:hAnsi="Times New Roman"/>
          <w:sz w:val="18"/>
          <w:szCs w:val="18"/>
          <w:color w:val="auto"/>
        </w:rPr>
        <w:t>The Notes will be general senior unsecured obligations of the issuers and will rank equally in right of payment with the existing and future senior indebtedness of the issuers.</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S-3</w:t>
      </w:r>
    </w:p>
    <w:p>
      <w:pPr>
        <w:sectPr>
          <w:pgSz w:w="11900" w:h="16838" w:orient="portrait"/>
          <w:cols w:equalWidth="0" w:num="1">
            <w:col w:w="11260"/>
          </w:cols>
          <w:pgMar w:left="240" w:top="455" w:right="399" w:bottom="1440" w:gutter="0" w:footer="0" w:header="0"/>
          <w:type w:val="continuous"/>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76465" cy="645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ectPr>
          <w:pgSz w:w="11900" w:h="16838" w:orient="portrait"/>
          <w:cols w:equalWidth="0" w:num="1">
            <w:col w:w="11260"/>
          </w:cols>
          <w:pgMar w:left="240" w:top="455" w:right="39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Notes will be issued under an indenture containing covenants for your benefit. These covenants restrict our ability, with certain exceptions, to:</w:t>
      </w:r>
    </w:p>
    <w:p>
      <w:pPr>
        <w:spacing w:after="0" w:line="16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4440"/>
        <w:spacing w:after="0"/>
        <w:rPr>
          <w:sz w:val="20"/>
          <w:szCs w:val="20"/>
          <w:color w:val="auto"/>
        </w:rPr>
      </w:pPr>
      <w:r>
        <w:rPr>
          <w:rFonts w:ascii="Times New Roman" w:cs="Times New Roman" w:eastAsia="Times New Roman" w:hAnsi="Times New Roman"/>
          <w:sz w:val="18"/>
          <w:szCs w:val="18"/>
          <w:color w:val="auto"/>
        </w:rPr>
        <w:t>• incur liens on principal properties to secure debt;</w:t>
      </w: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engage in sale-leaseback transactions; and</w:t>
      </w:r>
    </w:p>
    <w:p>
      <w:pPr>
        <w:spacing w:after="0" w:line="212" w:lineRule="exact"/>
        <w:rPr>
          <w:sz w:val="20"/>
          <w:szCs w:val="20"/>
          <w:color w:val="auto"/>
        </w:rPr>
      </w:pPr>
    </w:p>
    <w:p>
      <w:pPr>
        <w:ind w:left="4620" w:right="500" w:hanging="179"/>
        <w:spacing w:after="0" w:line="275" w:lineRule="auto"/>
        <w:tabs>
          <w:tab w:leader="none" w:pos="4600" w:val="left"/>
        </w:tabs>
        <w:rPr>
          <w:sz w:val="20"/>
          <w:szCs w:val="20"/>
          <w:color w:val="auto"/>
        </w:rPr>
      </w:pPr>
      <w:r>
        <w:rPr>
          <w:rFonts w:ascii="Times New Roman" w:cs="Times New Roman" w:eastAsia="Times New Roman" w:hAnsi="Times New Roman"/>
          <w:sz w:val="18"/>
          <w:szCs w:val="18"/>
          <w:color w:val="auto"/>
        </w:rPr>
        <w:t>•</w:t>
        <w:tab/>
        <w:t>merge or consolidate with another entity or sell, lease or transfer substantially all of our properties or assets to another entity.</w:t>
      </w:r>
    </w:p>
    <w:p>
      <w:pPr>
        <w:spacing w:after="0" w:line="1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See “Description of Notes—Covenants.”</w:t>
      </w:r>
    </w:p>
    <w:p>
      <w:pPr>
        <w:sectPr>
          <w:pgSz w:w="11900" w:h="16838" w:orient="portrait"/>
          <w:cols w:equalWidth="0" w:num="1">
            <w:col w:w="11260"/>
          </w:cols>
          <w:pgMar w:left="240" w:top="455" w:right="399" w:bottom="1440" w:gutter="0" w:footer="0" w:header="0"/>
          <w:type w:val="continuous"/>
        </w:sect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will be approximately $990.5 million after deducting the underwriting discount and our estimated offering expenses. We expect to use the net proceeds from this offering to repay outstanding borrowings under our commercial paper program and for general partnership purposes.</w:t>
      </w:r>
    </w:p>
    <w:p>
      <w:pPr>
        <w:spacing w:after="0" w:line="177"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4400" w:right="120"/>
        <w:spacing w:after="0" w:line="262" w:lineRule="auto"/>
        <w:rPr>
          <w:sz w:val="20"/>
          <w:szCs w:val="20"/>
          <w:color w:val="auto"/>
        </w:rPr>
      </w:pPr>
      <w:r>
        <w:rPr>
          <w:rFonts w:ascii="Times New Roman" w:cs="Times New Roman" w:eastAsia="Times New Roman" w:hAnsi="Times New Roman"/>
          <w:sz w:val="18"/>
          <w:szCs w:val="18"/>
          <w:color w:val="auto"/>
        </w:rPr>
        <w:t>Amounts repaid under our commercial paper program may be reborrowed, as necessary, to fund our ongoing expansion capital program or future acquisitions and investments or for general partnership purposes.</w:t>
      </w:r>
    </w:p>
    <w:p>
      <w:pPr>
        <w:sectPr>
          <w:pgSz w:w="11900" w:h="16838" w:orient="portrait"/>
          <w:cols w:equalWidth="0" w:num="1">
            <w:col w:w="11260"/>
          </w:cols>
          <w:pgMar w:left="240" w:top="455" w:right="399" w:bottom="1440" w:gutter="0" w:footer="0" w:header="0"/>
          <w:type w:val="continuous"/>
        </w:sectPr>
      </w:pP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Book entry, delivery and form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Notes will be represented by one or more permanent global certificates in fully registered form deposited with a custodian for, and registered in the name of, a nominee of The Depository Trust Company.</w:t>
      </w:r>
    </w:p>
    <w:p>
      <w:pPr>
        <w:spacing w:after="0" w:line="173"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Further issuances</w:t>
      </w:r>
    </w:p>
    <w:p>
      <w:pPr>
        <w:spacing w:after="0" w:line="20" w:lineRule="exact"/>
        <w:rPr>
          <w:sz w:val="20"/>
          <w:szCs w:val="20"/>
          <w:color w:val="auto"/>
        </w:rPr>
      </w:pPr>
      <w:r>
        <w:rPr>
          <w:sz w:val="20"/>
          <w:szCs w:val="20"/>
          <w:color w:val="auto"/>
        </w:rPr>
        <w:br w:type="column"/>
      </w:r>
    </w:p>
    <w:p>
      <w:pPr>
        <w:ind w:right="80"/>
        <w:spacing w:after="0" w:line="296" w:lineRule="auto"/>
        <w:rPr>
          <w:sz w:val="20"/>
          <w:szCs w:val="20"/>
          <w:color w:val="auto"/>
        </w:rPr>
      </w:pPr>
      <w:r>
        <w:rPr>
          <w:rFonts w:ascii="Times New Roman" w:cs="Times New Roman" w:eastAsia="Times New Roman" w:hAnsi="Times New Roman"/>
          <w:sz w:val="16"/>
          <w:szCs w:val="16"/>
          <w:color w:val="auto"/>
        </w:rPr>
        <w:t>We may create and issue additional Notes ranking equally and ratably with the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w:t>
      </w:r>
    </w:p>
    <w:p>
      <w:pPr>
        <w:spacing w:after="0" w:line="148"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No listing</w:t>
      </w:r>
    </w:p>
    <w:p>
      <w:pPr>
        <w:spacing w:after="0" w:line="20" w:lineRule="exact"/>
        <w:rPr>
          <w:sz w:val="20"/>
          <w:szCs w:val="20"/>
          <w:color w:val="auto"/>
        </w:rPr>
      </w:pPr>
      <w:r>
        <w:rPr>
          <w:sz w:val="20"/>
          <w:szCs w:val="20"/>
          <w:color w:val="auto"/>
        </w:rPr>
        <w:br w:type="column"/>
      </w:r>
    </w:p>
    <w:p>
      <w:pPr>
        <w:ind w:right="20"/>
        <w:spacing w:after="0" w:line="301" w:lineRule="auto"/>
        <w:rPr>
          <w:sz w:val="20"/>
          <w:szCs w:val="20"/>
          <w:color w:val="auto"/>
        </w:rPr>
      </w:pPr>
      <w:r>
        <w:rPr>
          <w:rFonts w:ascii="Times New Roman" w:cs="Times New Roman" w:eastAsia="Times New Roman" w:hAnsi="Times New Roman"/>
          <w:sz w:val="16"/>
          <w:szCs w:val="16"/>
          <w:color w:val="auto"/>
        </w:rPr>
        <w:t>The Notes are a new issue of securities with no established trading market. We do not currently intend to apply for listing of the Notes on any securities exchange or have the Notes quoted on any automated quotation system. See “Risk Factors—Risks Related to the Notes—Your ability to transfer the Notes may be limited by the absence of an organized trading market.”</w:t>
      </w:r>
    </w:p>
    <w:p>
      <w:pPr>
        <w:spacing w:after="0" w:line="144"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State of New York.</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Trustee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S-5 of this prospectus supplement.</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260"/>
          </w:cols>
          <w:pgMar w:left="240" w:top="455" w:right="3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2014 (File No. 001-14569), which is incorporated by reference herein, together with all of the other information included in or incorporated by reference into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6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June 30, 2015, on an as adjusted basis as described under “Capitalization,” the Notes would not have been subordinated to any short-term secured indebtedness and would not have been structurally subordinated to any of our subsidiaries’ indebtedness.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17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leverage is significant in relation to our partners’ capital. As of June 30, 2015, on an as adjusted basis as described under “Capitalization,” our total outstanding long-term debt was approximately $9.8 billion, and our total outstanding short-term debt was approximately $403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43"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industry conditions by limiting our flexibility in planning for, or reacting to, changes in our business and the industry in which we operate and may place us at a competitive disadvantage as compared to our competitors that have less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organized trading market.</w:t>
      </w:r>
    </w:p>
    <w:p>
      <w:pPr>
        <w:spacing w:after="0" w:line="17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3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1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7" w:lineRule="exact"/>
        <w:rPr>
          <w:sz w:val="20"/>
          <w:szCs w:val="20"/>
          <w:color w:val="auto"/>
        </w:rPr>
      </w:pPr>
    </w:p>
    <w:p>
      <w:pPr>
        <w:ind w:left="900" w:right="1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unitholders and the general partner for any one or more of the next four calendar quarters; or</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of our loan or other agreements.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will be approximately $990.5 million after deducting the underwriting discount and our estimated offering expenses. We expect to use the net proceeds from this offering to repay outstanding borrowings under our commercial paper program and for general partnership purposes. Amounts repaid under our commercial paper program may be reborrowed, as necessary, to fund our ongoing expansion capital program or future acquisitions and investments or for general partnership purposes.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affiliate of Citigroup Global Markets Inc. is a dealer under our commercial paper program and may hold commercial paper notes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it may receive a portion of the net proceeds from this offering. Please read “Underwriting” in this prospectus supplement for further information.</w:t>
      </w:r>
    </w:p>
    <w:p>
      <w:pPr>
        <w:spacing w:after="0" w:line="182"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As of August 14, 2015, we had approximately $1.7 billion of borrowings outstanding under our commercial paper program with a weighted average interest rate of approximately 0.46%. The outstanding borrowings under our commercial paper program have maturity dates of two weeks or less. Our commercial paper program is backstopped by our senior secured hedged inventory facility and our senior unsecured revolving credit facility.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6"/>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6680" w:type="dxa"/>
            <w:vAlign w:val="bottom"/>
          </w:tcPr>
          <w:p>
            <w:pPr>
              <w:spacing w:after="0"/>
              <w:rPr>
                <w:sz w:val="6"/>
                <w:szCs w:val="6"/>
                <w:color w:val="auto"/>
              </w:rPr>
            </w:pPr>
          </w:p>
        </w:tc>
        <w:tc>
          <w:tcPr>
            <w:tcW w:w="11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4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gridSpan w:val="6"/>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6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66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June 30, 2015</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4"/>
                <w:szCs w:val="14"/>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2.67x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4.03x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2015:</w:t>
      </w:r>
    </w:p>
    <w:p>
      <w:pPr>
        <w:spacing w:after="0" w:line="212"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211" w:lineRule="exact"/>
        <w:rPr>
          <w:rFonts w:ascii="Times New Roman" w:cs="Times New Roman" w:eastAsia="Times New Roman" w:hAnsi="Times New Roman"/>
          <w:sz w:val="18"/>
          <w:szCs w:val="18"/>
          <w:color w:val="auto"/>
        </w:rPr>
      </w:pPr>
    </w:p>
    <w:p>
      <w:pPr>
        <w:ind w:left="900" w:right="38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This table should also be read in conjunction with our financial statements and the notes thereto that are incorporated by reference into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As of June 30,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Historical</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5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PAA senior secured hedged inventory facility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PAA senior unsecured revolving credit facility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PAA commercial paper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3.95% senior notes due September 2015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short-term debt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Senior notes, net of unamortized discounts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Notes offered hereby, net of unamortized discount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PAA commercial paper notes (1)(2)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Common unitholders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partners’ capital excluding noncontrolling interests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partners’ capital</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17,842</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293"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PAA commercial paper notes are backstopped by the PAA senior unsecured revolving credit facility and the PAA senior secured hedged inventory facility, which mature in August 2020 and August 2018, respectively; as such, any borrowings under the PAA commercial paper program effectively reduce the available capacity under these facilities. At June 30, 2015, we classified $512 million of the borrowings under the commercial paper program as short-term, because these borrowings were primarily designated as working capital borrowings, were required to be repaid within one year and were primarily for hedged NGL and crude oil inventory and NYMEX and ICE margin deposits. At June 30, 2015, we classified $373 million of the borrowings under the commercial paper program as long-term, because we had the ability and intent to refinance these commercial paper notes on a long-term basis.</w:t>
      </w:r>
    </w:p>
    <w:p>
      <w:pPr>
        <w:spacing w:after="0" w:line="151" w:lineRule="exact"/>
        <w:rPr>
          <w:rFonts w:ascii="Times New Roman" w:cs="Times New Roman" w:eastAsia="Times New Roman" w:hAnsi="Times New Roman"/>
          <w:sz w:val="16"/>
          <w:szCs w:val="16"/>
          <w:color w:val="auto"/>
        </w:rPr>
      </w:pPr>
    </w:p>
    <w:p>
      <w:pPr>
        <w:ind w:left="460" w:right="220" w:hanging="452"/>
        <w:spacing w:after="0" w:line="310"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historical and as adjusted basis as of June 30, 2015, our Canadian subsidiary, Plains Midstream Canada ULC, had no outstanding commercial paper notes. As of August 14, 2015, we had approximately $1.7 billion of borrowings outstanding under our commercial paper program. We did not have any borrowings outstanding under our senior secured hedged inventory facility or our senior unsecured revolving credit facility as of August 14, 2015.</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7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August 24, 2015 (the Base Indenture, as supplemented by such supplemental indenture, the “Indenture”). The Notes will constitute a new series of debt securities under the Indenture, and multiple other series are now outstanding under the Base Indenture, each issued under a separate supplemental indenture.</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3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the Notes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212"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unsecured indebtedness ranking equally in right of payment with all of our existing and future unsubordinated indebtedness;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debt securities issued under the Indenture;</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to our general partner;</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future subordinated indebtedness;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any of our existing and future secured indebtedness, to the extent of the security for that debt; and</w:t>
      </w:r>
    </w:p>
    <w:p>
      <w:pPr>
        <w:spacing w:after="0" w:line="211"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existing and future indebtedness and other obligations of our subsidiaries, including trade payables, other than subsidiaries that may guarantee the Notes in the future.</w:t>
      </w:r>
    </w:p>
    <w:p>
      <w:pPr>
        <w:spacing w:after="0" w:line="12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June 30, 2015, on an as adjusted basis as described under “Capitalization,” the Notes would not have been subordinated to any short-term secured indebtedness and would not have been structurally subordinated to any of our subsidiaries’ outstanding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will issue the Notes in an initial aggregate principal amount of $1.0 billion. The Notes will mature on October 15, 2025. The Notes will bear interest at an annual rate of 4.65%. Interest on the Notes will accrue from August 24, 2015 and will be payable semi-annually in arrears on April 15 and October 15 of each year, beginning April 15, 2016. We will make each interest payment to the holders of record at the close of business on the April 1 and October 1 preceding such interest payment dates. Interest will be computed on the basis of a 360-day year consisting of twelve 30-day months. We will issue the Notes in minimum denominations of $2,000 and integral multiples of $1,000 in excess thereof.</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of General Partner</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3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Provided that no default shall have occurred and shall be continuing under the Indenture, a future subsidiary guarantor will be unconditionally released and discharged from its guarantee:</w:t>
      </w:r>
    </w:p>
    <w:p>
      <w:pPr>
        <w:spacing w:after="0" w:line="160" w:lineRule="exact"/>
        <w:rPr>
          <w:sz w:val="20"/>
          <w:szCs w:val="20"/>
          <w:color w:val="auto"/>
        </w:rPr>
      </w:pPr>
    </w:p>
    <w:p>
      <w:pPr>
        <w:ind w:left="900" w:right="24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60" w:lineRule="exact"/>
        <w:rPr>
          <w:rFonts w:ascii="Times New Roman" w:cs="Times New Roman" w:eastAsia="Times New Roman" w:hAnsi="Times New Roman"/>
          <w:sz w:val="18"/>
          <w:szCs w:val="18"/>
          <w:color w:val="auto"/>
        </w:rPr>
      </w:pPr>
    </w:p>
    <w:p>
      <w:pPr>
        <w:ind w:left="5560" w:right="120" w:hanging="4985"/>
        <w:spacing w:after="0" w:line="447" w:lineRule="auto"/>
        <w:tabs>
          <w:tab w:leader="none" w:pos="9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our direct or indirect equity interests in that subsidiary guarantor to any person that is not our affiliate; or S-11</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8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7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Notes will be redeemable, in whole or in part, at our option at any time and from time to time prior to maturity. If we redeem the Notes before the Par Call Date, the Notes may be redeemed at a redemption price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 defined herein) plus 37.5 basis points, together with accrued and unpaid interest to the date of redemption.</w:t>
      </w:r>
    </w:p>
    <w:p>
      <w:pPr>
        <w:spacing w:after="0" w:line="13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If we redeem the Notes on or after the Par Call Date, the redemption price will equal 100% of the principal amount of the Notes to be redeemed plus accrued and unpaid interest to the redemption date.</w:t>
      </w:r>
    </w:p>
    <w:p>
      <w:pPr>
        <w:spacing w:after="0" w:line="118"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27"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33"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July 15, 2025 (three months prior to the maturity date).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a Primary Treasury Dealer (as defined below) appointed by us.</w:t>
      </w:r>
    </w:p>
    <w:p>
      <w:pPr>
        <w:spacing w:after="0" w:line="171" w:lineRule="exact"/>
        <w:rPr>
          <w:sz w:val="20"/>
          <w:szCs w:val="20"/>
          <w:color w:val="auto"/>
        </w:rPr>
      </w:pPr>
    </w:p>
    <w:p>
      <w:pPr>
        <w:ind w:right="48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Citigroup Global Markets Inc., Mizuho Securities USA Inc., a primary U.S. Government securities dealer in the United States (a “Primary Treasury Dealer”) selected by Mitsubishi UFJ Securities (USA), Inc., and UBS Securities LLC, or their respective successors; provided, however, if any of the foregoing ceases to be a Primary Treasury Dealer, we shall substitute another Primary Treasury Dealer.</w:t>
      </w:r>
    </w:p>
    <w:p>
      <w:pPr>
        <w:spacing w:after="0" w:line="127" w:lineRule="exact"/>
        <w:rPr>
          <w:sz w:val="20"/>
          <w:szCs w:val="20"/>
          <w:color w:val="auto"/>
        </w:rPr>
      </w:pPr>
    </w:p>
    <w:p>
      <w:pPr>
        <w:jc w:val="both"/>
        <w:ind w:right="20" w:firstLine="456"/>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Reference Treasury Dealer Quotations</w:t>
      </w:r>
      <w:r>
        <w:rPr>
          <w:rFonts w:ascii="Times New Roman" w:cs="Times New Roman" w:eastAsia="Times New Roman" w:hAnsi="Times New Roman"/>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9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date of redemption, interest will cease to accrue on the Notes or portions thereof called for redemption.</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On or before a redemption date, we will deposit with a paying agent (or with the trustee) sufficient money to pay the redemption price and accrued interest on the Notes to be redeemed.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If less than all of the Notes are to be redeemed at any time, the trustee will select Notes (or any portion of Notes in integral multiples of $1,000) for redemption as follows:</w:t>
      </w:r>
    </w:p>
    <w:p>
      <w:pPr>
        <w:spacing w:after="0" w:line="160"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in compliance with the requirements of the principal national securities exchange on which such Notes are listed; or</w:t>
      </w:r>
    </w:p>
    <w:p>
      <w:pPr>
        <w:spacing w:after="0" w:line="211"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or there are no such requirements, on a pro rata basis, by lot or by such method as the trustee shall deem fair and appropriate.</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12"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any premium on any Note at maturity, upon redemption or otherwise;</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60 days in the payment when due of interest on any Note;</w:t>
      </w:r>
    </w:p>
    <w:p>
      <w:pPr>
        <w:spacing w:after="0" w:line="211" w:lineRule="exact"/>
        <w:rPr>
          <w:rFonts w:ascii="Times New Roman" w:cs="Times New Roman" w:eastAsia="Times New Roman" w:hAnsi="Times New Roman"/>
          <w:sz w:val="18"/>
          <w:szCs w:val="18"/>
          <w:color w:val="auto"/>
        </w:rPr>
      </w:pPr>
    </w:p>
    <w:p>
      <w:pPr>
        <w:ind w:left="900" w:hanging="325"/>
        <w:spacing w:after="0" w:line="310"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37" w:lineRule="exact"/>
        <w:rPr>
          <w:rFonts w:ascii="Times New Roman" w:cs="Times New Roman" w:eastAsia="Times New Roman" w:hAnsi="Times New Roman"/>
          <w:sz w:val="16"/>
          <w:szCs w:val="16"/>
          <w:color w:val="auto"/>
        </w:rPr>
      </w:pPr>
    </w:p>
    <w:p>
      <w:pPr>
        <w:ind w:left="900" w:hanging="325"/>
        <w:spacing w:after="0" w:line="288"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55" w:lineRule="exact"/>
        <w:rPr>
          <w:rFonts w:ascii="Times New Roman" w:cs="Times New Roman" w:eastAsia="Times New Roman" w:hAnsi="Times New Roman"/>
          <w:sz w:val="16"/>
          <w:szCs w:val="16"/>
          <w:color w:val="auto"/>
        </w:rPr>
      </w:pPr>
    </w:p>
    <w:p>
      <w:pPr>
        <w:ind w:left="900" w:right="18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 bankruptcy, insolvency or reorganization of us or, if and so long as the Notes are guaranteed by a subsidiary guarantor, by such subsidiary guarantor; or</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are guaranteed by a subsidiary guarantor:</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1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1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3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7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173"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in the case of a merger, or the surviving Person:</w:t>
      </w:r>
    </w:p>
    <w:p>
      <w:pPr>
        <w:spacing w:after="0" w:line="211" w:lineRule="exact"/>
        <w:rPr>
          <w:rFonts w:ascii="Times New Roman" w:cs="Times New Roman" w:eastAsia="Times New Roman" w:hAnsi="Times New Roman"/>
          <w:sz w:val="18"/>
          <w:szCs w:val="18"/>
          <w:color w:val="auto"/>
        </w:rPr>
      </w:pPr>
    </w:p>
    <w:p>
      <w:pPr>
        <w:ind w:left="1480" w:right="20" w:hanging="446"/>
        <w:spacing w:after="0" w:line="262" w:lineRule="auto"/>
        <w:tabs>
          <w:tab w:leader="none" w:pos="1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72" w:lineRule="exact"/>
        <w:rPr>
          <w:rFonts w:ascii="Times New Roman" w:cs="Times New Roman" w:eastAsia="Times New Roman" w:hAnsi="Times New Roman"/>
          <w:sz w:val="18"/>
          <w:szCs w:val="18"/>
          <w:color w:val="auto"/>
        </w:rPr>
      </w:pPr>
    </w:p>
    <w:p>
      <w:pPr>
        <w:jc w:val="both"/>
        <w:ind w:left="1480" w:right="160" w:hanging="446"/>
        <w:spacing w:after="0" w:line="262" w:lineRule="auto"/>
        <w:tabs>
          <w:tab w:leader="none" w:pos="1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17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211" w:lineRule="exact"/>
        <w:rPr>
          <w:rFonts w:ascii="Times New Roman" w:cs="Times New Roman" w:eastAsia="Times New Roman" w:hAnsi="Times New Roman"/>
          <w:sz w:val="18"/>
          <w:szCs w:val="18"/>
          <w:color w:val="auto"/>
        </w:rPr>
      </w:pPr>
    </w:p>
    <w:p>
      <w:pPr>
        <w:ind w:left="900" w:right="40" w:hanging="325"/>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00" w:hanging="325"/>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173"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other provisions with respect to the redemption of any Notes;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211"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17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security that may have been granted with respect to the Notes;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currency other than that stated in the Notes;</w:t>
      </w:r>
    </w:p>
    <w:p>
      <w:pPr>
        <w:spacing w:after="0" w:line="211" w:lineRule="exact"/>
        <w:rPr>
          <w:rFonts w:ascii="Times New Roman" w:cs="Times New Roman" w:eastAsia="Times New Roman" w:hAnsi="Times New Roman"/>
          <w:sz w:val="18"/>
          <w:szCs w:val="18"/>
          <w:color w:val="auto"/>
        </w:rPr>
      </w:pPr>
    </w:p>
    <w:p>
      <w:pPr>
        <w:ind w:left="900" w:right="50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w:t>
      </w:r>
    </w:p>
    <w:p>
      <w:pPr>
        <w:spacing w:after="0" w:line="211"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171"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Notwithstanding the preceding paragraph, without the consent of any holder of Notes, we, any subsidiary guarantors and the trustee may amend or supplement the Indenture or the Notes:</w:t>
      </w:r>
    </w:p>
    <w:p>
      <w:pPr>
        <w:spacing w:after="0" w:line="16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11"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subsidiary guarantors as permitted pursuant to the terms of the Indenture (see “— Possible Future Guarantees”);</w:t>
      </w:r>
    </w:p>
    <w:p>
      <w:pPr>
        <w:spacing w:after="0" w:line="211"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and/or any guarantees; or</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under the Base Indenture.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77"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11"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2" w:lineRule="exact"/>
        <w:rPr>
          <w:rFonts w:ascii="Times New Roman" w:cs="Times New Roman" w:eastAsia="Times New Roman" w:hAnsi="Times New Roman"/>
          <w:sz w:val="18"/>
          <w:szCs w:val="18"/>
          <w:color w:val="auto"/>
        </w:rPr>
      </w:pPr>
    </w:p>
    <w:p>
      <w:pPr>
        <w:ind w:left="900" w:right="180" w:hanging="325"/>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2" w:lineRule="exact"/>
        <w:rPr>
          <w:rFonts w:ascii="Times New Roman" w:cs="Times New Roman" w:eastAsia="Times New Roman" w:hAnsi="Times New Roman"/>
          <w:sz w:val="18"/>
          <w:szCs w:val="18"/>
          <w:color w:val="auto"/>
        </w:rPr>
      </w:pPr>
    </w:p>
    <w:p>
      <w:pPr>
        <w:ind w:left="900" w:right="20" w:hanging="325"/>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172"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72"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60" w:hanging="325"/>
        <w:spacing w:after="0" w:line="26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172" w:lineRule="exact"/>
        <w:rPr>
          <w:rFonts w:ascii="Times New Roman" w:cs="Times New Roman" w:eastAsia="Times New Roman" w:hAnsi="Times New Roman"/>
          <w:sz w:val="18"/>
          <w:szCs w:val="18"/>
          <w:color w:val="auto"/>
        </w:rPr>
      </w:pPr>
    </w:p>
    <w:p>
      <w:pPr>
        <w:ind w:left="900" w:right="20" w:hanging="325"/>
        <w:spacing w:after="0" w:line="25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179"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our debt or debt of any Restricted Subsidiary.</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and will not permit any Subsidiary to, engage in a Sale-leaseback Transaction, unless:</w:t>
      </w:r>
    </w:p>
    <w:p>
      <w:pPr>
        <w:spacing w:after="0" w:line="212" w:lineRule="exact"/>
        <w:rPr>
          <w:sz w:val="20"/>
          <w:szCs w:val="20"/>
          <w:color w:val="auto"/>
        </w:rPr>
      </w:pPr>
    </w:p>
    <w:p>
      <w:pPr>
        <w:ind w:left="900" w:right="2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7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211"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60"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3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73"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20"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1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60"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Notes to the trustee for cancellation; or</w:t>
      </w:r>
    </w:p>
    <w:p>
      <w:pPr>
        <w:spacing w:after="0" w:line="211"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comply with the other requirements of the Indenture in relation to satisfaction and discharge.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38"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27" w:lineRule="exact"/>
        <w:rPr>
          <w:sz w:val="20"/>
          <w:szCs w:val="20"/>
          <w:color w:val="auto"/>
        </w:rPr>
      </w:pPr>
    </w:p>
    <w:p>
      <w:pPr>
        <w:jc w:val="both"/>
        <w:ind w:right="10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after deducting therefrom:</w:t>
      </w:r>
    </w:p>
    <w:p>
      <w:pPr>
        <w:spacing w:after="0" w:line="173" w:lineRule="exact"/>
        <w:rPr>
          <w:sz w:val="20"/>
          <w:szCs w:val="20"/>
          <w:color w:val="auto"/>
        </w:rPr>
      </w:pPr>
    </w:p>
    <w:p>
      <w:pPr>
        <w:ind w:left="1160" w:hanging="257"/>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w:t>
      </w:r>
    </w:p>
    <w:p>
      <w:pPr>
        <w:spacing w:after="0" w:line="171" w:lineRule="exact"/>
        <w:rPr>
          <w:rFonts w:ascii="Times New Roman" w:cs="Times New Roman" w:eastAsia="Times New Roman" w:hAnsi="Times New Roman"/>
          <w:sz w:val="18"/>
          <w:szCs w:val="18"/>
          <w:color w:val="auto"/>
        </w:rPr>
      </w:pPr>
    </w:p>
    <w:p>
      <w:pPr>
        <w:ind w:left="920" w:right="320" w:firstLine="421"/>
        <w:spacing w:after="0" w:line="275" w:lineRule="auto"/>
        <w:tabs>
          <w:tab w:leader="none" w:pos="157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19"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long-term debt; and</w:t>
      </w:r>
    </w:p>
    <w:p>
      <w:pPr>
        <w:spacing w:after="0" w:line="17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net of any applicable reserves, of all goodwill, trade names, trademarks, patents and other like intangible assets,</w:t>
      </w:r>
    </w:p>
    <w:p>
      <w:pPr>
        <w:spacing w:after="0" w:line="17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17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Managing General Partner</w:t>
      </w:r>
      <w:r>
        <w:rPr>
          <w:rFonts w:ascii="Times New Roman" w:cs="Times New Roman" w:eastAsia="Times New Roman" w:hAnsi="Times New Roman"/>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33"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Debt</w:t>
      </w:r>
      <w:r>
        <w:rPr>
          <w:rFonts w:ascii="Times New Roman" w:cs="Times New Roman" w:eastAsia="Times New Roman" w:hAnsi="Times New Roman"/>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73" w:lineRule="exact"/>
        <w:rPr>
          <w:sz w:val="20"/>
          <w:szCs w:val="20"/>
          <w:color w:val="auto"/>
        </w:rPr>
      </w:pPr>
    </w:p>
    <w:p>
      <w:pPr>
        <w:ind w:left="1160" w:hanging="257"/>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17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32"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19" w:lineRule="exact"/>
        <w:rPr>
          <w:rFonts w:ascii="Times New Roman" w:cs="Times New Roman" w:eastAsia="Times New Roman" w:hAnsi="Times New Roman"/>
          <w:sz w:val="18"/>
          <w:szCs w:val="18"/>
          <w:color w:val="auto"/>
        </w:rPr>
      </w:pPr>
    </w:p>
    <w:p>
      <w:pPr>
        <w:ind w:left="460" w:right="60" w:firstLine="443"/>
        <w:spacing w:after="0" w:line="275"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19"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171"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119" w:lineRule="exact"/>
        <w:rPr>
          <w:rFonts w:ascii="Times New Roman" w:cs="Times New Roman" w:eastAsia="Times New Roman" w:hAnsi="Times New Roman"/>
          <w:sz w:val="18"/>
          <w:szCs w:val="18"/>
          <w:color w:val="auto"/>
        </w:rPr>
      </w:pPr>
    </w:p>
    <w:p>
      <w:pPr>
        <w:ind w:left="460" w:right="540" w:firstLine="443"/>
        <w:spacing w:after="0" w:line="275"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us or any Restricted Subsidiary resulting from the exercise of any rights arising out of defaults on receivables;</w:t>
      </w:r>
    </w:p>
    <w:p>
      <w:pPr>
        <w:spacing w:after="0" w:line="119"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19"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Restricted Subsidiary;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firstLine="443"/>
        <w:spacing w:after="0" w:line="258"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36"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171" w:lineRule="exact"/>
        <w:rPr>
          <w:rFonts w:ascii="Times New Roman" w:cs="Times New Roman" w:eastAsia="Times New Roman" w:hAnsi="Times New Roman"/>
          <w:sz w:val="18"/>
          <w:szCs w:val="18"/>
          <w:color w:val="auto"/>
        </w:rPr>
      </w:pPr>
    </w:p>
    <w:p>
      <w:pPr>
        <w:ind w:left="460" w:firstLine="443"/>
        <w:spacing w:after="0" w:line="255"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139" w:lineRule="exact"/>
        <w:rPr>
          <w:rFonts w:ascii="Times New Roman" w:cs="Times New Roman" w:eastAsia="Times New Roman" w:hAnsi="Times New Roman"/>
          <w:sz w:val="18"/>
          <w:szCs w:val="18"/>
          <w:color w:val="auto"/>
        </w:rPr>
      </w:pPr>
    </w:p>
    <w:p>
      <w:pPr>
        <w:ind w:left="460" w:right="460" w:firstLine="443"/>
        <w:spacing w:after="0" w:line="275"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19"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171" w:lineRule="exact"/>
        <w:rPr>
          <w:rFonts w:ascii="Times New Roman" w:cs="Times New Roman" w:eastAsia="Times New Roman" w:hAnsi="Times New Roman"/>
          <w:sz w:val="18"/>
          <w:szCs w:val="18"/>
          <w:color w:val="auto"/>
        </w:rPr>
      </w:pPr>
    </w:p>
    <w:p>
      <w:pPr>
        <w:ind w:left="460" w:right="20" w:firstLine="443"/>
        <w:spacing w:after="0" w:line="258"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36" w:lineRule="exact"/>
        <w:rPr>
          <w:rFonts w:ascii="Times New Roman" w:cs="Times New Roman" w:eastAsia="Times New Roman" w:hAnsi="Times New Roman"/>
          <w:sz w:val="18"/>
          <w:szCs w:val="18"/>
          <w:color w:val="auto"/>
        </w:rPr>
      </w:pPr>
    </w:p>
    <w:p>
      <w:pPr>
        <w:ind w:left="460" w:right="160" w:firstLine="443"/>
        <w:spacing w:after="0" w:line="258"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36" w:lineRule="exact"/>
        <w:rPr>
          <w:rFonts w:ascii="Times New Roman" w:cs="Times New Roman" w:eastAsia="Times New Roman" w:hAnsi="Times New Roman"/>
          <w:sz w:val="18"/>
          <w:szCs w:val="18"/>
          <w:color w:val="auto"/>
        </w:rPr>
      </w:pPr>
    </w:p>
    <w:p>
      <w:pPr>
        <w:jc w:val="both"/>
        <w:ind w:left="460" w:right="340" w:firstLine="443"/>
        <w:spacing w:after="0" w:line="301" w:lineRule="auto"/>
        <w:tabs>
          <w:tab w:leader="none" w:pos="123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03" w:lineRule="exact"/>
        <w:rPr>
          <w:rFonts w:ascii="Times New Roman" w:cs="Times New Roman" w:eastAsia="Times New Roman" w:hAnsi="Times New Roman"/>
          <w:sz w:val="16"/>
          <w:szCs w:val="16"/>
          <w:color w:val="auto"/>
        </w:rPr>
      </w:pPr>
    </w:p>
    <w:p>
      <w:pPr>
        <w:ind w:left="460" w:right="160" w:firstLine="443"/>
        <w:spacing w:after="0" w:line="275"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to any municipality or public authority with respect to any lease, easement, right-of-way, license, franchise, privilege, permit or grant.</w:t>
      </w:r>
    </w:p>
    <w:p>
      <w:pPr>
        <w:spacing w:after="0" w:line="118"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Issue Date or thereafter acquired:</w:t>
      </w:r>
    </w:p>
    <w:p>
      <w:pPr>
        <w:spacing w:after="0" w:line="173" w:lineRule="exact"/>
        <w:rPr>
          <w:sz w:val="20"/>
          <w:szCs w:val="20"/>
          <w:color w:val="auto"/>
        </w:rPr>
      </w:pPr>
    </w:p>
    <w:p>
      <w:pPr>
        <w:ind w:left="460" w:firstLine="443"/>
        <w:spacing w:after="0" w:line="262" w:lineRule="auto"/>
        <w:tabs>
          <w:tab w:leader="none" w:pos="11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32" w:lineRule="exact"/>
        <w:rPr>
          <w:rFonts w:ascii="Times New Roman" w:cs="Times New Roman" w:eastAsia="Times New Roman" w:hAnsi="Times New Roman"/>
          <w:sz w:val="18"/>
          <w:szCs w:val="18"/>
          <w:color w:val="auto"/>
        </w:rPr>
      </w:pPr>
    </w:p>
    <w:p>
      <w:pPr>
        <w:ind w:left="460" w:right="220" w:firstLine="443"/>
        <w:spacing w:after="0" w:line="256" w:lineRule="auto"/>
        <w:tabs>
          <w:tab w:leader="none" w:pos="11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37"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Plains All American Pipeline owning or leasing, directly or indirectly through ownership in another Subsidiary, any Principal Property.</w:t>
      </w:r>
    </w:p>
    <w:p>
      <w:pPr>
        <w:spacing w:after="0" w:line="116"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73" w:lineRule="exact"/>
        <w:rPr>
          <w:sz w:val="20"/>
          <w:szCs w:val="20"/>
          <w:color w:val="auto"/>
        </w:rPr>
      </w:pPr>
    </w:p>
    <w:p>
      <w:pPr>
        <w:ind w:left="460" w:right="60" w:firstLine="443"/>
        <w:spacing w:after="0" w:line="262" w:lineRule="auto"/>
        <w:tabs>
          <w:tab w:leader="none" w:pos="11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32" w:lineRule="exact"/>
        <w:rPr>
          <w:rFonts w:ascii="Times New Roman" w:cs="Times New Roman" w:eastAsia="Times New Roman" w:hAnsi="Times New Roman"/>
          <w:sz w:val="18"/>
          <w:szCs w:val="18"/>
          <w:color w:val="auto"/>
        </w:rPr>
      </w:pPr>
    </w:p>
    <w:p>
      <w:pPr>
        <w:ind w:left="460" w:right="60" w:firstLine="443"/>
        <w:spacing w:after="0" w:line="275" w:lineRule="auto"/>
        <w:tabs>
          <w:tab w:leader="none" w:pos="11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340"/>
          </w:cols>
          <w:pgMar w:left="240" w:top="455" w:right="3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4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73"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47"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39"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37"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18"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3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37" w:lineRule="exact"/>
        <w:rPr>
          <w:sz w:val="20"/>
          <w:szCs w:val="20"/>
          <w:color w:val="auto"/>
        </w:rPr>
      </w:pPr>
    </w:p>
    <w:p>
      <w:pPr>
        <w:jc w:val="both"/>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29" w:lineRule="exact"/>
        <w:rPr>
          <w:sz w:val="20"/>
          <w:szCs w:val="20"/>
          <w:color w:val="auto"/>
        </w:rPr>
      </w:pPr>
    </w:p>
    <w:p>
      <w:pPr>
        <w:jc w:val="both"/>
        <w:ind w:right="180" w:firstLine="456"/>
        <w:spacing w:after="0" w:line="275" w:lineRule="auto"/>
        <w:rPr>
          <w:sz w:val="20"/>
          <w:szCs w:val="20"/>
          <w:color w:val="auto"/>
        </w:rPr>
      </w:pPr>
      <w:r>
        <w:rPr>
          <w:rFonts w:ascii="Times New Roman" w:cs="Times New Roman" w:eastAsia="Times New Roman" w:hAnsi="Times New Roman"/>
          <w:sz w:val="18"/>
          <w:szCs w:val="18"/>
          <w:color w:val="auto"/>
        </w:rPr>
        <w:t>Cross-market transfers between the accountholders in DTC, on the one hand, and directly or indirectly through Euroclear or Clearstream accountholders, on the other hand, will be effected through DTC in accordance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3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39"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0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Book Entry Notes for Certificated Notes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340"/>
          </w:cols>
          <w:pgMar w:left="240" w:top="455" w:right="3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38" w:lineRule="exact"/>
        <w:rPr>
          <w:sz w:val="20"/>
          <w:szCs w:val="20"/>
          <w:color w:val="auto"/>
        </w:rPr>
      </w:pPr>
    </w:p>
    <w:p>
      <w:pPr>
        <w:ind w:right="860" w:firstLine="456"/>
        <w:spacing w:after="0" w:line="275" w:lineRule="auto"/>
        <w:rPr>
          <w:sz w:val="20"/>
          <w:szCs w:val="20"/>
          <w:color w:val="auto"/>
        </w:rPr>
      </w:pPr>
      <w:r>
        <w:rPr>
          <w:rFonts w:ascii="Times New Roman" w:cs="Times New Roman" w:eastAsia="Times New Roman" w:hAnsi="Times New Roman"/>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160"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subject to the alternative minimum tax;</w:t>
      </w:r>
    </w:p>
    <w:p>
      <w:pPr>
        <w:spacing w:after="0" w:line="211" w:lineRule="exact"/>
        <w:rPr>
          <w:rFonts w:ascii="Times New Roman" w:cs="Times New Roman" w:eastAsia="Times New Roman" w:hAnsi="Times New Roman"/>
          <w:sz w:val="18"/>
          <w:szCs w:val="18"/>
          <w:color w:val="auto"/>
        </w:rPr>
      </w:pPr>
    </w:p>
    <w:p>
      <w:pPr>
        <w:ind w:left="900" w:right="70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straddle transaction, hedging transaction, conversion transaction or other synthetic security” or integrated transaction;</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constructive sale provisions of the Code; and</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and holders of interests therein.</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addition, the discussion does not consider the effect of U.S. federal estate tax laws or gift tax laws or of any applicable foreign, state, local or other tax laws or income tax treaties.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3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PROSPECTIVE INVESTORS ARE ENCOURAGED TO CONSULT THEIR OWN TAX ADVISORS WITH REGARD TO THE APPLICATION OF THE TAX CONSEQUENCES DISCUSSED BELOW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THEIR PARTICULAR SITUATIONS, AS WELL AS THE APPLICATION OF U.S. FEDERAL ESTATE OR GIFT TAX LAWS OR OF ANY STATE, LOCAL, FOREIGN OR OTHER TAX LAWS OR INCOME TAX TREATIES.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73"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a Note that is:</w:t>
      </w:r>
    </w:p>
    <w:p>
      <w:pPr>
        <w:spacing w:after="0" w:line="212"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alien of the United States;</w:t>
      </w:r>
    </w:p>
    <w:p>
      <w:pPr>
        <w:spacing w:after="0" w:line="211"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political subdivision thereof;</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11"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7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17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3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a “Non-U.S. Holder” means a beneficial owner of a Note that is an individual, corporation, estate or trust that is not a U.S. Holder.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7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173"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our capital or profits interests;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for U.S. federal income tax purposes that is actually or constructively related to us;</w:t>
      </w:r>
    </w:p>
    <w:p>
      <w:pPr>
        <w:spacing w:after="0" w:line="211"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bank whose receipt of interest on the Note is in connection with an extension of credit made pursuant to a loan agreement entered into in the ordinary course of business; and</w:t>
      </w:r>
    </w:p>
    <w:p>
      <w:pPr>
        <w:spacing w:after="0" w:line="1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certifies as to his foreign status as described below.</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3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39"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applicable successor form) claiming an exemption from or reduction of the rate of withholding under the benefit of an income tax treaty, or that the interest paid on the Note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17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160" w:lineRule="exact"/>
        <w:rPr>
          <w:sz w:val="20"/>
          <w:szCs w:val="20"/>
          <w:color w:val="auto"/>
        </w:rPr>
      </w:pPr>
    </w:p>
    <w:p>
      <w:pPr>
        <w:ind w:left="90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16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2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17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interest or gain on a Note is effectively connected with the conduct of such trade or business (and, if required by an applicable income tax treaty, such interest or gain is attributable to a permanent establishment such Non-U.S. Holder maintains in the United States), then the interest income or gain from the Note will generally be subject to U.S. federal income tax at regular graduated rates in the same manner as if that Non-U.S. Holder were a U.S. Holder. Effectively connected interest income will not be subject to U.S. federal withholding tax if the Non-U.S. Holder satisfies certain certification requirements by providing to the applicable withholding agent a properly executed IRS Form W-8ECI (or successor form). In addition, if the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 provided that the applicable withholding agent does not have actual knowledge or reason to know that the holder is a United States person.</w:t>
      </w:r>
    </w:p>
    <w:p>
      <w:pPr>
        <w:spacing w:after="0" w:line="13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Payment of the proceeds from a disposition of a Note effected by the U.S. office of a U.S. or foreign broker will be subject to information reporting requirements and backup withholding unless the Non-U.S. Holder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179"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person;</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that derives 50% or more of its gross income for certain periods from the conduct of a trade or business in the United States;</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 or</w:t>
      </w:r>
    </w:p>
    <w:p>
      <w:pPr>
        <w:spacing w:after="0" w:line="211"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173" w:lineRule="exact"/>
        <w:rPr>
          <w:sz w:val="20"/>
          <w:szCs w:val="20"/>
          <w:color w:val="auto"/>
        </w:rPr>
      </w:pPr>
    </w:p>
    <w:p>
      <w:pPr>
        <w:jc w:val="both"/>
        <w:ind w:right="40" w:firstLine="456"/>
        <w:spacing w:after="0" w:line="287" w:lineRule="auto"/>
        <w:rPr>
          <w:sz w:val="20"/>
          <w:szCs w:val="20"/>
          <w:color w:val="auto"/>
        </w:rPr>
      </w:pPr>
      <w:r>
        <w:rPr>
          <w:rFonts w:ascii="Times New Roman" w:cs="Times New Roman" w:eastAsia="Times New Roman" w:hAnsi="Times New Roman"/>
          <w:sz w:val="16"/>
          <w:szCs w:val="16"/>
          <w:color w:val="auto"/>
        </w:rPr>
        <w:t>Sections 1471 through 1474 of the Code and the U.S. Treasury regulations and administrative guidance issued thereunder (referred to as “FATCA”) impose a 30% U.S. federal withholding tax on payments of interest on the Notes and on the gross proceeds from the sale or other disposition of the Notes (if such sale or other disposition occurs after December 31, 2016), if paid to a “foreign financial institution” or a “non-financial foreign entity” (each as defined in the Code)</w:t>
      </w:r>
    </w:p>
    <w:p>
      <w:pPr>
        <w:spacing w:after="0" w:line="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implications of FATCA on an investment in the Notes.</w:t>
      </w:r>
    </w:p>
    <w:p>
      <w:pPr>
        <w:spacing w:after="0" w:line="171"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an underwriting agreement, dated the date of this prospectus supplement, between us and the underwriters named below, we have agreed to sell to each of the underwriters, for whom Citigroup Global Markets Inc., Mizuho Securities USA Inc., Mitsubishi UFJ Securities (USA), Inc. and UBS Securities LLC are acting as representatives, and the underwriters have agreed, severally and not jointly, to purchase the principal amount of the Notes set forth opposite their respective names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03"/>
        </w:trPr>
        <w:tc>
          <w:tcPr>
            <w:tcW w:w="7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2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UFJ Securities (USA), Inc.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DNB Markets, Inc.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BB&amp;T Capital Markets, a division of BB&amp;T Securities, LLC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9"/>
                <w:szCs w:val="19"/>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20" w:type="dxa"/>
            <w:vAlign w:val="bottom"/>
            <w:shd w:val="clear" w:color="auto" w:fill="CCEEFF"/>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Discounts</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0.40% of the principal amount of the Notes. The underwriters may allow a discount not in excess of 0.25% of the principal amount of the Notes, on sales to certain other brokers and dealers. After this initial public offering, the public offering price, concession and discount may be changed.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by us to the underwriters.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Underwriting</w:t>
            </w:r>
          </w:p>
        </w:tc>
        <w:tc>
          <w:tcPr>
            <w:tcW w:w="0" w:type="dxa"/>
            <w:vAlign w:val="bottom"/>
          </w:tcPr>
          <w:p>
            <w:pPr>
              <w:spacing w:after="0"/>
              <w:rPr>
                <w:sz w:val="1"/>
                <w:szCs w:val="1"/>
                <w:color w:val="auto"/>
              </w:rPr>
            </w:pPr>
          </w:p>
        </w:tc>
      </w:tr>
      <w:tr>
        <w:trPr>
          <w:trHeight w:val="165"/>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6,500,000</w:t>
            </w:r>
          </w:p>
        </w:tc>
        <w:tc>
          <w:tcPr>
            <w:tcW w:w="0" w:type="dxa"/>
            <w:vAlign w:val="bottom"/>
          </w:tcPr>
          <w:p>
            <w:pPr>
              <w:spacing w:after="0"/>
              <w:rPr>
                <w:sz w:val="1"/>
                <w:szCs w:val="1"/>
                <w:color w:val="auto"/>
              </w:rPr>
            </w:pPr>
          </w:p>
        </w:tc>
      </w:tr>
      <w:tr>
        <w:trPr>
          <w:trHeight w:val="20"/>
        </w:trPr>
        <w:tc>
          <w:tcPr>
            <w:tcW w:w="104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$1.5 million.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4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S-31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 and Short Positions</w:t>
      </w:r>
    </w:p>
    <w:p>
      <w:pPr>
        <w:spacing w:after="0" w:line="17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7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August 24, 2015,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7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173"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11" w:lineRule="exact"/>
        <w:rPr>
          <w:rFonts w:ascii="Times New Roman" w:cs="Times New Roman" w:eastAsia="Times New Roman" w:hAnsi="Times New Roman"/>
          <w:sz w:val="18"/>
          <w:szCs w:val="18"/>
          <w:color w:val="auto"/>
        </w:rPr>
      </w:pPr>
    </w:p>
    <w:p>
      <w:pPr>
        <w:jc w:val="both"/>
        <w:ind w:left="900" w:right="120" w:hanging="325"/>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17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securities shall require us or any underwriter to publish a prospectus pursuant to Article 3 of the Prospectus Directive.</w:t>
      </w:r>
    </w:p>
    <w:p>
      <w:pPr>
        <w:spacing w:after="0" w:line="17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9"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affiliate of Citigroup Global Markets Inc. is a dealer under our commercial paper program and may hold commercial paper notes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it may receive a portion of the net proceeds from this offering.</w:t>
      </w:r>
    </w:p>
    <w:p>
      <w:pPr>
        <w:spacing w:after="0" w:line="15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each of the underwriters are lenders under our credit facilities.</w:t>
      </w:r>
    </w:p>
    <w:p>
      <w:pPr>
        <w:spacing w:after="0" w:line="132"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73"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2014, have been incorporated in reliance on the report of PricewaterhouseCoopers LLP, an independent registered public accounting firm, given on the authority of said firm as experts in auditing and accounting.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180"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2014;</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2015 and June 30, 2015; and</w:t>
      </w:r>
    </w:p>
    <w:p>
      <w:pPr>
        <w:spacing w:after="0" w:line="211" w:lineRule="exact"/>
        <w:rPr>
          <w:rFonts w:ascii="Times New Roman" w:cs="Times New Roman" w:eastAsia="Times New Roman" w:hAnsi="Times New Roman"/>
          <w:sz w:val="18"/>
          <w:szCs w:val="18"/>
          <w:color w:val="auto"/>
        </w:rPr>
      </w:pPr>
    </w:p>
    <w:p>
      <w:pPr>
        <w:ind w:left="900" w:hanging="325"/>
        <w:spacing w:after="0" w:line="310" w:lineRule="auto"/>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Reports on Form 8-K filed with the SEC on January 9, 2015 (new member of board of directors), January 20, 2015 (364-day credit agreement), March 2, 2015 (documentation related to equity offering), May 15, 2015 (amendment to partnership agreement), May 26, 2015 (Santa Barbara County crude oil release), June 11, 2015 (Santa Barbara County crude oil release update) and August 14, 2015 (credit facility modifications).</w:t>
      </w:r>
    </w:p>
    <w:p>
      <w:pPr>
        <w:spacing w:after="0" w:line="97"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59"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ind w:right="320" w:firstLine="456"/>
        <w:spacing w:after="0" w:line="310" w:lineRule="auto"/>
        <w:rPr>
          <w:sz w:val="20"/>
          <w:szCs w:val="20"/>
          <w:color w:val="auto"/>
        </w:rPr>
      </w:pPr>
      <w:r>
        <w:rPr>
          <w:rFonts w:ascii="Times New Roman" w:cs="Times New Roman" w:eastAsia="Times New Roman" w:hAnsi="Times New Roman"/>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Plains All American Pipeline, L.P.</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PAA Finance Corp.</w:t>
      </w:r>
    </w:p>
    <w:p>
      <w:pPr>
        <w:spacing w:after="0" w:line="1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0"/>
          <w:szCs w:val="20"/>
          <w:color w:val="auto"/>
        </w:rPr>
      </w:pPr>
    </w:p>
    <w:p>
      <w:pPr>
        <w:ind w:right="40" w:firstLine="456"/>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9">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 of this prospectus before you make an investment in our securities.</w:t>
      </w:r>
    </w:p>
    <w:p>
      <w:pPr>
        <w:spacing w:after="0" w:line="12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18"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27, 2012.</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0" w:type="dxa"/>
            <w:vAlign w:val="bottom"/>
          </w:tcPr>
          <w:p>
            <w:pPr>
              <w:jc w:val="right"/>
              <w:ind w:right="457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0"/>
        </w:trPr>
        <w:tc>
          <w:tcPr>
            <w:tcW w:w="4120" w:type="dxa"/>
            <w:vAlign w:val="bottom"/>
            <w:gridSpan w:val="1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About This Prospectus</w:t>
              </w:r>
            </w:hyperlink>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51">
              <w:r>
                <w:rPr>
                  <w:rFonts w:ascii="Times New Roman" w:cs="Times New Roman" w:eastAsia="Times New Roman" w:hAnsi="Times New Roman"/>
                  <w:sz w:val="18"/>
                  <w:szCs w:val="18"/>
                  <w:color w:val="0000EE"/>
                  <w:w w:val="96"/>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3"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3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make available free of charge on our website, at </w:t>
      </w:r>
      <w:r>
        <w:rPr>
          <w:rFonts w:ascii="Times New Roman" w:cs="Times New Roman" w:eastAsia="Times New Roman" w:hAnsi="Times New Roman"/>
          <w:sz w:val="18"/>
          <w:szCs w:val="18"/>
          <w:i w:val="1"/>
          <w:iCs w:val="1"/>
          <w:color w:val="auto"/>
        </w:rPr>
        <w:t>www.paalp.com</w:t>
      </w:r>
      <w:r>
        <w:rPr>
          <w:rFonts w:ascii="Times New Roman" w:cs="Times New Roman" w:eastAsia="Times New Roman" w:hAnsi="Times New Roman"/>
          <w:sz w:val="18"/>
          <w:szCs w:val="18"/>
          <w:color w:val="auto"/>
        </w:rPr>
        <w:t>, all materials that we file electronically with the SEC, including our Annual Report on Form 10-K, Quarterly Reports on Form 10-Q,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on Form 8-K, Section 16 reports and amendments to these reports as soon as reasonably practicable after such materials are electronically filed with, or furnished to, the SEC.</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60" w:lineRule="exact"/>
        <w:rPr>
          <w:sz w:val="20"/>
          <w:szCs w:val="20"/>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2011;</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2012 and June 30, 2012;</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8, 2012 (documentation related to equity offering);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19, 2012 (documentation related to debt offering);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26, 2012 (documentation related to debt offering);</w:t>
      </w:r>
    </w:p>
    <w:p>
      <w:pPr>
        <w:spacing w:after="0" w:line="90" w:lineRule="exact"/>
        <w:rPr>
          <w:rFonts w:ascii="Times New Roman" w:cs="Times New Roman" w:eastAsia="Times New Roman" w:hAnsi="Times New Roman"/>
          <w:sz w:val="18"/>
          <w:szCs w:val="18"/>
          <w:color w:val="auto"/>
        </w:rPr>
      </w:pPr>
    </w:p>
    <w:p>
      <w:pPr>
        <w:ind w:left="440" w:right="500" w:hanging="324"/>
        <w:spacing w:after="0" w:line="275"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April 5, 2012 (completion of acquisition of BP Canada Energy Company; amendment of Limited Partnership Agreement of Plains All American Pipeline, L.P.);</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April 17, 2012 (announcement to withdraw offer to acquire SemGroup Corporation);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May 9, 2012 (documentation related to equity distribution agreement);</w:t>
      </w:r>
    </w:p>
    <w:p>
      <w:pPr>
        <w:spacing w:after="0" w:line="90" w:lineRule="exact"/>
        <w:rPr>
          <w:rFonts w:ascii="Times New Roman" w:cs="Times New Roman" w:eastAsia="Times New Roman" w:hAnsi="Times New Roman"/>
          <w:sz w:val="18"/>
          <w:szCs w:val="18"/>
          <w:color w:val="auto"/>
        </w:rPr>
      </w:pPr>
    </w:p>
    <w:p>
      <w:pPr>
        <w:ind w:left="440" w:right="160" w:hanging="324"/>
        <w:spacing w:after="0" w:line="275"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May 23, 2012 (amendment and restatement of Limited Partnership Agreement of Plains All American Pipeline, L.P.);</w:t>
      </w:r>
    </w:p>
    <w:p>
      <w:pPr>
        <w:spacing w:after="0" w:line="38" w:lineRule="exact"/>
        <w:rPr>
          <w:rFonts w:ascii="Times New Roman" w:cs="Times New Roman" w:eastAsia="Times New Roman" w:hAnsi="Times New Roman"/>
          <w:sz w:val="18"/>
          <w:szCs w:val="18"/>
          <w:color w:val="auto"/>
        </w:rPr>
      </w:pPr>
    </w:p>
    <w:p>
      <w:pPr>
        <w:ind w:left="440" w:right="400" w:hanging="324"/>
        <w:spacing w:after="0" w:line="275"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8-K/A filed with the SEC on May 29, 2012 (financial statements and unaudited pro forma financial information related to the acquisition of BP Canada Energy Company);</w:t>
      </w:r>
    </w:p>
    <w:p>
      <w:pPr>
        <w:spacing w:after="0" w:line="38" w:lineRule="exact"/>
        <w:rPr>
          <w:rFonts w:ascii="Times New Roman" w:cs="Times New Roman" w:eastAsia="Times New Roman" w:hAnsi="Times New Roman"/>
          <w:sz w:val="18"/>
          <w:szCs w:val="18"/>
          <w:color w:val="auto"/>
        </w:rPr>
      </w:pPr>
    </w:p>
    <w:p>
      <w:pPr>
        <w:ind w:left="440" w:right="660" w:hanging="324"/>
        <w:spacing w:after="0" w:line="275"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3, 2012 (amendments to the senior secured hedged inventory facility and senior unsecured revolving credit facility);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13, 2012 (documentation related to equity distribution agreement);</w:t>
      </w:r>
    </w:p>
    <w:p>
      <w:pPr>
        <w:spacing w:after="0" w:line="90"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27, 2012 (unaudited pro forma financial information related to the acquisition of BP Canada Energy Company); and</w:t>
      </w:r>
    </w:p>
    <w:p>
      <w:pPr>
        <w:spacing w:after="0" w:line="38"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units contained in our Form 8-A/A dated November 3, 1998 and any subsequent amendment thereto filed for the purpose of updating such description.</w:t>
      </w:r>
    </w:p>
    <w:p>
      <w:pPr>
        <w:spacing w:after="0" w:line="12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97" w:lineRule="exact"/>
        <w:rPr>
          <w:sz w:val="20"/>
          <w:szCs w:val="20"/>
          <w:color w:val="auto"/>
        </w:rPr>
      </w:pPr>
    </w:p>
    <w:p>
      <w:pPr>
        <w:jc w:val="center"/>
        <w:ind w:left="320" w:right="540"/>
        <w:spacing w:after="0" w:line="447" w:lineRule="auto"/>
        <w:rPr>
          <w:sz w:val="20"/>
          <w:szCs w:val="20"/>
          <w:color w:val="auto"/>
        </w:rPr>
      </w:pPr>
      <w:r>
        <w:rPr>
          <w:rFonts w:ascii="Times New Roman" w:cs="Times New Roman" w:eastAsia="Times New Roman" w:hAnsi="Times New Roman"/>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5" w:right="3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58" w:lineRule="exact"/>
        <w:rPr>
          <w:sz w:val="20"/>
          <w:szCs w:val="20"/>
          <w:color w:val="auto"/>
        </w:rPr>
      </w:pPr>
    </w:p>
    <w:p>
      <w:pPr>
        <w:ind w:left="900" w:right="6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abrupt or severe declines or interruptions in outer continental shelf production located offshore California and transported on our pipeline systems;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90"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1" w:lineRule="exact"/>
        <w:rPr>
          <w:rFonts w:ascii="Times New Roman" w:cs="Times New Roman" w:eastAsia="Times New Roman" w:hAnsi="Times New Roman"/>
          <w:sz w:val="18"/>
          <w:szCs w:val="18"/>
          <w:color w:val="auto"/>
        </w:rPr>
      </w:pPr>
    </w:p>
    <w:p>
      <w:pPr>
        <w:ind w:left="900" w:right="60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on third-party pipelines;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natural gas storage facilities;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300"/>
          </w:cols>
          <w:pgMar w:left="24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3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as to our business, properties and financial condition please refer to the documents cited in “Where You Can Find More Information.”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a prospectus supplement.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455" w:right="3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20" w:hanging="452"/>
        <w:spacing w:after="0" w:line="27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90" w:lineRule="exact"/>
        <w:rPr>
          <w:rFonts w:ascii="Times New Roman" w:cs="Times New Roman" w:eastAsia="Times New Roman" w:hAnsi="Times New Roman"/>
          <w:sz w:val="18"/>
          <w:szCs w:val="18"/>
          <w:color w:val="auto"/>
        </w:rPr>
      </w:pPr>
    </w:p>
    <w:p>
      <w:pPr>
        <w:ind w:left="440" w:right="780" w:hanging="324"/>
        <w:spacing w:after="0" w:line="275"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National Association, as successor Trustee.</w:t>
      </w:r>
    </w:p>
    <w:p>
      <w:pPr>
        <w:spacing w:after="0" w:line="12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39" w:lineRule="exact"/>
        <w:rPr>
          <w:sz w:val="20"/>
          <w:szCs w:val="20"/>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90" w:lineRule="exact"/>
        <w:rPr>
          <w:rFonts w:ascii="Times New Roman" w:cs="Times New Roman" w:eastAsia="Times New Roman" w:hAnsi="Times New Roman"/>
          <w:sz w:val="18"/>
          <w:szCs w:val="18"/>
          <w:color w:val="auto"/>
        </w:rPr>
      </w:pPr>
    </w:p>
    <w:p>
      <w:pPr>
        <w:ind w:left="440" w:right="540" w:hanging="324"/>
        <w:spacing w:after="0" w:line="275"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hanging="324"/>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39"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39" w:lineRule="exact"/>
        <w:rPr>
          <w:sz w:val="20"/>
          <w:szCs w:val="20"/>
          <w:color w:val="auto"/>
        </w:rPr>
      </w:pPr>
    </w:p>
    <w:p>
      <w:pPr>
        <w:ind w:left="440" w:right="200" w:hanging="324"/>
        <w:spacing w:after="0" w:line="262" w:lineRule="auto"/>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9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58" w:lineRule="exact"/>
        <w:rPr>
          <w:sz w:val="20"/>
          <w:szCs w:val="20"/>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90" w:lineRule="exact"/>
        <w:rPr>
          <w:rFonts w:ascii="Times New Roman" w:cs="Times New Roman" w:eastAsia="Times New Roman" w:hAnsi="Times New Roman"/>
          <w:sz w:val="18"/>
          <w:szCs w:val="18"/>
          <w:color w:val="auto"/>
        </w:rPr>
      </w:pPr>
    </w:p>
    <w:p>
      <w:pPr>
        <w:ind w:left="440" w:right="40" w:hanging="324"/>
        <w:spacing w:after="0" w:line="275"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90" w:lineRule="exact"/>
        <w:rPr>
          <w:rFonts w:ascii="Times New Roman" w:cs="Times New Roman" w:eastAsia="Times New Roman" w:hAnsi="Times New Roman"/>
          <w:sz w:val="18"/>
          <w:szCs w:val="18"/>
          <w:color w:val="auto"/>
        </w:rPr>
      </w:pPr>
    </w:p>
    <w:p>
      <w:pPr>
        <w:ind w:left="440" w:right="380" w:hanging="324"/>
        <w:spacing w:after="0" w:line="262"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90"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38" w:lineRule="exact"/>
        <w:rPr>
          <w:rFonts w:ascii="Times New Roman" w:cs="Times New Roman" w:eastAsia="Times New Roman" w:hAnsi="Times New Roman"/>
          <w:sz w:val="18"/>
          <w:szCs w:val="18"/>
          <w:color w:val="auto"/>
        </w:rPr>
      </w:pPr>
    </w:p>
    <w:p>
      <w:pPr>
        <w:ind w:left="440" w:right="320" w:hanging="324"/>
        <w:spacing w:after="0" w:line="275"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90"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certified notes;</w:t>
      </w:r>
    </w:p>
    <w:p>
      <w:pPr>
        <w:spacing w:after="0" w:line="90" w:lineRule="exact"/>
        <w:rPr>
          <w:rFonts w:ascii="Times New Roman" w:cs="Times New Roman" w:eastAsia="Times New Roman" w:hAnsi="Times New Roman"/>
          <w:sz w:val="18"/>
          <w:szCs w:val="18"/>
          <w:color w:val="auto"/>
        </w:rPr>
      </w:pPr>
    </w:p>
    <w:p>
      <w:pPr>
        <w:ind w:left="440" w:right="720" w:hanging="324"/>
        <w:spacing w:after="0" w:line="275"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38" w:lineRule="exact"/>
        <w:rPr>
          <w:rFonts w:ascii="Times New Roman" w:cs="Times New Roman" w:eastAsia="Times New Roman" w:hAnsi="Times New Roman"/>
          <w:sz w:val="18"/>
          <w:szCs w:val="18"/>
          <w:color w:val="auto"/>
        </w:rPr>
      </w:pPr>
    </w:p>
    <w:p>
      <w:pPr>
        <w:ind w:left="440" w:right="260" w:hanging="324"/>
        <w:spacing w:after="0" w:line="275"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pacing w:after="0" w:line="90" w:lineRule="exact"/>
        <w:rPr>
          <w:rFonts w:ascii="Times New Roman" w:cs="Times New Roman" w:eastAsia="Times New Roman" w:hAnsi="Times New Roman"/>
          <w:sz w:val="18"/>
          <w:szCs w:val="18"/>
          <w:color w:val="auto"/>
        </w:rPr>
      </w:pPr>
    </w:p>
    <w:p>
      <w:pPr>
        <w:ind w:left="440" w:right="100" w:hanging="324"/>
        <w:spacing w:after="0" w:line="275"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 Consolidation, Merger or Asset Sale;”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45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90" w:lineRule="exact"/>
        <w:rPr>
          <w:sz w:val="20"/>
          <w:szCs w:val="20"/>
          <w:color w:val="auto"/>
        </w:rPr>
      </w:pPr>
    </w:p>
    <w:p>
      <w:pPr>
        <w:ind w:left="440" w:right="360" w:hanging="324"/>
        <w:spacing w:after="0" w:line="262"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1" w:lineRule="exact"/>
        <w:rPr>
          <w:rFonts w:ascii="Times New Roman" w:cs="Times New Roman" w:eastAsia="Times New Roman" w:hAnsi="Times New Roman"/>
          <w:sz w:val="18"/>
          <w:szCs w:val="18"/>
          <w:color w:val="auto"/>
        </w:rPr>
      </w:pPr>
    </w:p>
    <w:p>
      <w:pPr>
        <w:ind w:left="440" w:right="480" w:hanging="324"/>
        <w:spacing w:after="0" w:line="275"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subordinated indenture will provide that no payment of principal, interest and any premium on the subordinated debt securities may be made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w:t>
      </w:r>
    </w:p>
    <w:p>
      <w:pPr>
        <w:spacing w:after="0" w:line="78" w:lineRule="exact"/>
        <w:rPr>
          <w:sz w:val="20"/>
          <w:szCs w:val="20"/>
          <w:color w:val="auto"/>
        </w:rPr>
      </w:pPr>
    </w:p>
    <w:p>
      <w:pPr>
        <w:ind w:left="440" w:hanging="32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90" w:lineRule="exact"/>
        <w:rPr>
          <w:rFonts w:ascii="Times New Roman" w:cs="Times New Roman" w:eastAsia="Times New Roman" w:hAnsi="Times New Roman"/>
          <w:sz w:val="18"/>
          <w:szCs w:val="18"/>
          <w:color w:val="auto"/>
        </w:rPr>
      </w:pPr>
    </w:p>
    <w:p>
      <w:pPr>
        <w:ind w:left="440" w:right="60" w:hanging="324"/>
        <w:spacing w:after="0" w:line="262" w:lineRule="auto"/>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1"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2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32"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39" w:lineRule="exact"/>
        <w:rPr>
          <w:sz w:val="20"/>
          <w:szCs w:val="20"/>
          <w:color w:val="auto"/>
        </w:rPr>
      </w:pPr>
    </w:p>
    <w:p>
      <w:pPr>
        <w:ind w:left="440" w:right="400" w:hanging="324"/>
        <w:spacing w:after="0" w:line="275"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hanging="236"/>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71" w:lineRule="exact"/>
        <w:rPr>
          <w:rFonts w:ascii="Times New Roman" w:cs="Times New Roman" w:eastAsia="Times New Roman" w:hAnsi="Times New Roman"/>
          <w:sz w:val="18"/>
          <w:szCs w:val="18"/>
          <w:color w:val="auto"/>
        </w:rPr>
      </w:pPr>
    </w:p>
    <w:p>
      <w:pPr>
        <w:ind w:left="460" w:right="100" w:firstLine="443"/>
        <w:spacing w:after="0" w:line="262" w:lineRule="auto"/>
        <w:tabs>
          <w:tab w:leader="none" w:pos="114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32" w:lineRule="exact"/>
        <w:rPr>
          <w:rFonts w:ascii="Times New Roman" w:cs="Times New Roman" w:eastAsia="Times New Roman" w:hAnsi="Times New Roman"/>
          <w:sz w:val="18"/>
          <w:szCs w:val="18"/>
          <w:color w:val="auto"/>
        </w:rPr>
      </w:pPr>
    </w:p>
    <w:p>
      <w:pPr>
        <w:ind w:left="460" w:firstLine="443"/>
        <w:spacing w:after="0" w:line="254" w:lineRule="auto"/>
        <w:tabs>
          <w:tab w:leader="none" w:pos="114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4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71" w:lineRule="exact"/>
        <w:rPr>
          <w:rFonts w:ascii="Times New Roman" w:cs="Times New Roman" w:eastAsia="Times New Roman" w:hAnsi="Times New Roman"/>
          <w:sz w:val="18"/>
          <w:szCs w:val="18"/>
          <w:color w:val="auto"/>
        </w:rPr>
      </w:pPr>
    </w:p>
    <w:p>
      <w:pPr>
        <w:ind w:right="40" w:firstLine="464"/>
        <w:spacing w:after="0" w:line="275"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24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17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American Stock Transfer &amp; Trust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Meetings/Voting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unitholders.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Except as described below under “— Limited Liability,” the common units will be fully paid, and unitholders will not be required to make additional capital contributions to us.</w:t>
      </w:r>
    </w:p>
    <w:p>
      <w:pPr>
        <w:spacing w:after="0" w:line="12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36"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36"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Records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36"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A limited partner can, for a purpose reasonably related to the limited partner’s interest as a limited partner, upon reasonable demand and at his own expense, have furnished to him:</w:t>
      </w:r>
    </w:p>
    <w:p>
      <w:pPr>
        <w:spacing w:after="0" w:line="39" w:lineRule="exact"/>
        <w:rPr>
          <w:sz w:val="20"/>
          <w:szCs w:val="20"/>
          <w:color w:val="auto"/>
        </w:rPr>
      </w:pPr>
    </w:p>
    <w:p>
      <w:pPr>
        <w:ind w:left="440" w:hanging="324"/>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name and last known address of each partner;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our tax returns;</w:t>
      </w:r>
    </w:p>
    <w:p>
      <w:pPr>
        <w:spacing w:after="0" w:line="90" w:lineRule="exact"/>
        <w:rPr>
          <w:rFonts w:ascii="Times New Roman" w:cs="Times New Roman" w:eastAsia="Times New Roman" w:hAnsi="Times New Roman"/>
          <w:sz w:val="18"/>
          <w:szCs w:val="18"/>
          <w:color w:val="auto"/>
        </w:rPr>
      </w:pPr>
    </w:p>
    <w:p>
      <w:pPr>
        <w:ind w:left="440" w:right="120" w:hanging="324"/>
        <w:spacing w:after="0" w:line="275"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Times New Roman" w:cs="Times New Roman" w:eastAsia="Times New Roman" w:hAnsi="Times New Roman"/>
          <w:sz w:val="18"/>
          <w:szCs w:val="18"/>
          <w:color w:val="auto"/>
        </w:rPr>
      </w:pPr>
    </w:p>
    <w:p>
      <w:pPr>
        <w:ind w:left="440" w:right="80" w:hanging="324"/>
        <w:spacing w:after="0" w:line="275"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our partnership agreement, our certificate of limited partnership, amendments to either of them and powers of attorney which have been executed under our partnership agreement;</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status of our business and financial condition;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 liquidation, all cash on hand at the end of that quarter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cash reserves that are necessary or appropriate in the reasonable discretion of the general partner to:</w:t>
      </w:r>
    </w:p>
    <w:p>
      <w:pPr>
        <w:spacing w:after="0" w:line="37" w:lineRule="exact"/>
        <w:rPr>
          <w:sz w:val="20"/>
          <w:szCs w:val="20"/>
          <w:color w:val="auto"/>
        </w:rPr>
      </w:pPr>
    </w:p>
    <w:p>
      <w:pPr>
        <w:ind w:left="440" w:hanging="324"/>
        <w:spacing w:after="0"/>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partnership debt instrument or other agreement;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the general partner in respect of any one or more of the next four quarters.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90"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unitholders will be characterized as either operating surplus or capital surplus. We distribute available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surplus differently than available cash from capital surplus. See “— Quarterly Distributions of Available Cash.”</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 Operating surplus refers generally to:</w:t>
      </w:r>
    </w:p>
    <w:p>
      <w:pPr>
        <w:spacing w:after="0" w:line="92" w:lineRule="exact"/>
        <w:rPr>
          <w:sz w:val="20"/>
          <w:szCs w:val="20"/>
          <w:color w:val="auto"/>
        </w:rPr>
      </w:pPr>
    </w:p>
    <w:p>
      <w:pPr>
        <w:ind w:left="440" w:hanging="32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90"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 Capital surplus will generally be generated only by:</w:t>
      </w:r>
    </w:p>
    <w:p>
      <w:pPr>
        <w:spacing w:after="0" w:line="92" w:lineRule="exact"/>
        <w:rPr>
          <w:sz w:val="20"/>
          <w:szCs w:val="20"/>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92"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7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75"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unit an amount equal to the minimum quarterly distribution for that quarter;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the manner described in “— Incentive Distribution Rights”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1" w:lineRule="exact"/>
        <w:rPr>
          <w:sz w:val="20"/>
          <w:szCs w:val="20"/>
          <w:color w:val="auto"/>
        </w:rPr>
      </w:pPr>
    </w:p>
    <w:p>
      <w:pPr>
        <w:ind w:left="440" w:right="200" w:hanging="324"/>
        <w:spacing w:after="0" w:line="275" w:lineRule="auto"/>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85% to all unitholders, pro rata, and 15% to the general partner, until each unitholder receives a total of $0.495 for that quarter for each outstanding unit (the “first target distribution”);</w:t>
      </w:r>
    </w:p>
    <w:p>
      <w:pPr>
        <w:spacing w:after="0" w:line="38"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75% to all unitholders, pro rata, and 25% to the general partner, until each unitholder receives a total of $0.675 for that quarter for each outstanding unit (the “second target distribution”);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Incentive Distribution Rights</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2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How Distributions from Capital Surplus Will Be Made. </w:t>
      </w:r>
      <w:r>
        <w:rPr>
          <w:rFonts w:ascii="Times New Roman" w:cs="Times New Roman" w:eastAsia="Times New Roman" w:hAnsi="Times New Roman"/>
          <w:sz w:val="18"/>
          <w:szCs w:val="18"/>
          <w:color w:val="auto"/>
        </w:rPr>
        <w:t>We will make distributions of available cash from capital surplus in the following manner:</w:t>
      </w:r>
    </w:p>
    <w:p>
      <w:pPr>
        <w:spacing w:after="0" w:line="92" w:lineRule="exact"/>
        <w:rPr>
          <w:sz w:val="20"/>
          <w:szCs w:val="20"/>
          <w:color w:val="auto"/>
        </w:rPr>
      </w:pPr>
    </w:p>
    <w:p>
      <w:pPr>
        <w:ind w:left="440" w:right="160" w:hanging="324"/>
        <w:spacing w:after="0" w:line="275" w:lineRule="auto"/>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we will make all distributions of available cash from capital surplus as if they were from operating surplus.</w:t>
      </w:r>
    </w:p>
    <w:p>
      <w:pPr>
        <w:spacing w:after="0" w:line="169" w:lineRule="exact"/>
        <w:rPr>
          <w:sz w:val="20"/>
          <w:szCs w:val="20"/>
          <w:color w:val="auto"/>
        </w:rPr>
      </w:pPr>
    </w:p>
    <w:p>
      <w:pPr>
        <w:jc w:val="both"/>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Effect of a Distribution from Capital Surplus</w:t>
      </w:r>
      <w:r>
        <w:rPr>
          <w:rFonts w:ascii="Times New Roman" w:cs="Times New Roman" w:eastAsia="Times New Roman" w:hAnsi="Times New Roman"/>
          <w:sz w:val="18"/>
          <w:szCs w:val="18"/>
          <w:color w:val="auto"/>
        </w:rPr>
        <w:t>. Our partnership agreement treats a distribution of available cash from capital surplus as the repayment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When Payback Occurs</w:t>
      </w:r>
      <w:r>
        <w:rPr>
          <w:rFonts w:ascii="Times New Roman" w:cs="Times New Roman" w:eastAsia="Times New Roman" w:hAnsi="Times New Roman"/>
          <w:sz w:val="16"/>
          <w:szCs w:val="16"/>
          <w:color w:val="auto"/>
        </w:rPr>
        <w:t>. When “payback” of the reduced initial unit price has occurred, i.e., when the unrecovered capital of the common units is zero, then</w:t>
      </w:r>
    </w:p>
    <w:p>
      <w:pPr>
        <w:spacing w:after="0" w:line="115" w:lineRule="exact"/>
        <w:rPr>
          <w:sz w:val="20"/>
          <w:szCs w:val="20"/>
          <w:color w:val="auto"/>
        </w:rPr>
      </w:pPr>
    </w:p>
    <w:p>
      <w:pPr>
        <w:ind w:left="440" w:hanging="324"/>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 and the target distribution levels will be reduced to zero for subsequent quarters;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of available cash will be treated as operating surplus; and</w:t>
      </w:r>
    </w:p>
    <w:p>
      <w:pPr>
        <w:spacing w:after="0" w:line="90" w:lineRule="exact"/>
        <w:rPr>
          <w:rFonts w:ascii="Times New Roman" w:cs="Times New Roman" w:eastAsia="Times New Roman" w:hAnsi="Times New Roman"/>
          <w:sz w:val="18"/>
          <w:szCs w:val="18"/>
          <w:color w:val="auto"/>
        </w:rPr>
      </w:pPr>
    </w:p>
    <w:p>
      <w:pPr>
        <w:ind w:left="440" w:right="560" w:hanging="324"/>
        <w:spacing w:after="0" w:line="275" w:lineRule="auto"/>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will be entitled to receive 50% of distributions of available cash in its capacities as general partner and as holder of the incentive distribution rights.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Distributions of available cash from capital surplus will not reduce the minimum quarterly distribution or target distribution levels for the quarter in which they are distributed.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the Minimum Quarterly Distribution and Target Distribution Levels</w:t>
      </w:r>
    </w:p>
    <w:p>
      <w:pPr>
        <w:spacing w:after="0" w:line="90" w:lineRule="exact"/>
        <w:rPr>
          <w:sz w:val="20"/>
          <w:szCs w:val="20"/>
          <w:color w:val="auto"/>
        </w:rPr>
      </w:pPr>
    </w:p>
    <w:p>
      <w:pPr>
        <w:jc w:val="both"/>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How We Adjust the Minimum Quarterly Distribution and Target Distribution Levels</w:t>
      </w:r>
      <w:r>
        <w:rPr>
          <w:rFonts w:ascii="Times New Roman" w:cs="Times New Roman" w:eastAsia="Times New Roman" w:hAnsi="Times New Roman"/>
          <w:sz w:val="18"/>
          <w:szCs w:val="18"/>
          <w:color w:val="auto"/>
        </w:rPr>
        <w:t>. In addition to adjusting the minimum quarterly distribution and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48" w:lineRule="exact"/>
        <w:rPr>
          <w:sz w:val="20"/>
          <w:szCs w:val="20"/>
          <w:color w:val="auto"/>
        </w:rPr>
      </w:pPr>
    </w:p>
    <w:p>
      <w:pPr>
        <w:ind w:left="440" w:hanging="324"/>
        <w:spacing w:after="0"/>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distribution levels;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unrecovered capital;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118"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If We Became Subject to Taxation</w:t>
      </w:r>
      <w:r>
        <w:rPr>
          <w:rFonts w:ascii="Times New Roman" w:cs="Times New Roman" w:eastAsia="Times New Roman" w:hAnsi="Times New Roman"/>
          <w:sz w:val="18"/>
          <w:szCs w:val="18"/>
          <w:color w:val="auto"/>
        </w:rPr>
        <w:t>. If legislation is enacted or if existing law is modified or interpreted by the relevant governmental authority so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48" w:lineRule="exact"/>
        <w:rPr>
          <w:sz w:val="20"/>
          <w:szCs w:val="20"/>
          <w:color w:val="auto"/>
        </w:rPr>
      </w:pPr>
    </w:p>
    <w:p>
      <w:pPr>
        <w:ind w:left="440" w:right="140" w:hanging="324"/>
        <w:spacing w:after="0" w:line="262" w:lineRule="auto"/>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90" w:lineRule="exact"/>
        <w:rPr>
          <w:sz w:val="20"/>
          <w:szCs w:val="20"/>
          <w:color w:val="auto"/>
        </w:rPr>
      </w:pPr>
    </w:p>
    <w:p>
      <w:pPr>
        <w:jc w:val="both"/>
        <w:ind w:right="1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If we dissolve and liquidate, we will sell our assets or otherwise dispose of our assets and we will adjust the partners’ capital account balances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Manner of Adjustment</w:t>
      </w:r>
      <w:r>
        <w:rPr>
          <w:rFonts w:ascii="Times New Roman" w:cs="Times New Roman" w:eastAsia="Times New Roman" w:hAnsi="Times New Roman"/>
          <w:sz w:val="18"/>
          <w:szCs w:val="18"/>
          <w:color w:val="auto"/>
        </w:rPr>
        <w:t>. If we liquidate, we would allocate any loss to the general partner and each unitholder as follows:</w:t>
      </w:r>
    </w:p>
    <w:p>
      <w:pPr>
        <w:spacing w:after="0" w:line="92" w:lineRule="exact"/>
        <w:rPr>
          <w:sz w:val="20"/>
          <w:szCs w:val="20"/>
          <w:color w:val="auto"/>
        </w:rPr>
      </w:pPr>
    </w:p>
    <w:p>
      <w:pPr>
        <w:ind w:left="440" w:right="500" w:hanging="324"/>
        <w:spacing w:after="0" w:line="275" w:lineRule="auto"/>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100% to the general partner.</w:t>
      </w:r>
    </w:p>
    <w:p>
      <w:pPr>
        <w:spacing w:after="0" w:line="16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Interim Adjustments to Capital Accounts</w:t>
      </w:r>
      <w:r>
        <w:rPr>
          <w:rFonts w:ascii="Times New Roman" w:cs="Times New Roman" w:eastAsia="Times New Roman" w:hAnsi="Times New Roman"/>
          <w:sz w:val="18"/>
          <w:szCs w:val="18"/>
          <w:color w:val="auto"/>
        </w:rPr>
        <w:t>. If we issued additional security interests or made distributions of property, interim adjustments to capital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173"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partnership agreement. The following provisions of our partnership agreement are summarized elsewhere in this prospectus:</w:t>
      </w:r>
    </w:p>
    <w:p>
      <w:pPr>
        <w:spacing w:after="0" w:line="39" w:lineRule="exact"/>
        <w:rPr>
          <w:sz w:val="20"/>
          <w:szCs w:val="20"/>
          <w:color w:val="auto"/>
        </w:rPr>
      </w:pPr>
    </w:p>
    <w:p>
      <w:pPr>
        <w:ind w:left="440" w:hanging="324"/>
        <w:spacing w:after="0"/>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Income Tax Considerations;”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common units are described under “Description of Our Common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Reimbursements of Our General Partner</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9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3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3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9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1" w:lineRule="exact"/>
        <w:rPr>
          <w:sz w:val="20"/>
          <w:szCs w:val="20"/>
          <w:color w:val="auto"/>
        </w:rPr>
      </w:pPr>
    </w:p>
    <w:p>
      <w:pPr>
        <w:ind w:left="440" w:hanging="324"/>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some circumstances and subject to some limitations, the liquidator may defer liquidation or distribution of our assets for a reasonable period of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liquidator determines that a sale would be impractical or would cause a loss to our partners, our general partner may distribute assets in kind to our partners.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39" w:lineRule="exact"/>
        <w:rPr>
          <w:sz w:val="20"/>
          <w:szCs w:val="20"/>
          <w:color w:val="auto"/>
        </w:rPr>
      </w:pPr>
    </w:p>
    <w:p>
      <w:pPr>
        <w:ind w:left="440" w:right="220" w:hanging="324"/>
        <w:spacing w:after="0" w:line="275" w:lineRule="auto"/>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38" w:lineRule="exact"/>
        <w:rPr>
          <w:rFonts w:ascii="Times New Roman" w:cs="Times New Roman" w:eastAsia="Times New Roman" w:hAnsi="Times New Roman"/>
          <w:sz w:val="18"/>
          <w:szCs w:val="18"/>
          <w:color w:val="auto"/>
        </w:rPr>
      </w:pPr>
    </w:p>
    <w:p>
      <w:pPr>
        <w:ind w:left="440" w:right="560" w:hanging="324"/>
        <w:spacing w:after="0" w:line="275" w:lineRule="auto"/>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92"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ind w:firstLine="8"/>
        <w:spacing w:after="0" w:line="261"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92" w:lineRule="exact"/>
        <w:rPr>
          <w:sz w:val="20"/>
          <w:szCs w:val="20"/>
          <w:color w:val="auto"/>
        </w:rPr>
      </w:pPr>
    </w:p>
    <w:p>
      <w:pPr>
        <w:jc w:val="both"/>
        <w:ind w:right="40" w:firstLine="456"/>
        <w:spacing w:after="0" w:line="310" w:lineRule="auto"/>
        <w:rPr>
          <w:sz w:val="20"/>
          <w:szCs w:val="20"/>
          <w:color w:val="auto"/>
        </w:rPr>
      </w:pPr>
      <w:r>
        <w:rPr>
          <w:rFonts w:ascii="Times New Roman" w:cs="Times New Roman" w:eastAsia="Times New Roman" w:hAnsi="Times New Roman"/>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cs="Times New Roman" w:eastAsia="Times New Roman" w:hAnsi="Times New Roman"/>
          <w:sz w:val="18"/>
          <w:szCs w:val="18"/>
          <w:b w:val="1"/>
          <w:bCs w:val="1"/>
          <w:i w:val="1"/>
          <w:iCs w:val="1"/>
          <w:color w:val="auto"/>
        </w:rPr>
        <w:t>Accordingly, we encourage each unitholder to consult the unitholder’s own tax advisor in analyzing the federal,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local and non-U.S. tax consequences particular to that unitholder resulting from ownership or disposition of units.</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3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9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36" w:lineRule="exact"/>
        <w:rPr>
          <w:sz w:val="20"/>
          <w:szCs w:val="20"/>
          <w:color w:val="auto"/>
        </w:rPr>
      </w:pPr>
    </w:p>
    <w:p>
      <w:pPr>
        <w:ind w:left="700" w:hanging="236"/>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subsidiaries has elected to be treated as a corporation for federal income tax</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158" w:lineRule="exact"/>
        <w:rPr>
          <w:rFonts w:ascii="Times New Roman" w:cs="Times New Roman" w:eastAsia="Times New Roman" w:hAnsi="Times New Roman"/>
          <w:sz w:val="18"/>
          <w:szCs w:val="18"/>
          <w:color w:val="auto"/>
        </w:rPr>
      </w:pPr>
    </w:p>
    <w:p>
      <w:pPr>
        <w:ind w:right="220" w:firstLine="464"/>
        <w:spacing w:after="0" w:line="275" w:lineRule="auto"/>
        <w:tabs>
          <w:tab w:leader="none" w:pos="7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19" w:lineRule="exact"/>
        <w:rPr>
          <w:rFonts w:ascii="Times New Roman" w:cs="Times New Roman" w:eastAsia="Times New Roman" w:hAnsi="Times New Roman"/>
          <w:sz w:val="18"/>
          <w:szCs w:val="18"/>
          <w:color w:val="auto"/>
        </w:rPr>
      </w:pPr>
    </w:p>
    <w:p>
      <w:pPr>
        <w:ind w:right="120" w:firstLine="464"/>
        <w:spacing w:after="0" w:line="262"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39" w:lineRule="exact"/>
        <w:rPr>
          <w:sz w:val="20"/>
          <w:szCs w:val="20"/>
          <w:color w:val="auto"/>
        </w:rPr>
      </w:pPr>
    </w:p>
    <w:p>
      <w:pPr>
        <w:jc w:val="center"/>
        <w:ind w:left="300" w:right="400"/>
        <w:spacing w:after="0" w:line="447" w:lineRule="auto"/>
        <w:rPr>
          <w:sz w:val="20"/>
          <w:szCs w:val="20"/>
          <w:color w:val="auto"/>
        </w:rPr>
      </w:pPr>
      <w:r>
        <w:rPr>
          <w:rFonts w:ascii="Times New Roman" w:cs="Times New Roman" w:eastAsia="Times New Roman" w:hAnsi="Times New Roman"/>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9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1" w:lineRule="exact"/>
        <w:rPr>
          <w:sz w:val="20"/>
          <w:szCs w:val="20"/>
          <w:color w:val="auto"/>
        </w:rPr>
      </w:pPr>
    </w:p>
    <w:p>
      <w:pPr>
        <w:ind w:left="440" w:hanging="324"/>
        <w:spacing w:after="0"/>
        <w:tabs>
          <w:tab w:leader="none" w:pos="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 who have executed and delivered transfer applications, and are awaiting admission as limited partners, and</w:t>
      </w:r>
    </w:p>
    <w:p>
      <w:pPr>
        <w:spacing w:after="0" w:line="90" w:lineRule="exact"/>
        <w:rPr>
          <w:rFonts w:ascii="Times New Roman" w:cs="Times New Roman" w:eastAsia="Times New Roman" w:hAnsi="Times New Roman"/>
          <w:sz w:val="18"/>
          <w:szCs w:val="18"/>
          <w:color w:val="auto"/>
        </w:rPr>
      </w:pPr>
    </w:p>
    <w:p>
      <w:pPr>
        <w:ind w:left="440" w:right="320" w:hanging="324"/>
        <w:spacing w:after="0" w:line="275" w:lineRule="auto"/>
        <w:tabs>
          <w:tab w:leader="none" w:pos="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unitholder’s tax basis in its units initially will be the amount paid for those units plus the unitholder’s share of our liabilities. That basis generally will be</w:t>
      </w:r>
    </w:p>
    <w:p>
      <w:pPr>
        <w:spacing w:after="0" w:line="44" w:lineRule="exact"/>
        <w:rPr>
          <w:sz w:val="20"/>
          <w:szCs w:val="20"/>
          <w:color w:val="auto"/>
        </w:rPr>
      </w:pPr>
    </w:p>
    <w:p>
      <w:pPr>
        <w:ind w:right="140" w:firstLine="8"/>
        <w:spacing w:after="0" w:line="261" w:lineRule="auto"/>
        <w:tabs>
          <w:tab w:leader="none" w:pos="2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120"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3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94"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455" w:right="3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94"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deductibility of a non-corporate taxpayer’s “investment interest expense” generally is limited to the amount of that taxpayer’s “net investment income.” Investment interest expense includes:</w:t>
      </w:r>
    </w:p>
    <w:p>
      <w:pPr>
        <w:spacing w:after="0" w:line="39" w:lineRule="exact"/>
        <w:rPr>
          <w:sz w:val="20"/>
          <w:szCs w:val="20"/>
          <w:color w:val="auto"/>
        </w:rPr>
      </w:pPr>
    </w:p>
    <w:p>
      <w:pPr>
        <w:ind w:left="440" w:hanging="324"/>
        <w:spacing w:after="0"/>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94"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94"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36"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3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Our Properties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9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3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39"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1" w:lineRule="exact"/>
        <w:rPr>
          <w:sz w:val="20"/>
          <w:szCs w:val="20"/>
          <w:color w:val="auto"/>
        </w:rPr>
      </w:pPr>
    </w:p>
    <w:p>
      <w:pPr>
        <w:ind w:left="440" w:hanging="324"/>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4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Constructive Termination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94" w:lineRule="exact"/>
        <w:rPr>
          <w:sz w:val="20"/>
          <w:szCs w:val="20"/>
          <w:color w:val="auto"/>
        </w:rPr>
      </w:pPr>
    </w:p>
    <w:p>
      <w:pPr>
        <w:jc w:val="both"/>
        <w:ind w:right="160" w:firstLine="456"/>
        <w:spacing w:after="0" w:line="310" w:lineRule="auto"/>
        <w:rPr>
          <w:sz w:val="20"/>
          <w:szCs w:val="20"/>
          <w:color w:val="auto"/>
        </w:rPr>
      </w:pPr>
      <w:r>
        <w:rPr>
          <w:rFonts w:ascii="Times New Roman" w:cs="Times New Roman" w:eastAsia="Times New Roman" w:hAnsi="Times New Roman"/>
          <w:sz w:val="16"/>
          <w:szCs w:val="16"/>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3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Tax-Exempt Organizations and Other Investors</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39"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0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39" w:lineRule="exact"/>
        <w:rPr>
          <w:sz w:val="20"/>
          <w:szCs w:val="20"/>
          <w:color w:val="auto"/>
        </w:rPr>
      </w:pPr>
    </w:p>
    <w:p>
      <w:pPr>
        <w:ind w:right="640" w:firstLine="456"/>
        <w:spacing w:after="0" w:line="339" w:lineRule="auto"/>
        <w:rPr>
          <w:sz w:val="20"/>
          <w:szCs w:val="20"/>
          <w:color w:val="auto"/>
        </w:rPr>
      </w:pPr>
      <w:r>
        <w:rPr>
          <w:rFonts w:ascii="Times New Roman" w:cs="Times New Roman" w:eastAsia="Times New Roman" w:hAnsi="Times New Roman"/>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171"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17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 owned agency or instrumentality of either of the foregoing; or</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hanging="237"/>
        <w:spacing w:after="0"/>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171" w:lineRule="exact"/>
        <w:rPr>
          <w:rFonts w:ascii="Times New Roman" w:cs="Times New Roman" w:eastAsia="Times New Roman" w:hAnsi="Times New Roman"/>
          <w:sz w:val="18"/>
          <w:szCs w:val="18"/>
          <w:color w:val="auto"/>
        </w:rPr>
      </w:pPr>
    </w:p>
    <w:p>
      <w:pPr>
        <w:ind w:right="60" w:firstLine="464"/>
        <w:spacing w:after="0" w:line="275" w:lineRule="auto"/>
        <w:tabs>
          <w:tab w:leader="none" w:pos="70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9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9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of Debt Securities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1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market prices;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39" w:lineRule="exact"/>
        <w:rPr>
          <w:sz w:val="20"/>
          <w:szCs w:val="20"/>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New York Stock Exchange;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36"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0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20"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1005840</wp:posOffset>
            </wp:positionV>
            <wp:extent cx="1697990" cy="548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4"/>
          <w:szCs w:val="24"/>
          <w:b w:val="1"/>
          <w:bCs w:val="1"/>
          <w:color w:val="auto"/>
        </w:rPr>
        <w:t>$1,000,000,000 4.65%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August 17, 2015</w:t>
      </w: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7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Citigroup</w:t>
      </w:r>
    </w:p>
    <w:p>
      <w:pPr>
        <w:spacing w:after="0" w:line="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Mizuho Securities</w:t>
      </w:r>
    </w:p>
    <w:p>
      <w:pPr>
        <w:spacing w:after="0" w:line="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MUFG</w:t>
      </w:r>
    </w:p>
    <w:p>
      <w:pPr>
        <w:spacing w:after="0" w:line="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UBS Investment Bank</w:t>
      </w:r>
    </w:p>
    <w:p>
      <w:pPr>
        <w:spacing w:after="0" w:line="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Deutsche Bank Securities</w:t>
      </w:r>
    </w:p>
    <w:p>
      <w:pPr>
        <w:spacing w:after="0" w:line="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DNB Markets</w:t>
      </w:r>
    </w:p>
    <w:p>
      <w:pPr>
        <w:spacing w:after="0" w:line="1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7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Scotiabank</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SOCIETE GENERALE</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BB&amp;T Capital Markets</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BMO Capital Markets</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CIBC</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Fifth Third Securities</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ING</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PNC Capital Markets LLC</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Regions Securities LLC</w:t>
      </w:r>
    </w:p>
    <w:p>
      <w:pPr>
        <w:spacing w:after="0" w:line="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lvl w:ilvl="1">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lvl w:ilvl="1">
      <w:lvlJc w:val="left"/>
      <w:lvlText w:val="(%2)"/>
      <w:numFmt w:val="lowerLetter"/>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0"/>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Letter"/>
      <w:start w:val="1"/>
    </w:lvl>
    <w:lvl w:ilvl="1">
      <w:lvlJc w:val="left"/>
      <w:lvlText w:val="(%2)"/>
      <w:numFmt w:val="decimal"/>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2"/>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Roman"/>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decimal"/>
      <w:start w:val="1"/>
    </w:lvl>
    <w:lvl w:ilvl="1">
      <w:lvlJc w:val="left"/>
      <w:lvlText w:val="(%2)"/>
      <w:numFmt w:val="lowerLetter"/>
      <w:start w:val="1"/>
    </w:lvl>
  </w:abstractNum>
  <w:abstractNum w:abstractNumId="74">
    <w:nsid w:val="11447B73"/>
    <w:multiLevelType w:val="hybridMultilevel"/>
    <w:lvl w:ilvl="0">
      <w:lvlJc w:val="left"/>
      <w:lvlText w:val="%1"/>
      <w:numFmt w:val="decimal"/>
      <w:start w:val="1"/>
    </w:lvl>
    <w:lvl w:ilvl="1">
      <w:lvlJc w:val="left"/>
      <w:lvlText w:val="(%2)"/>
      <w:numFmt w:val="lowerLetter"/>
      <w:start w:val="3"/>
    </w:lvl>
  </w:abstractNum>
  <w:abstractNum w:abstractNumId="75">
    <w:nsid w:val="42963E5A"/>
    <w:multiLevelType w:val="hybridMultilevel"/>
    <w:lvl w:ilvl="0">
      <w:lvlJc w:val="left"/>
      <w:lvlText w:val="(%1)"/>
      <w:numFmt w:val="decimal"/>
      <w:start w:val="3"/>
    </w:lvl>
    <w:lvl w:ilvl="1">
      <w:lvlJc w:val="left"/>
      <w:lvlText w:val="%2"/>
      <w:numFmt w:val="lowerLetter"/>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2020-01-24T07:41:53Z</dcterms:created>
  <dcterms:modified xsi:type="dcterms:W3CDTF">2020-01-24T07:41:53Z</dcterms:modified>
</cp:coreProperties>
</file>