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333-207140</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Having an Aggregate Offering Price of Up to $541,262,941.52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and the accompanying base prospectus relate to the issuance and sale from time to time of common units representing limited partner interests in Plains All American Pipeline, L.P. having an aggregate offering price of up to $541,262,941.52 through one or more of our sales agents. These sales, if any, will be made pursuant to the terms of the equity distribution agreement dated August 22, 2014 between us and the sales agents, which has been previously filed as an exhibit to a Current Report on Form 8-K that we filed with the Securities and Exchange Commission on August 22, 2014. This prospectus supplement replaces the prospectus supplement filed on August 22, 2014 under our Registration Statement on Form S-3 (No. 333-184135), which prospectus supplement related to the issuance and sale under the equity distribution agreement of common units having an aggregate offering price of up to $900,000,000. As of the date of this prospectus supplement, common units having an aggregate offering price of $358,737,058.48 have been sold under the equity distribution agreement and previous prospectus supplement. The amount of securities covered by this prospectus supplement represents the unsold balance remaining under the equity distribution agreement.</w:t>
      </w:r>
    </w:p>
    <w:p>
      <w:pPr>
        <w:spacing w:after="0" w:line="174" w:lineRule="exact"/>
        <w:rPr>
          <w:sz w:val="24"/>
          <w:szCs w:val="24"/>
          <w:color w:val="auto"/>
        </w:rPr>
      </w:pPr>
    </w:p>
    <w:p>
      <w:pPr>
        <w:ind w:right="120" w:firstLine="351"/>
        <w:spacing w:after="0" w:line="259" w:lineRule="auto"/>
        <w:rPr>
          <w:sz w:val="20"/>
          <w:szCs w:val="20"/>
          <w:color w:val="auto"/>
        </w:rPr>
      </w:pPr>
      <w:r>
        <w:rPr>
          <w:rFonts w:ascii="Arial" w:cs="Arial" w:eastAsia="Arial" w:hAnsi="Arial"/>
          <w:sz w:val="18"/>
          <w:szCs w:val="18"/>
          <w:color w:val="auto"/>
        </w:rPr>
        <w:t>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w:t>
      </w:r>
    </w:p>
    <w:p>
      <w:pPr>
        <w:spacing w:after="0" w:line="194" w:lineRule="exact"/>
        <w:rPr>
          <w:sz w:val="24"/>
          <w:szCs w:val="24"/>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Our common units trade on the New York Stock Exchange (the "NYSE") under the symbol "PAA." On August 8, 2016, the last reported sale price of our common units on the NYSE was $29.06 per unit. Sales of common units under this prospectus supplement, if any, will be made by means of ordinary brokers' transactions through the facilities of the NYSE at market prices, in block transactions or as otherwise agreed between us and one or more of the sales agents.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95250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300" w:firstLine="351"/>
        <w:spacing w:after="0" w:line="301" w:lineRule="auto"/>
        <w:rPr>
          <w:sz w:val="20"/>
          <w:szCs w:val="20"/>
          <w:color w:val="auto"/>
        </w:rPr>
      </w:pPr>
      <w:r>
        <w:rPr>
          <w:rFonts w:ascii="Arial" w:cs="Arial" w:eastAsia="Arial" w:hAnsi="Arial"/>
          <w:sz w:val="19"/>
          <w:szCs w:val="19"/>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on page S-4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95885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compensation of the sales agents for sales of units shall be at a fixed commission rate of up to 2% of the gross sales price per common unit, depending upon the number of common units sold. The net proceeds from any sales under this prospectus supplement will be used as described under "Use of Proceeds" in this prospectus supplement.</w:t>
      </w:r>
    </w:p>
    <w:p>
      <w:pPr>
        <w:spacing w:after="0" w:line="194" w:lineRule="exact"/>
        <w:rPr>
          <w:sz w:val="24"/>
          <w:szCs w:val="24"/>
          <w:color w:val="auto"/>
        </w:rPr>
      </w:pPr>
    </w:p>
    <w:p>
      <w:pPr>
        <w:ind w:right="38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3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Barclays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BB&amp;T Capital Markets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BMO Capital Markets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Deutsche Bank Securities</w:t>
      </w:r>
    </w:p>
    <w:p>
      <w:pPr>
        <w:spacing w:after="0" w:line="211" w:lineRule="exact"/>
        <w:rPr>
          <w:sz w:val="24"/>
          <w:szCs w:val="24"/>
          <w:color w:val="auto"/>
        </w:rPr>
      </w:pPr>
    </w:p>
    <w:p>
      <w:pPr>
        <w:sectPr>
          <w:pgSz w:w="11900" w:h="16838" w:orient="portrait"/>
          <w:cols w:equalWidth="0" w:num="5">
            <w:col w:w="1880" w:space="520"/>
            <w:col w:w="660" w:space="520"/>
            <w:col w:w="1760" w:space="620"/>
            <w:col w:w="1720" w:space="720"/>
            <w:col w:w="3020"/>
          </w:cols>
          <w:pgMar w:left="240" w:top="685" w:right="239" w:bottom="397" w:gutter="0" w:footer="0" w:header="0"/>
          <w:type w:val="continuous"/>
        </w:sectPr>
      </w:pPr>
    </w:p>
    <w:p>
      <w:pPr>
        <w:spacing w:after="0" w:line="200" w:lineRule="exact"/>
        <w:rPr>
          <w:sz w:val="24"/>
          <w:szCs w:val="24"/>
          <w:color w:val="auto"/>
        </w:rPr>
      </w:pPr>
    </w:p>
    <w:p>
      <w:pPr>
        <w:spacing w:after="0" w:line="280"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Jefferies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BofA Merrill Lynch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MUFG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Morgan Stanley</w:t>
      </w:r>
    </w:p>
    <w:p>
      <w:pPr>
        <w:sectPr>
          <w:pgSz w:w="11900" w:h="16838" w:orient="portrait"/>
          <w:cols w:equalWidth="0" w:num="6">
            <w:col w:w="2060" w:space="420"/>
            <w:col w:w="640" w:space="580"/>
            <w:col w:w="1480" w:space="560"/>
            <w:col w:w="540" w:space="620"/>
            <w:col w:w="1480" w:space="720"/>
            <w:col w:w="2320"/>
          </w:cols>
          <w:pgMar w:left="240" w:top="685" w:right="239" w:bottom="39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140" w:type="dxa"/>
            <w:vAlign w:val="bottom"/>
          </w:tcPr>
          <w:p>
            <w:pPr>
              <w:spacing w:after="0"/>
              <w:rPr>
                <w:sz w:val="20"/>
                <w:szCs w:val="20"/>
                <w:color w:val="auto"/>
              </w:rPr>
            </w:pPr>
            <w:r>
              <w:rPr>
                <w:rFonts w:ascii="Arial" w:cs="Arial" w:eastAsia="Arial" w:hAnsi="Arial"/>
                <w:sz w:val="18"/>
                <w:szCs w:val="18"/>
                <w:b w:val="1"/>
                <w:bCs w:val="1"/>
                <w:color w:val="auto"/>
              </w:rPr>
              <w:t>Raymond James</w:t>
            </w:r>
          </w:p>
        </w:tc>
        <w:tc>
          <w:tcPr>
            <w:tcW w:w="3340" w:type="dxa"/>
            <w:vAlign w:val="bottom"/>
            <w:gridSpan w:val="2"/>
          </w:tcPr>
          <w:p>
            <w:pPr>
              <w:ind w:left="440"/>
              <w:spacing w:after="0"/>
              <w:rPr>
                <w:sz w:val="20"/>
                <w:szCs w:val="20"/>
                <w:color w:val="auto"/>
              </w:rPr>
            </w:pPr>
            <w:r>
              <w:rPr>
                <w:rFonts w:ascii="Arial" w:cs="Arial" w:eastAsia="Arial" w:hAnsi="Arial"/>
                <w:sz w:val="18"/>
                <w:szCs w:val="18"/>
                <w:b w:val="1"/>
                <w:bCs w:val="1"/>
                <w:color w:val="auto"/>
              </w:rPr>
              <w:t>RBC Capital Markets</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Baird</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Scotia Howard Weil</w:t>
            </w:r>
          </w:p>
        </w:tc>
      </w:tr>
      <w:tr>
        <w:trPr>
          <w:trHeight w:val="864"/>
        </w:trPr>
        <w:tc>
          <w:tcPr>
            <w:tcW w:w="2140" w:type="dxa"/>
            <w:vAlign w:val="bottom"/>
          </w:tcPr>
          <w:p>
            <w:pPr>
              <w:spacing w:after="0"/>
              <w:rPr>
                <w:sz w:val="20"/>
                <w:szCs w:val="20"/>
                <w:color w:val="auto"/>
              </w:rPr>
            </w:pPr>
            <w:r>
              <w:rPr>
                <w:rFonts w:ascii="Arial" w:cs="Arial" w:eastAsia="Arial" w:hAnsi="Arial"/>
                <w:sz w:val="18"/>
                <w:szCs w:val="18"/>
                <w:b w:val="1"/>
                <w:bCs w:val="1"/>
                <w:color w:val="auto"/>
              </w:rPr>
              <w:t>SOCIETE GENERAL</w:t>
            </w:r>
          </w:p>
        </w:tc>
        <w:tc>
          <w:tcPr>
            <w:tcW w:w="10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w w:val="88"/>
              </w:rPr>
              <w:t>SunTrust Robinson Humphrey</w:t>
            </w:r>
          </w:p>
        </w:tc>
        <w:tc>
          <w:tcPr>
            <w:tcW w:w="54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Tudor, Pickering, Holt &amp; Co.</w:t>
            </w:r>
          </w:p>
        </w:tc>
      </w:tr>
      <w:tr>
        <w:trPr>
          <w:trHeight w:val="864"/>
        </w:trPr>
        <w:tc>
          <w:tcPr>
            <w:tcW w:w="2140" w:type="dxa"/>
            <w:vAlign w:val="bottom"/>
          </w:tcPr>
          <w:p>
            <w:pPr>
              <w:spacing w:after="0"/>
              <w:rPr>
                <w:sz w:val="20"/>
                <w:szCs w:val="20"/>
                <w:color w:val="auto"/>
              </w:rPr>
            </w:pPr>
            <w:r>
              <w:rPr>
                <w:rFonts w:ascii="Arial" w:cs="Arial" w:eastAsia="Arial" w:hAnsi="Arial"/>
                <w:sz w:val="18"/>
                <w:szCs w:val="18"/>
                <w:b w:val="1"/>
                <w:bCs w:val="1"/>
                <w:color w:val="auto"/>
              </w:rPr>
              <w:t>UBS Investment Bank</w:t>
            </w:r>
          </w:p>
        </w:tc>
        <w:tc>
          <w:tcPr>
            <w:tcW w:w="1000" w:type="dxa"/>
            <w:vAlign w:val="bottom"/>
          </w:tcPr>
          <w:p>
            <w:pPr>
              <w:spacing w:after="0"/>
              <w:rPr>
                <w:sz w:val="24"/>
                <w:szCs w:val="24"/>
                <w:color w:val="auto"/>
              </w:rPr>
            </w:pPr>
          </w:p>
        </w:tc>
        <w:tc>
          <w:tcPr>
            <w:tcW w:w="2340" w:type="dxa"/>
            <w:vAlign w:val="bottom"/>
          </w:tcPr>
          <w:p>
            <w:pPr>
              <w:ind w:left="620"/>
              <w:spacing w:after="0"/>
              <w:rPr>
                <w:sz w:val="20"/>
                <w:szCs w:val="20"/>
                <w:color w:val="auto"/>
              </w:rPr>
            </w:pPr>
            <w:r>
              <w:rPr>
                <w:rFonts w:ascii="Arial" w:cs="Arial" w:eastAsia="Arial" w:hAnsi="Arial"/>
                <w:sz w:val="18"/>
                <w:szCs w:val="18"/>
                <w:b w:val="1"/>
                <w:bCs w:val="1"/>
                <w:color w:val="auto"/>
                <w:w w:val="93"/>
              </w:rPr>
              <w:t>U.S. Capital Advisors</w:t>
            </w:r>
          </w:p>
        </w:tc>
        <w:tc>
          <w:tcPr>
            <w:tcW w:w="54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Wells Fargo Securities</w:t>
            </w:r>
          </w:p>
        </w:tc>
      </w:tr>
      <w:tr>
        <w:trPr>
          <w:trHeight w:val="218"/>
        </w:trPr>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8"/>
        </w:trPr>
        <w:tc>
          <w:tcPr>
            <w:tcW w:w="8560" w:type="dxa"/>
            <w:vAlign w:val="bottom"/>
            <w:gridSpan w:val="16"/>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560" w:type="dxa"/>
            <w:vAlign w:val="bottom"/>
            <w:gridSpan w:val="16"/>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Important Notice About Information in this Prospectus Supplement and the Accompanying Base Prospectus</w:t>
              </w:r>
            </w:hyperlink>
          </w:p>
        </w:tc>
        <w:tc>
          <w:tcPr>
            <w:tcW w:w="42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S-ii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5520" w:type="dxa"/>
            <w:vAlign w:val="bottom"/>
            <w:tcBorders>
              <w:top w:val="single" w:sz="8" w:color="0000EE"/>
            </w:tcBorders>
            <w:gridSpan w:val="7"/>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1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7">
              <w:r>
                <w:rPr>
                  <w:rFonts w:ascii="Arial" w:cs="Arial" w:eastAsia="Arial" w:hAnsi="Arial"/>
                  <w:sz w:val="14"/>
                  <w:szCs w:val="14"/>
                  <w:color w:val="0000EE"/>
                  <w:w w:val="73"/>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66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10">
              <w:r>
                <w:rPr>
                  <w:rFonts w:ascii="Arial" w:cs="Arial" w:eastAsia="Arial" w:hAnsi="Arial"/>
                  <w:sz w:val="14"/>
                  <w:szCs w:val="14"/>
                  <w:color w:val="0000EE"/>
                  <w:w w:val="73"/>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74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11">
              <w:r>
                <w:rPr>
                  <w:rFonts w:ascii="Arial" w:cs="Arial" w:eastAsia="Arial" w:hAnsi="Arial"/>
                  <w:sz w:val="14"/>
                  <w:szCs w:val="14"/>
                  <w:color w:val="0000EE"/>
                  <w:w w:val="73"/>
                </w:rPr>
                <w:t>S-5</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Material U.S. Federal Income Tax Consequences</w:t>
              </w:r>
            </w:hyperlink>
          </w:p>
        </w:tc>
        <w:tc>
          <w:tcPr>
            <w:tcW w:w="5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S-6</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3">
              <w:r>
                <w:rPr>
                  <w:rFonts w:ascii="Arial" w:cs="Arial" w:eastAsia="Arial" w:hAnsi="Arial"/>
                  <w:sz w:val="14"/>
                  <w:szCs w:val="14"/>
                  <w:color w:val="0000EE"/>
                  <w:w w:val="73"/>
                </w:rPr>
                <w:t>S-7</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716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4"/>
                <w:szCs w:val="14"/>
                <w:color w:val="0000EE"/>
                <w:w w:val="73"/>
              </w:rPr>
            </w:pPr>
            <w:hyperlink w:anchor="page15">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Experts</w:t>
              </w:r>
            </w:hyperlink>
          </w:p>
        </w:tc>
        <w:tc>
          <w:tcPr>
            <w:tcW w:w="75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4"/>
                <w:szCs w:val="14"/>
                <w:color w:val="0000EE"/>
                <w:w w:val="73"/>
              </w:rPr>
            </w:pPr>
            <w:hyperlink w:anchor="page15">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5">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451"/>
        </w:trPr>
        <w:tc>
          <w:tcPr>
            <w:tcW w:w="280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Prospectus</w:t>
            </w:r>
          </w:p>
        </w:tc>
        <w:tc>
          <w:tcPr>
            <w:tcW w:w="576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6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20"/>
        </w:trPr>
        <w:tc>
          <w:tcPr>
            <w:tcW w:w="16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57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1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About Plains All American Pipeline, L.P.</w:t>
              </w:r>
            </w:hyperlink>
          </w:p>
        </w:tc>
        <w:tc>
          <w:tcPr>
            <w:tcW w:w="56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2040" w:type="dxa"/>
            <w:vAlign w:val="bottom"/>
            <w:gridSpan w:val="10"/>
          </w:tcPr>
          <w:p>
            <w:pPr>
              <w:spacing w:after="0"/>
              <w:rPr>
                <w:sz w:val="17"/>
                <w:szCs w:val="17"/>
                <w:color w:val="auto"/>
              </w:rPr>
            </w:pPr>
          </w:p>
        </w:tc>
        <w:tc>
          <w:tcPr>
            <w:tcW w:w="56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Use of Proceeds</w:t>
              </w:r>
            </w:hyperlink>
          </w:p>
        </w:tc>
        <w:tc>
          <w:tcPr>
            <w:tcW w:w="7400" w:type="dxa"/>
            <w:vAlign w:val="bottom"/>
            <w:gridSpan w:val="1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Ratio of Earnings to Fixed Charges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0"/>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Description of Our Debt Securities</w:t>
              </w:r>
            </w:hyperlink>
          </w:p>
        </w:tc>
        <w:tc>
          <w:tcPr>
            <w:tcW w:w="610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Our Common Units</w:t>
              </w:r>
            </w:hyperlink>
          </w:p>
        </w:tc>
        <w:tc>
          <w:tcPr>
            <w:tcW w:w="610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Cash Distribution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Our Partnership Agreement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3000" w:type="dxa"/>
            <w:vAlign w:val="bottom"/>
            <w:gridSpan w:val="13"/>
            <w:shd w:val="clear" w:color="auto" w:fill="0000EE"/>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Material U.S. Federal Income Tax Consequences</w:t>
              </w:r>
            </w:hyperlink>
          </w:p>
        </w:tc>
        <w:tc>
          <w:tcPr>
            <w:tcW w:w="51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716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758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70"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base prospectus. Neither we nor any of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our common units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right="40" w:hanging="532"/>
        <w:spacing w:after="0" w:line="306"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Other factors described or incorporated by reference herein, as well as factors that are unknown or unpredictable, could also have a material adverse effect on future results. Please read "Risk Factors" beginning on page S-4 of this prospectus supplement, in Item 1A. "Risk Factors" in our Annual Report on Form 10-K for the fiscal year ended December 31, 2015 (File No. 001-14569) and in any subsequent quarterly reports on Form 10-Q,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40" w:firstLine="351"/>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common units. Please read "Risk Factors" on page S-4 of this prospectus supplement, in our Annual Report on Form 10-K for the fiscal year ended December 31, 2015 and in any subsequent quarterly reports on Form 10-Q, which are incorporated by reference herein, for information regarding risks you should consider before investing in our common units.</w:t>
      </w:r>
    </w:p>
    <w:p>
      <w:pPr>
        <w:spacing w:after="0" w:line="174" w:lineRule="exact"/>
        <w:rPr>
          <w:sz w:val="20"/>
          <w:szCs w:val="20"/>
          <w:color w:val="auto"/>
        </w:rPr>
      </w:pPr>
    </w:p>
    <w:p>
      <w:pPr>
        <w:ind w:left="240" w:right="160" w:firstLine="351"/>
        <w:spacing w:after="0" w:line="306"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References to our "general partner," as the context requires, include any or all of PAA GP LLC, Plains AAP, L.P. and Plains All American GP LLC.</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94"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left="2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and/or assets of a third-party buyer.</w:t>
      </w:r>
    </w:p>
    <w:p>
      <w:pPr>
        <w:spacing w:after="0" w:line="186" w:lineRule="exact"/>
        <w:rPr>
          <w:sz w:val="20"/>
          <w:szCs w:val="20"/>
          <w:color w:val="auto"/>
        </w:rPr>
      </w:pPr>
    </w:p>
    <w:p>
      <w:pPr>
        <w:ind w:left="240" w:right="140" w:firstLine="348"/>
        <w:spacing w:after="0" w:line="323" w:lineRule="auto"/>
        <w:rPr>
          <w:sz w:val="20"/>
          <w:szCs w:val="20"/>
          <w:color w:val="auto"/>
        </w:rPr>
      </w:pPr>
      <w:r>
        <w:rPr>
          <w:rFonts w:ascii="Arial" w:cs="Arial" w:eastAsia="Arial" w:hAnsi="Arial"/>
          <w:sz w:val="15"/>
          <w:szCs w:val="15"/>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63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59" w:lineRule="auto"/>
        <w:rPr>
          <w:sz w:val="20"/>
          <w:szCs w:val="20"/>
          <w:color w:val="auto"/>
        </w:rPr>
      </w:pPr>
      <w:r>
        <w:rPr>
          <w:rFonts w:ascii="Arial" w:cs="Arial" w:eastAsia="Arial" w:hAnsi="Arial"/>
          <w:sz w:val="18"/>
          <w:szCs w:val="18"/>
          <w:color w:val="auto"/>
        </w:rPr>
        <w:t>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28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35" w:lineRule="auto"/>
        <w:rPr>
          <w:sz w:val="20"/>
          <w:szCs w:val="20"/>
          <w:color w:val="auto"/>
        </w:rPr>
      </w:pPr>
      <w:r>
        <w:rPr>
          <w:rFonts w:ascii="Arial" w:cs="Arial" w:eastAsia="Arial" w:hAnsi="Arial"/>
          <w:sz w:val="15"/>
          <w:szCs w:val="15"/>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2015 and our Quarterly Reports on Form 10-Q for the quarterly periods ended March 31, 2016 and June 30, 2016,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620" w:type="dxa"/>
            <w:vAlign w:val="bottom"/>
            <w:tcBorders>
              <w:top w:val="single" w:sz="8" w:color="auto"/>
              <w:left w:val="single" w:sz="8" w:color="auto"/>
            </w:tcBorders>
          </w:tcPr>
          <w:p>
            <w:pPr>
              <w:spacing w:after="0"/>
              <w:rPr>
                <w:sz w:val="24"/>
                <w:szCs w:val="24"/>
                <w:color w:val="auto"/>
              </w:rPr>
            </w:pPr>
          </w:p>
        </w:tc>
        <w:tc>
          <w:tcPr>
            <w:tcW w:w="8800" w:type="dxa"/>
            <w:vAlign w:val="bottom"/>
            <w:tcBorders>
              <w:top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Units Offered</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Common units having an aggregate offering price of up to $541,262,941.52.</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6"/>
              </w:rPr>
              <w:t>We intend to use the net proceeds from this offering, including our general partner's proportionate capital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1"/>
              </w:rPr>
              <w:t>contribution, after deducting the sales agents' commissions and our offering expenses, for general partnership</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purposes, which may include, among other things, repayment of indebtedness, acquisitions, capital</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expenditures and additions to working capital.</w:t>
            </w:r>
          </w:p>
        </w:tc>
      </w:tr>
      <w:tr>
        <w:trPr>
          <w:trHeight w:val="426"/>
        </w:trPr>
        <w:tc>
          <w:tcPr>
            <w:tcW w:w="262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8"/>
              </w:rPr>
              <w:t>Amounts repaid under our credit facilities or commercial paper program may be reborrowed to fund our</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2"/>
              </w:rPr>
              <w:t>ongoing expansion capital program, future acquisitions and investments or for general partnership purposes.</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Please read "Use of Proceeds" in this prospectus supplement for further information.</w:t>
            </w:r>
          </w:p>
        </w:tc>
      </w:tr>
      <w:tr>
        <w:trPr>
          <w:trHeight w:val="432"/>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Exchange Listing</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Our common units are traded on the NYSE under the symbol "PAA."</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Conflicts of Interest</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2"/>
              </w:rPr>
              <w:t>Affiliates of certain of the sales agents are lenders under our credit facilities or dealers under our commercial</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4"/>
              </w:rPr>
              <w:t>paper program and may hold commercial paper notes thereunder. To the extent we use proceeds from this</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offering to repay indebtedness under our credit facilities or commercial paper program, such affiliates may</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1"/>
              </w:rPr>
              <w:t>receive proceeds from this offering. Please read "Plan of Distribution" in this prospectus supplement for further</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information.</w:t>
            </w:r>
          </w:p>
        </w:tc>
      </w:tr>
      <w:tr>
        <w:trPr>
          <w:trHeight w:val="426"/>
        </w:trPr>
        <w:tc>
          <w:tcPr>
            <w:tcW w:w="2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1"/>
              </w:rPr>
              <w:t>There are risks associated with this offering and our business. You should consider carefully the risk factors on</w:t>
            </w:r>
          </w:p>
        </w:tc>
      </w:tr>
      <w:tr>
        <w:trPr>
          <w:trHeight w:val="216"/>
        </w:trPr>
        <w:tc>
          <w:tcPr>
            <w:tcW w:w="26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7"/>
              </w:rPr>
              <w:t>page S-4 of this prospectus supplement and the other risks identified in the documents incorporated by</w:t>
            </w:r>
          </w:p>
        </w:tc>
      </w:tr>
      <w:tr>
        <w:trPr>
          <w:trHeight w:val="222"/>
        </w:trPr>
        <w:tc>
          <w:tcPr>
            <w:tcW w:w="262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reference herein before making an investment in the common units offered hereby.</w:t>
            </w:r>
          </w:p>
        </w:tc>
      </w:tr>
      <w:tr>
        <w:trPr>
          <w:trHeight w:val="228"/>
        </w:trPr>
        <w:tc>
          <w:tcPr>
            <w:tcW w:w="2620" w:type="dxa"/>
            <w:vAlign w:val="bottom"/>
            <w:tcBorders>
              <w:left w:val="single" w:sz="8" w:color="auto"/>
              <w:bottom w:val="single" w:sz="8" w:color="auto"/>
            </w:tcBorders>
          </w:tcPr>
          <w:p>
            <w:pPr>
              <w:spacing w:after="0"/>
              <w:rPr>
                <w:sz w:val="19"/>
                <w:szCs w:val="19"/>
                <w:color w:val="auto"/>
              </w:rPr>
            </w:pPr>
          </w:p>
        </w:tc>
        <w:tc>
          <w:tcPr>
            <w:tcW w:w="8800" w:type="dxa"/>
            <w:vAlign w:val="bottom"/>
            <w:tcBorders>
              <w:bottom w:val="single" w:sz="8" w:color="auto"/>
              <w:right w:val="single" w:sz="8" w:color="auto"/>
            </w:tcBorders>
          </w:tcPr>
          <w:p>
            <w:pPr>
              <w:spacing w:after="0"/>
              <w:rPr>
                <w:sz w:val="19"/>
                <w:szCs w:val="19"/>
                <w:color w:val="auto"/>
              </w:rPr>
            </w:pPr>
          </w:p>
        </w:tc>
      </w:tr>
      <w:tr>
        <w:trPr>
          <w:trHeight w:val="427"/>
        </w:trPr>
        <w:tc>
          <w:tcPr>
            <w:tcW w:w="2620" w:type="dxa"/>
            <w:vAlign w:val="bottom"/>
          </w:tcPr>
          <w:p>
            <w:pPr>
              <w:spacing w:after="0"/>
              <w:rPr>
                <w:sz w:val="24"/>
                <w:szCs w:val="24"/>
                <w:color w:val="auto"/>
              </w:rPr>
            </w:pPr>
          </w:p>
        </w:tc>
        <w:tc>
          <w:tcPr>
            <w:tcW w:w="8800" w:type="dxa"/>
            <w:vAlign w:val="bottom"/>
          </w:tcPr>
          <w:p>
            <w:pPr>
              <w:ind w:left="2980"/>
              <w:spacing w:after="0"/>
              <w:rPr>
                <w:sz w:val="20"/>
                <w:szCs w:val="20"/>
                <w:color w:val="auto"/>
              </w:rPr>
            </w:pPr>
            <w:r>
              <w:rPr>
                <w:rFonts w:ascii="Arial" w:cs="Arial" w:eastAsia="Arial" w:hAnsi="Arial"/>
                <w:sz w:val="18"/>
                <w:szCs w:val="18"/>
                <w:color w:val="auto"/>
              </w:rPr>
              <w:t>S-3</w:t>
            </w:r>
          </w:p>
        </w:tc>
      </w:tr>
      <w:tr>
        <w:trPr>
          <w:trHeight w:val="228"/>
        </w:trPr>
        <w:tc>
          <w:tcPr>
            <w:tcW w:w="26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making an investment in the common units offered hereby, you should carefully consider the risk factors included in Item 1A. "Risk Factors" of our Annual Report on Form 10-K for the fiscal year ended December 31, 2015 (File No. 001-14569),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We intend to use the net proceeds of this offering, including our general partner's proportionate capital contribution, after deducting the sales agents' commissions and our offering expenses, for general partnership purposes, which may include, among other things, repayment of indebtedness, acquisitions, capital expenditures and additions to working capital. Amounts repaid under our credit facilities or commercial paper program may be reborrowed to fund our ongoing expansion capital program, future acquisitions and investments or for general partnership purposes.</w:t>
      </w:r>
    </w:p>
    <w:p>
      <w:pPr>
        <w:spacing w:after="0" w:line="16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Affiliates of certain of the sales agents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 Please read "Plan of Distribution" in this prospectus supplement for further information.</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August 8, 2016, there were no borrowings under our senior unsecured revolving credit facility, which bears interest at a variable rate. As of August 8, 2016, we had approximately $550 million outstanding under our senior secured hedged inventory facility with a weighted average interest rate of 1.46%. Our senior secured hedged inventory facility matures in August 2018. Proceeds from such facility are primarily used to finance purchased or stored hedged inventory, including NYMEX and ICE margin deposits. As of August 8, 2016, there were no borrowings under our senior unsecured 364-day revolving credit facility, which bears interest at a variable rate and matures on August 15, 2016. We expect to amend our senior unsecured 364-day revolving credit facility to extend the maturity date for one additional year. As of August 8, 2016, we had approximately $433 million of borrowings outstanding under our commercial paper program with a weighted average interest rate of approximately 1.31%. The outstanding borrowings under our commercial paper program have maturity dates of one month or less. Our commercial paper program is backstopped by our senior secured hedged inventory facility and our senior unsecured revolving credit facility.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U.S. Federal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U.S. Federal Income Tax Consequences" in the accompanying base prospectus.</w:t>
      </w:r>
    </w:p>
    <w:p>
      <w:pPr>
        <w:spacing w:after="0" w:line="198"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U.S. Federal Income Tax Consequences—Tax-Exempt Organizations and Other Investors" in the accompanying base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b w:val="1"/>
          <w:bCs w:val="1"/>
          <w:i w:val="1"/>
          <w:iCs w:val="1"/>
          <w:color w:val="auto"/>
        </w:rPr>
        <w:t>Nominee Reporting.</w:t>
      </w:r>
      <w:r>
        <w:rPr>
          <w:sz w:val="20"/>
          <w:szCs w:val="20"/>
          <w:color w:val="auto"/>
        </w:rPr>
        <w:tab/>
      </w:r>
      <w:r>
        <w:rPr>
          <w:rFonts w:ascii="Arial" w:cs="Arial" w:eastAsia="Arial" w:hAnsi="Arial"/>
          <w:sz w:val="15"/>
          <w:szCs w:val="15"/>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 foreign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and description of common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common units they acquire, hold or transfer for their own account. A penalty of $250 per failure, up to a maximum of $3,000,000 per calendar year, is imposed by the Internal Revenue Code of 1986, as amended, for failure to report that information to us. The nominee is required to supply the beneficial owner of the common units with the information furnished by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entered into an equity distribution agreement with Citigroup Global Markets Inc., Barclays Capital Inc., BB&amp;T Capital Markets, a division of BB&amp;T Securities, LLC, BMO Capital Markets Corp., Deutsche Bank Securities Inc., J.P. Morgan Securities LLC, Jefferies LLC, Merrill Lynch, Pierce, Fenner &amp; Smith Incorporated, MUFG Securities Americas Inc., Mizuho Securities USA Inc., Morgan Stanley &amp; Co. LLC, Raymond James &amp; Associates, Inc., RBC Capital Markets, LLC, Robert W. Baird &amp; Co. Incorporated, Scotia Capital (USA) Inc., SG Americas Securities, LLC, SunTrust Robinson Humphrey, Inc., Tudor, Pickering, Holt &amp; Co. Securities, Inc., UBS Securities LLC, USCA Securities LLC, and Wells Fargo Securities, LLC, as sales agents, under which we are permitted to offer and sell common units having an aggregate offering price of up to $900,000,000 from time to time. Under the equity distribution agreement, we have sold common units having an aggregate offering price of $358,737,058.48 as of the date of this prospectus supplement. This prospectus supplement replaces the prospectus supplement filed on August 22, 2014, and only includes common units having an aggregate offering price of up to $541,262,941.52 remaining unsold under the equity distribution agreement.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one or more of the sales agents and us. The sales agents will not engage in any transactions that stabilize the price of our common units.</w:t>
      </w:r>
    </w:p>
    <w:p>
      <w:pPr>
        <w:spacing w:after="0" w:line="17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w:t>
      </w:r>
    </w:p>
    <w:p>
      <w:pPr>
        <w:spacing w:after="0" w:line="16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w:t>
      </w:r>
    </w:p>
    <w:p>
      <w:pPr>
        <w:spacing w:after="0" w:line="17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sales agents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will pay each sales agent a commission of up to 2% of the gross sales price per common unit sold through it as our agent under the equity distribution agreement. We have agreed to reimburse the sales agents for certain of their expenses.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Settlement for sales of common units will occur on the third business day following the date on which any sales were made in return for payment of the net proceeds to us. There is no arrangement for funds to be received in an escrow, trust or similar arrangement.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we or any of the sales agents have reason to believe that our common units are no longer an "actively-traded security" as defined under Rule 101(c)(l) of Regulation M under the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w:t>
      </w:r>
    </w:p>
    <w:p>
      <w:pPr>
        <w:spacing w:after="0" w:line="13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offering of common units pursuant to the equity distribution agreement will terminate upon the earlier of (1) the sale of all common units subject to the equity distribution agreement or (2) the termination of the equity distribution agreement by us or by the sales agents.</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In connection with the sale of the common units on our behalf, each of the sales agents will be deemed to be an "underwriter" within the meaning of the Securities Act of 1933, as amended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Affiliates of certain of the sales agents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validity of the common units offered in this prospectus supplement will be passed upon for us by Vinson &amp; Elkins L.L.P., Houston, Texas. Certain legal matters will be passed upon for the sales agents by Baker Botts L.L.P., Houston, Texas.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2015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21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2016 and June 30, 2016 and</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19, 2016 (Series A preferred unit purchase agreement), February 2, 2016 (closing of Series A preferred unit offering), May 18, 2016 (indictment related to Santa Barbara County crude oil release) and July 14, 2016 (simplification agreement).</w:t>
      </w:r>
    </w:p>
    <w:p>
      <w:pPr>
        <w:spacing w:after="0" w:line="194"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both"/>
        <w:ind w:right="40"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sales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48" w:lineRule="exact"/>
        <w:rPr>
          <w:sz w:val="20"/>
          <w:szCs w:val="20"/>
          <w:color w:val="auto"/>
        </w:rPr>
      </w:pPr>
    </w:p>
    <w:p>
      <w:pPr>
        <w:ind w:right="20" w:firstLine="351"/>
        <w:spacing w:after="0" w:line="243" w:lineRule="auto"/>
        <w:rPr>
          <w:sz w:val="20"/>
          <w:szCs w:val="20"/>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Ratio of Earnings to Fixed Charges</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6"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2015 and June 30, 2015;</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Reports on Form 8-K filed on January 9, 2015, January 20, 2015, March 2, 2015, May 15, 2015, May 26, 2015, June 11, 2015, August 14, 2015, August 19, 2015 and August 26, 2015;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86" w:lineRule="exact"/>
        <w:rPr>
          <w:sz w:val="20"/>
          <w:szCs w:val="20"/>
          <w:color w:val="auto"/>
        </w:rPr>
      </w:pPr>
    </w:p>
    <w:p>
      <w:pPr>
        <w:ind w:right="58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24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7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60" w:right="780" w:firstLine="188"/>
        <w:spacing w:after="0" w:line="601" w:lineRule="auto"/>
        <w:tabs>
          <w:tab w:leader="none" w:pos="1092"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premium, if any, or interest) if it considers such withholding of notice to be in the best interests of the holders.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$0.2475 for that quarter for each outstanding unit (the "first target distribution");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74" w:lineRule="exact"/>
        <w:rPr>
          <w:sz w:val="20"/>
          <w:szCs w:val="20"/>
          <w:color w:val="auto"/>
        </w:rPr>
      </w:pPr>
    </w:p>
    <w:p>
      <w:pPr>
        <w:jc w:val="both"/>
        <w:ind w:left="1080" w:right="2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 and potential changes in applicable tax laws.</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67"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spacing w:after="0" w:line="2" w:lineRule="exact"/>
        <w:rPr>
          <w:sz w:val="20"/>
          <w:szCs w:val="20"/>
          <w:color w:val="auto"/>
        </w:rPr>
      </w:pPr>
    </w:p>
    <w:p>
      <w:pPr>
        <w:ind w:right="40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(generally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7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jc w:val="both"/>
        <w:ind w:right="100" w:firstLine="348"/>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7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7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624840</wp:posOffset>
            </wp:positionV>
            <wp:extent cx="2160905"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Having an Aggregate Offering Price of Up to $541,262,941.52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156845</wp:posOffset>
            </wp:positionV>
            <wp:extent cx="1895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August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Barclays</w:t>
      </w:r>
    </w:p>
    <w:p>
      <w:pPr>
        <w:jc w:val="center"/>
        <w:ind w:right="-1200"/>
        <w:spacing w:after="0" w:line="237" w:lineRule="auto"/>
        <w:rPr>
          <w:sz w:val="20"/>
          <w:szCs w:val="20"/>
          <w:color w:val="auto"/>
        </w:rPr>
      </w:pPr>
      <w:r>
        <w:rPr>
          <w:rFonts w:ascii="Arial" w:cs="Arial" w:eastAsia="Arial" w:hAnsi="Arial"/>
          <w:sz w:val="32"/>
          <w:szCs w:val="32"/>
          <w:b w:val="1"/>
          <w:bCs w:val="1"/>
          <w:color w:val="auto"/>
        </w:rPr>
        <w:t>BB&amp;T Capital Markets</w:t>
      </w:r>
    </w:p>
    <w:p>
      <w:pPr>
        <w:jc w:val="center"/>
        <w:ind w:right="-1200"/>
        <w:spacing w:after="0" w:line="238" w:lineRule="auto"/>
        <w:rPr>
          <w:sz w:val="20"/>
          <w:szCs w:val="20"/>
          <w:color w:val="auto"/>
        </w:rPr>
      </w:pPr>
      <w:r>
        <w:rPr>
          <w:rFonts w:ascii="Arial" w:cs="Arial" w:eastAsia="Arial" w:hAnsi="Arial"/>
          <w:sz w:val="32"/>
          <w:szCs w:val="32"/>
          <w:b w:val="1"/>
          <w:bCs w:val="1"/>
          <w:color w:val="auto"/>
        </w:rPr>
        <w:t>BMO Capital Markets</w:t>
      </w:r>
    </w:p>
    <w:p>
      <w:pPr>
        <w:jc w:val="center"/>
        <w:ind w:right="-1200"/>
        <w:spacing w:after="0" w:line="238" w:lineRule="auto"/>
        <w:rPr>
          <w:sz w:val="20"/>
          <w:szCs w:val="20"/>
          <w:color w:val="auto"/>
        </w:rPr>
      </w:pPr>
      <w:r>
        <w:rPr>
          <w:rFonts w:ascii="Arial" w:cs="Arial" w:eastAsia="Arial" w:hAnsi="Arial"/>
          <w:sz w:val="32"/>
          <w:szCs w:val="32"/>
          <w:b w:val="1"/>
          <w:bCs w:val="1"/>
          <w:color w:val="auto"/>
        </w:rPr>
        <w:t>Deutsche Bank Securities</w:t>
      </w:r>
    </w:p>
    <w:p>
      <w:pPr>
        <w:jc w:val="center"/>
        <w:ind w:right="-1200"/>
        <w:spacing w:after="0" w:line="238" w:lineRule="auto"/>
        <w:rPr>
          <w:sz w:val="20"/>
          <w:szCs w:val="20"/>
          <w:color w:val="auto"/>
        </w:rPr>
      </w:pPr>
      <w:r>
        <w:rPr>
          <w:rFonts w:ascii="Arial" w:cs="Arial" w:eastAsia="Arial" w:hAnsi="Arial"/>
          <w:sz w:val="32"/>
          <w:szCs w:val="32"/>
          <w:b w:val="1"/>
          <w:bCs w:val="1"/>
          <w:color w:val="auto"/>
        </w:rPr>
        <w:t>J.P. Morgan</w:t>
      </w:r>
    </w:p>
    <w:p>
      <w:pPr>
        <w:jc w:val="center"/>
        <w:ind w:right="-1200"/>
        <w:spacing w:after="0" w:line="238" w:lineRule="auto"/>
        <w:rPr>
          <w:sz w:val="20"/>
          <w:szCs w:val="20"/>
          <w:color w:val="auto"/>
        </w:rPr>
      </w:pPr>
      <w:r>
        <w:rPr>
          <w:rFonts w:ascii="Arial" w:cs="Arial" w:eastAsia="Arial" w:hAnsi="Arial"/>
          <w:sz w:val="32"/>
          <w:szCs w:val="32"/>
          <w:b w:val="1"/>
          <w:bCs w:val="1"/>
          <w:color w:val="auto"/>
        </w:rPr>
        <w:t>Jefferies</w:t>
      </w:r>
    </w:p>
    <w:p>
      <w:pPr>
        <w:jc w:val="center"/>
        <w:ind w:right="-1200"/>
        <w:spacing w:after="0" w:line="237" w:lineRule="auto"/>
        <w:rPr>
          <w:sz w:val="20"/>
          <w:szCs w:val="20"/>
          <w:color w:val="auto"/>
        </w:rPr>
      </w:pPr>
      <w:r>
        <w:rPr>
          <w:rFonts w:ascii="Arial" w:cs="Arial" w:eastAsia="Arial" w:hAnsi="Arial"/>
          <w:sz w:val="32"/>
          <w:szCs w:val="32"/>
          <w:b w:val="1"/>
          <w:bCs w:val="1"/>
          <w:color w:val="auto"/>
        </w:rPr>
        <w:t>BofA Merrill Lynch</w:t>
      </w:r>
    </w:p>
    <w:p>
      <w:pPr>
        <w:jc w:val="center"/>
        <w:ind w:right="-1200"/>
        <w:spacing w:after="0" w:line="238" w:lineRule="auto"/>
        <w:rPr>
          <w:sz w:val="20"/>
          <w:szCs w:val="20"/>
          <w:color w:val="auto"/>
        </w:rPr>
      </w:pPr>
      <w:r>
        <w:rPr>
          <w:rFonts w:ascii="Arial" w:cs="Arial" w:eastAsia="Arial" w:hAnsi="Arial"/>
          <w:sz w:val="32"/>
          <w:szCs w:val="32"/>
          <w:b w:val="1"/>
          <w:bCs w:val="1"/>
          <w:color w:val="auto"/>
        </w:rPr>
        <w:t>MUFG</w:t>
      </w:r>
    </w:p>
    <w:p>
      <w:pPr>
        <w:jc w:val="center"/>
        <w:ind w:right="-1200"/>
        <w:spacing w:after="0" w:line="238" w:lineRule="auto"/>
        <w:rPr>
          <w:sz w:val="20"/>
          <w:szCs w:val="20"/>
          <w:color w:val="auto"/>
        </w:rPr>
      </w:pPr>
      <w:r>
        <w:rPr>
          <w:rFonts w:ascii="Arial" w:cs="Arial" w:eastAsia="Arial" w:hAnsi="Arial"/>
          <w:sz w:val="32"/>
          <w:szCs w:val="32"/>
          <w:b w:val="1"/>
          <w:bCs w:val="1"/>
          <w:color w:val="auto"/>
        </w:rPr>
        <w:t>Mizuho Securities</w:t>
      </w:r>
    </w:p>
    <w:p>
      <w:pPr>
        <w:jc w:val="center"/>
        <w:ind w:right="-1200"/>
        <w:spacing w:after="0" w:line="238" w:lineRule="auto"/>
        <w:rPr>
          <w:sz w:val="20"/>
          <w:szCs w:val="20"/>
          <w:color w:val="auto"/>
        </w:rPr>
      </w:pPr>
      <w:r>
        <w:rPr>
          <w:rFonts w:ascii="Arial" w:cs="Arial" w:eastAsia="Arial" w:hAnsi="Arial"/>
          <w:sz w:val="32"/>
          <w:szCs w:val="32"/>
          <w:b w:val="1"/>
          <w:bCs w:val="1"/>
          <w:color w:val="auto"/>
        </w:rPr>
        <w:t>Morgan Stanley</w:t>
      </w:r>
    </w:p>
    <w:p>
      <w:pPr>
        <w:jc w:val="center"/>
        <w:ind w:right="-1200"/>
        <w:spacing w:after="0" w:line="238" w:lineRule="auto"/>
        <w:rPr>
          <w:sz w:val="20"/>
          <w:szCs w:val="20"/>
          <w:color w:val="auto"/>
        </w:rPr>
      </w:pPr>
      <w:r>
        <w:rPr>
          <w:rFonts w:ascii="Arial" w:cs="Arial" w:eastAsia="Arial" w:hAnsi="Arial"/>
          <w:sz w:val="32"/>
          <w:szCs w:val="32"/>
          <w:b w:val="1"/>
          <w:bCs w:val="1"/>
          <w:color w:val="auto"/>
        </w:rPr>
        <w:t>Raymond James</w:t>
      </w:r>
    </w:p>
    <w:p>
      <w:pPr>
        <w:jc w:val="center"/>
        <w:ind w:right="-1200"/>
        <w:spacing w:after="0" w:line="238" w:lineRule="auto"/>
        <w:rPr>
          <w:sz w:val="20"/>
          <w:szCs w:val="20"/>
          <w:color w:val="auto"/>
        </w:rPr>
      </w:pPr>
      <w:r>
        <w:rPr>
          <w:rFonts w:ascii="Arial" w:cs="Arial" w:eastAsia="Arial" w:hAnsi="Arial"/>
          <w:sz w:val="32"/>
          <w:szCs w:val="32"/>
          <w:b w:val="1"/>
          <w:bCs w:val="1"/>
          <w:color w:val="auto"/>
        </w:rPr>
        <w:t>RBC Capital Markets</w:t>
      </w:r>
    </w:p>
    <w:p>
      <w:pPr>
        <w:jc w:val="center"/>
        <w:ind w:right="-1200"/>
        <w:spacing w:after="0" w:line="237" w:lineRule="auto"/>
        <w:rPr>
          <w:sz w:val="20"/>
          <w:szCs w:val="20"/>
          <w:color w:val="auto"/>
        </w:rPr>
      </w:pPr>
      <w:r>
        <w:rPr>
          <w:rFonts w:ascii="Arial" w:cs="Arial" w:eastAsia="Arial" w:hAnsi="Arial"/>
          <w:sz w:val="32"/>
          <w:szCs w:val="32"/>
          <w:b w:val="1"/>
          <w:bCs w:val="1"/>
          <w:color w:val="auto"/>
        </w:rPr>
        <w:t>Baird</w:t>
      </w:r>
    </w:p>
    <w:p>
      <w:pPr>
        <w:jc w:val="center"/>
        <w:ind w:right="-1200"/>
        <w:spacing w:after="0" w:line="238" w:lineRule="auto"/>
        <w:rPr>
          <w:sz w:val="20"/>
          <w:szCs w:val="20"/>
          <w:color w:val="auto"/>
        </w:rPr>
      </w:pPr>
      <w:r>
        <w:rPr>
          <w:rFonts w:ascii="Arial" w:cs="Arial" w:eastAsia="Arial" w:hAnsi="Arial"/>
          <w:sz w:val="32"/>
          <w:szCs w:val="32"/>
          <w:b w:val="1"/>
          <w:bCs w:val="1"/>
          <w:color w:val="auto"/>
        </w:rPr>
        <w:t>Scotia Howard Weil</w:t>
      </w:r>
    </w:p>
    <w:p>
      <w:pPr>
        <w:jc w:val="center"/>
        <w:ind w:right="-1200"/>
        <w:spacing w:after="0" w:line="238" w:lineRule="auto"/>
        <w:rPr>
          <w:sz w:val="20"/>
          <w:szCs w:val="20"/>
          <w:color w:val="auto"/>
        </w:rPr>
      </w:pPr>
      <w:r>
        <w:rPr>
          <w:rFonts w:ascii="Arial" w:cs="Arial" w:eastAsia="Arial" w:hAnsi="Arial"/>
          <w:sz w:val="32"/>
          <w:szCs w:val="32"/>
          <w:b w:val="1"/>
          <w:bCs w:val="1"/>
          <w:color w:val="auto"/>
        </w:rPr>
        <w:t>SOCIETE GENERAL</w:t>
      </w:r>
    </w:p>
    <w:p>
      <w:pPr>
        <w:jc w:val="center"/>
        <w:ind w:right="-1200"/>
        <w:spacing w:after="0" w:line="238" w:lineRule="auto"/>
        <w:rPr>
          <w:sz w:val="20"/>
          <w:szCs w:val="20"/>
          <w:color w:val="auto"/>
        </w:rPr>
      </w:pPr>
      <w:r>
        <w:rPr>
          <w:rFonts w:ascii="Arial" w:cs="Arial" w:eastAsia="Arial" w:hAnsi="Arial"/>
          <w:sz w:val="32"/>
          <w:szCs w:val="32"/>
          <w:b w:val="1"/>
          <w:bCs w:val="1"/>
          <w:color w:val="auto"/>
        </w:rPr>
        <w:t>SunTrust Robinson Humphrey</w:t>
      </w:r>
    </w:p>
    <w:p>
      <w:pPr>
        <w:jc w:val="center"/>
        <w:ind w:right="-1200"/>
        <w:spacing w:after="0" w:line="238" w:lineRule="auto"/>
        <w:rPr>
          <w:sz w:val="20"/>
          <w:szCs w:val="20"/>
          <w:color w:val="auto"/>
        </w:rPr>
      </w:pPr>
      <w:r>
        <w:rPr>
          <w:rFonts w:ascii="Arial" w:cs="Arial" w:eastAsia="Arial" w:hAnsi="Arial"/>
          <w:sz w:val="32"/>
          <w:szCs w:val="32"/>
          <w:b w:val="1"/>
          <w:bCs w:val="1"/>
          <w:color w:val="auto"/>
        </w:rPr>
        <w:t>Tudor, Pickering, Holt &amp; Co.</w:t>
      </w:r>
    </w:p>
    <w:p>
      <w:pPr>
        <w:jc w:val="center"/>
        <w:ind w:right="-1200"/>
        <w:spacing w:after="0" w:line="238" w:lineRule="auto"/>
        <w:rPr>
          <w:sz w:val="20"/>
          <w:szCs w:val="20"/>
          <w:color w:val="auto"/>
        </w:rPr>
      </w:pPr>
      <w:r>
        <w:rPr>
          <w:rFonts w:ascii="Arial" w:cs="Arial" w:eastAsia="Arial" w:hAnsi="Arial"/>
          <w:sz w:val="32"/>
          <w:szCs w:val="32"/>
          <w:b w:val="1"/>
          <w:bCs w:val="1"/>
          <w:color w:val="auto"/>
        </w:rPr>
        <w:t>UBS Investment Bank</w:t>
      </w:r>
    </w:p>
    <w:p>
      <w:pPr>
        <w:jc w:val="center"/>
        <w:ind w:right="-1200"/>
        <w:spacing w:after="0" w:line="237" w:lineRule="auto"/>
        <w:rPr>
          <w:sz w:val="20"/>
          <w:szCs w:val="20"/>
          <w:color w:val="auto"/>
        </w:rPr>
      </w:pPr>
      <w:r>
        <w:rPr>
          <w:rFonts w:ascii="Arial" w:cs="Arial" w:eastAsia="Arial" w:hAnsi="Arial"/>
          <w:sz w:val="32"/>
          <w:szCs w:val="32"/>
          <w:b w:val="1"/>
          <w:bCs w:val="1"/>
          <w:color w:val="auto"/>
        </w:rPr>
        <w:t>U.S. Capital Advisors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504825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Letter"/>
      <w:start w:val="1"/>
    </w:lvl>
    <w:lvl w:ilvl="1">
      <w:lvlJc w:val="left"/>
      <w:lvlText w:val="%2."/>
      <w:numFmt w:val="lowerRoman"/>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2"/>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lvl w:ilvl="1">
      <w:lvlJc w:val="left"/>
      <w:lvlText w:val="(%2)"/>
      <w:numFmt w:val="lowerLetter"/>
      <w:start w:val="1"/>
    </w:lvl>
  </w:abstractNum>
  <w:abstractNum w:abstractNumId="43">
    <w:nsid w:val="2CD89A32"/>
    <w:multiLevelType w:val="hybridMultilevel"/>
    <w:lvl w:ilvl="0">
      <w:lvlJc w:val="left"/>
      <w:lvlText w:val="•"/>
      <w:numFmt w:val="bullet"/>
      <w:start w:val="1"/>
    </w:lvl>
    <w:lvl w:ilvl="1">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2020-01-21T02:25:13Z</dcterms:created>
  <dcterms:modified xsi:type="dcterms:W3CDTF">2020-01-21T02:25:13Z</dcterms:modified>
</cp:coreProperties>
</file>