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820" w:right="200"/>
        <w:spacing w:after="0" w:line="263" w:lineRule="auto"/>
        <w:rPr>
          <w:sz w:val="20"/>
          <w:szCs w:val="20"/>
          <w:color w:val="auto"/>
        </w:rPr>
      </w:pPr>
      <w:r>
        <w:rPr>
          <w:rFonts w:ascii="Arial" w:cs="Arial" w:eastAsia="Arial" w:hAnsi="Arial"/>
          <w:sz w:val="14"/>
          <w:szCs w:val="14"/>
          <w:b w:val="1"/>
          <w:bCs w:val="1"/>
          <w:color w:val="E8112D"/>
        </w:rPr>
        <w:t>The information in this preliminary prospectus supplement is not complete and may be changed. This preliminary prospectus supplement and the accompanying prospectus are not an offer to sell nor do they seek an offer to buy these securities in any jurisdiction where the offer or sale is not permitted.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333-162475</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E8112D"/>
        </w:rPr>
        <w:t>SUBJECT TO COMPLETION, DATED NOVEMBER 15, 2010</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220345</wp:posOffset>
            </wp:positionV>
            <wp:extent cx="1689735"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4,000,000 Common Units</w:t>
      </w:r>
    </w:p>
    <w:p>
      <w:pPr>
        <w:spacing w:after="0" w:line="33"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Representing Limited Partner Interests</w:t>
      </w:r>
    </w:p>
    <w:p>
      <w:pPr>
        <w:spacing w:after="0" w:line="17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are selling 4,000,000 of our common units in this offering. Our common units are listed on the New York Stock Exchange under the symbol “PAA.” The last reported sale price of our common units on the New York Stock Exchange on November 12, 2010 was $63.92 per common unit.</w:t>
      </w:r>
    </w:p>
    <w:p>
      <w:pPr>
        <w:spacing w:after="0" w:line="141" w:lineRule="exact"/>
        <w:rPr>
          <w:sz w:val="20"/>
          <w:szCs w:val="20"/>
          <w:color w:val="auto"/>
        </w:rPr>
      </w:pPr>
    </w:p>
    <w:p>
      <w:pPr>
        <w:ind w:left="700" w:right="660" w:firstLine="496"/>
        <w:spacing w:after="0" w:line="256" w:lineRule="auto"/>
        <w:rPr>
          <w:sz w:val="20"/>
          <w:szCs w:val="20"/>
          <w:color w:val="auto"/>
        </w:rPr>
      </w:pPr>
      <w:r>
        <w:rPr>
          <w:rFonts w:ascii="Arial" w:cs="Arial" w:eastAsia="Arial" w:hAnsi="Arial"/>
          <w:sz w:val="22"/>
          <w:szCs w:val="22"/>
          <w:b w:val="1"/>
          <w:bCs w:val="1"/>
          <w:color w:val="auto"/>
        </w:rPr>
        <w:t>Investing in our common units involves risks. See “Risk Factors” on page S-8 of this prospectus supplement.</w:t>
      </w:r>
    </w:p>
    <w:p>
      <w:pPr>
        <w:spacing w:after="0" w:line="15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Per Common Unit</w:t>
            </w:r>
          </w:p>
        </w:tc>
        <w:tc>
          <w:tcPr>
            <w:tcW w:w="260" w:type="dxa"/>
            <w:vAlign w:val="bottom"/>
          </w:tcPr>
          <w:p>
            <w:pPr>
              <w:spacing w:after="0"/>
              <w:rPr>
                <w:sz w:val="14"/>
                <w:szCs w:val="14"/>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49"/>
        </w:trPr>
        <w:tc>
          <w:tcPr>
            <w:tcW w:w="5980" w:type="dxa"/>
            <w:vAlign w:val="bottom"/>
          </w:tcPr>
          <w:p>
            <w:pPr>
              <w:spacing w:after="0"/>
              <w:rPr>
                <w:sz w:val="20"/>
                <w:szCs w:val="20"/>
                <w:color w:val="auto"/>
              </w:rPr>
            </w:pPr>
            <w:r>
              <w:rPr>
                <w:rFonts w:ascii="Arial" w:cs="Arial" w:eastAsia="Arial" w:hAnsi="Arial"/>
                <w:sz w:val="18"/>
                <w:szCs w:val="18"/>
                <w:color w:val="auto"/>
              </w:rPr>
              <w:t>Public Offering Price</w:t>
            </w:r>
          </w:p>
        </w:tc>
        <w:tc>
          <w:tcPr>
            <w:tcW w:w="250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250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Proceeds, before expenses, to Plains All American Pipeline, L.P.</w:t>
            </w:r>
          </w:p>
        </w:tc>
        <w:tc>
          <w:tcPr>
            <w:tcW w:w="250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r>
      <w:tr>
        <w:trPr>
          <w:trHeight w:val="405"/>
        </w:trPr>
        <w:tc>
          <w:tcPr>
            <w:tcW w:w="5980" w:type="dxa"/>
            <w:vAlign w:val="bottom"/>
          </w:tcPr>
          <w:p>
            <w:pPr>
              <w:ind w:left="380"/>
              <w:spacing w:after="0"/>
              <w:rPr>
                <w:sz w:val="20"/>
                <w:szCs w:val="20"/>
                <w:color w:val="auto"/>
              </w:rPr>
            </w:pPr>
            <w:r>
              <w:rPr>
                <w:rFonts w:ascii="Arial" w:cs="Arial" w:eastAsia="Arial" w:hAnsi="Arial"/>
                <w:sz w:val="18"/>
                <w:szCs w:val="18"/>
                <w:color w:val="auto"/>
                <w:w w:val="91"/>
              </w:rPr>
              <w:t>Delivery of the common units is expected to be made on or about November</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 2010.</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71"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53" w:lineRule="exact"/>
        <w:rPr>
          <w:sz w:val="20"/>
          <w:szCs w:val="20"/>
          <w:color w:val="auto"/>
        </w:rPr>
      </w:pPr>
    </w:p>
    <w:p>
      <w:pPr>
        <w:jc w:val="center"/>
        <w:ind w:right="-739"/>
        <w:spacing w:after="0"/>
        <w:rPr>
          <w:sz w:val="20"/>
          <w:szCs w:val="20"/>
          <w:color w:val="auto"/>
        </w:rPr>
      </w:pPr>
      <w:r>
        <w:rPr>
          <w:rFonts w:ascii="Arial" w:cs="Arial" w:eastAsia="Arial" w:hAnsi="Arial"/>
          <w:sz w:val="17"/>
          <w:szCs w:val="17"/>
          <w:color w:val="auto"/>
        </w:rPr>
        <w:t>We have granted the underwriters a 30-day option to purchase up to 600,000 additional common units to cover over-allotments.</w:t>
      </w:r>
    </w:p>
    <w:p>
      <w:pPr>
        <w:spacing w:after="0" w:line="210"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620"/>
          </w:cols>
          <w:pgMar w:left="240" w:top="122" w:right="1039" w:bottom="1440" w:gutter="0" w:footer="0" w:header="0"/>
        </w:sectPr>
      </w:pPr>
    </w:p>
    <w:p>
      <w:pPr>
        <w:spacing w:after="0" w:line="113" w:lineRule="exact"/>
        <w:rPr>
          <w:sz w:val="20"/>
          <w:szCs w:val="20"/>
          <w:color w:val="auto"/>
        </w:rPr>
      </w:pPr>
    </w:p>
    <w:p>
      <w:pPr>
        <w:ind w:left="700"/>
        <w:spacing w:after="0"/>
        <w:rPr>
          <w:sz w:val="20"/>
          <w:szCs w:val="20"/>
          <w:color w:val="auto"/>
        </w:rPr>
      </w:pPr>
      <w:r>
        <w:rPr>
          <w:rFonts w:ascii="Arial" w:cs="Arial" w:eastAsia="Arial" w:hAnsi="Arial"/>
          <w:sz w:val="28"/>
          <w:szCs w:val="28"/>
          <w:b w:val="1"/>
          <w:bCs w:val="1"/>
          <w:color w:val="auto"/>
        </w:rPr>
        <w:t>Citi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2660" w:val="left"/>
        </w:tabs>
        <w:rPr>
          <w:sz w:val="20"/>
          <w:szCs w:val="20"/>
          <w:color w:val="auto"/>
        </w:rPr>
      </w:pPr>
      <w:r>
        <w:rPr>
          <w:rFonts w:ascii="Arial" w:cs="Arial" w:eastAsia="Arial" w:hAnsi="Arial"/>
          <w:sz w:val="29"/>
          <w:szCs w:val="29"/>
          <w:b w:val="1"/>
          <w:bCs w:val="1"/>
          <w:color w:val="auto"/>
        </w:rPr>
        <w:t>BofA Merrill Lynch</w:t>
      </w:r>
      <w:r>
        <w:rPr>
          <w:sz w:val="20"/>
          <w:szCs w:val="20"/>
          <w:color w:val="auto"/>
        </w:rPr>
        <w:tab/>
      </w: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Wells Fargo Securities</w:t>
      </w:r>
    </w:p>
    <w:p>
      <w:pPr>
        <w:spacing w:after="0" w:line="189" w:lineRule="exact"/>
        <w:rPr>
          <w:sz w:val="20"/>
          <w:szCs w:val="20"/>
          <w:color w:val="auto"/>
        </w:rPr>
      </w:pPr>
    </w:p>
    <w:p>
      <w:pPr>
        <w:sectPr>
          <w:pgSz w:w="11900" w:h="16838" w:orient="portrait"/>
          <w:cols w:equalWidth="0" w:num="3">
            <w:col w:w="2260" w:space="720"/>
            <w:col w:w="4660" w:space="220"/>
            <w:col w:w="2760"/>
          </w:cols>
          <w:pgMar w:left="240" w:top="122" w:right="1039" w:bottom="1440" w:gutter="0" w:footer="0" w:header="0"/>
          <w:type w:val="continuous"/>
        </w:sectPr>
      </w:pPr>
    </w:p>
    <w:p>
      <w:pPr>
        <w:ind w:left="4900"/>
        <w:spacing w:after="0"/>
        <w:rPr>
          <w:sz w:val="20"/>
          <w:szCs w:val="20"/>
          <w:color w:val="auto"/>
        </w:rPr>
      </w:pPr>
      <w:r>
        <w:rPr>
          <w:rFonts w:ascii="Arial" w:cs="Arial" w:eastAsia="Arial" w:hAnsi="Arial"/>
          <w:sz w:val="16"/>
          <w:szCs w:val="16"/>
          <w:i w:val="1"/>
          <w:iCs w:val="1"/>
          <w:color w:val="auto"/>
        </w:rPr>
        <w:t>Senior Co-Managers</w:t>
      </w:r>
    </w:p>
    <w:p>
      <w:pPr>
        <w:sectPr>
          <w:pgSz w:w="11900" w:h="16838" w:orient="portrait"/>
          <w:cols w:equalWidth="0" w:num="1">
            <w:col w:w="10620"/>
          </w:cols>
          <w:pgMar w:left="240" w:top="122" w:right="1039" w:bottom="1440" w:gutter="0" w:footer="0" w:header="0"/>
          <w:type w:val="continuous"/>
        </w:sectPr>
      </w:pPr>
    </w:p>
    <w:p>
      <w:pPr>
        <w:spacing w:after="0" w:line="145"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Barclays Capital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Raymond James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UBS Investment Bank</w:t>
      </w:r>
    </w:p>
    <w:p>
      <w:pPr>
        <w:spacing w:after="0" w:line="163" w:lineRule="exact"/>
        <w:rPr>
          <w:sz w:val="20"/>
          <w:szCs w:val="20"/>
          <w:color w:val="auto"/>
        </w:rPr>
      </w:pPr>
    </w:p>
    <w:p>
      <w:pPr>
        <w:sectPr>
          <w:pgSz w:w="11900" w:h="16838" w:orient="portrait"/>
          <w:cols w:equalWidth="0" w:num="4">
            <w:col w:w="3040" w:space="720"/>
            <w:col w:w="1540" w:space="720"/>
            <w:col w:w="1780" w:space="420"/>
            <w:col w:w="2400"/>
          </w:cols>
          <w:pgMar w:left="240" w:top="122" w:right="1039" w:bottom="1440" w:gutter="0" w:footer="0" w:header="0"/>
          <w:type w:val="continuous"/>
        </w:sectPr>
      </w:pPr>
    </w:p>
    <w:p>
      <w:pPr>
        <w:ind w:left="516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620"/>
          </w:cols>
          <w:pgMar w:left="240" w:top="122" w:right="1039" w:bottom="1440" w:gutter="0" w:footer="0" w:header="0"/>
          <w:type w:val="continuous"/>
        </w:sectPr>
      </w:pPr>
    </w:p>
    <w:p>
      <w:pPr>
        <w:spacing w:after="0" w:line="145"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auto"/>
        </w:rPr>
        <w:t>Morgan Keegan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RBC Capital Markets</w:t>
      </w:r>
    </w:p>
    <w:p>
      <w:pPr>
        <w:spacing w:after="0" w:line="200" w:lineRule="exact"/>
        <w:rPr>
          <w:sz w:val="20"/>
          <w:szCs w:val="20"/>
          <w:color w:val="auto"/>
        </w:rPr>
      </w:pPr>
    </w:p>
    <w:p>
      <w:pPr>
        <w:sectPr>
          <w:pgSz w:w="11900" w:h="16838" w:orient="portrait"/>
          <w:cols w:equalWidth="0" w:num="2">
            <w:col w:w="7540" w:space="720"/>
            <w:col w:w="2360"/>
          </w:cols>
          <w:pgMar w:left="240" w:top="122" w:right="1039" w:bottom="144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date of this prospectus supplement is November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Prospectus Supplement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Important Notice About Information in this Prospectus Supplement and the Accompanying Prospectus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7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0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8"/>
          </w:tcPr>
          <w:p>
            <w:pPr>
              <w:spacing w:after="0"/>
              <w:rPr>
                <w:sz w:val="17"/>
                <w:szCs w:val="17"/>
                <w:color w:val="auto"/>
              </w:rPr>
            </w:pPr>
          </w:p>
        </w:tc>
        <w:tc>
          <w:tcPr>
            <w:tcW w:w="6040" w:type="dxa"/>
            <w:vAlign w:val="bottom"/>
            <w:gridSpan w:val="1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Price Range of Common Units and Distributions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Capitalization</w:t>
              </w:r>
            </w:hyperlink>
          </w:p>
        </w:tc>
        <w:tc>
          <w:tcPr>
            <w:tcW w:w="2480" w:type="dxa"/>
            <w:vAlign w:val="bottom"/>
            <w:tcBorders>
              <w:top w:val="single" w:sz="8" w:color="0000EE"/>
            </w:tcBorders>
            <w:gridSpan w:val="12"/>
          </w:tcPr>
          <w:p>
            <w:pPr>
              <w:spacing w:after="0"/>
              <w:rPr>
                <w:sz w:val="17"/>
                <w:szCs w:val="17"/>
                <w:color w:val="auto"/>
              </w:rPr>
            </w:pPr>
          </w:p>
        </w:tc>
        <w:tc>
          <w:tcPr>
            <w:tcW w:w="496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U.S. Federal Income Tax Consequences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3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Underwriting (Conflicts of Interest)</w:t>
              </w:r>
            </w:hyperlink>
          </w:p>
        </w:tc>
        <w:tc>
          <w:tcPr>
            <w:tcW w:w="494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Legal Matters</w:t>
              </w:r>
            </w:hyperlink>
          </w:p>
        </w:tc>
        <w:tc>
          <w:tcPr>
            <w:tcW w:w="1560" w:type="dxa"/>
            <w:vAlign w:val="bottom"/>
            <w:tcBorders>
              <w:top w:val="single" w:sz="8" w:color="0000EE"/>
            </w:tcBorders>
            <w:gridSpan w:val="9"/>
          </w:tcPr>
          <w:p>
            <w:pPr>
              <w:spacing w:after="0"/>
              <w:rPr>
                <w:sz w:val="17"/>
                <w:szCs w:val="17"/>
                <w:color w:val="auto"/>
              </w:rPr>
            </w:pPr>
          </w:p>
        </w:tc>
        <w:tc>
          <w:tcPr>
            <w:tcW w:w="590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4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412"/>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2"/>
          </w:tcPr>
          <w:p>
            <w:pPr>
              <w:ind w:left="1020"/>
              <w:spacing w:after="0"/>
              <w:rPr>
                <w:sz w:val="20"/>
                <w:szCs w:val="20"/>
                <w:color w:val="auto"/>
              </w:rPr>
            </w:pPr>
            <w:r>
              <w:rPr>
                <w:rFonts w:ascii="Arial" w:cs="Arial" w:eastAsia="Arial" w:hAnsi="Arial"/>
                <w:sz w:val="18"/>
                <w:szCs w:val="18"/>
                <w:b w:val="1"/>
                <w:bCs w:val="1"/>
                <w:color w:val="auto"/>
              </w:rPr>
              <w:t>Prospectus</w:t>
            </w:r>
          </w:p>
        </w:tc>
        <w:tc>
          <w:tcPr>
            <w:tcW w:w="1400" w:type="dxa"/>
            <w:vAlign w:val="bottom"/>
          </w:tcPr>
          <w:p>
            <w:pPr>
              <w:spacing w:after="0"/>
              <w:rPr>
                <w:sz w:val="24"/>
                <w:szCs w:val="24"/>
                <w:color w:val="auto"/>
              </w:rPr>
            </w:pPr>
          </w:p>
        </w:tc>
      </w:tr>
      <w:tr>
        <w:trPr>
          <w:trHeight w:val="257"/>
        </w:trPr>
        <w:tc>
          <w:tcPr>
            <w:tcW w:w="1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About This Prospectus</w:t>
            </w:r>
          </w:p>
        </w:tc>
        <w:tc>
          <w:tcPr>
            <w:tcW w:w="6820" w:type="dxa"/>
            <w:vAlign w:val="bottom"/>
            <w:gridSpan w:val="13"/>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8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560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Forward-Looking Statements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Who We Are</w:t>
            </w:r>
          </w:p>
        </w:tc>
        <w:tc>
          <w:tcPr>
            <w:tcW w:w="1160" w:type="dxa"/>
            <w:vAlign w:val="bottom"/>
            <w:tcBorders>
              <w:top w:val="single" w:sz="8" w:color="0000EE"/>
            </w:tcBorders>
            <w:gridSpan w:val="6"/>
          </w:tcPr>
          <w:p>
            <w:pPr>
              <w:spacing w:after="0"/>
              <w:rPr>
                <w:sz w:val="17"/>
                <w:szCs w:val="17"/>
                <w:color w:val="auto"/>
              </w:rPr>
            </w:pPr>
          </w:p>
        </w:tc>
        <w:tc>
          <w:tcPr>
            <w:tcW w:w="6360" w:type="dxa"/>
            <w:vAlign w:val="bottom"/>
            <w:gridSpan w:val="1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Risk Factors</w:t>
            </w:r>
          </w:p>
        </w:tc>
        <w:tc>
          <w:tcPr>
            <w:tcW w:w="7560" w:type="dxa"/>
            <w:vAlign w:val="bottom"/>
            <w:gridSpan w:val="1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Use of Proceeds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Ratio of Earnings to Fixed Charges</w:t>
            </w:r>
          </w:p>
        </w:tc>
        <w:tc>
          <w:tcPr>
            <w:tcW w:w="592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780" w:type="dxa"/>
            <w:vAlign w:val="bottom"/>
            <w:gridSpan w:val="8"/>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Our Common Units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Cash Distribution Policy</w:t>
            </w:r>
          </w:p>
        </w:tc>
        <w:tc>
          <w:tcPr>
            <w:tcW w:w="720" w:type="dxa"/>
            <w:vAlign w:val="bottom"/>
            <w:tcBorders>
              <w:top w:val="single" w:sz="8" w:color="0000EE"/>
            </w:tcBorders>
            <w:gridSpan w:val="3"/>
          </w:tcPr>
          <w:p>
            <w:pPr>
              <w:spacing w:after="0"/>
              <w:rPr>
                <w:sz w:val="17"/>
                <w:szCs w:val="17"/>
                <w:color w:val="auto"/>
              </w:rPr>
            </w:pPr>
          </w:p>
        </w:tc>
        <w:tc>
          <w:tcPr>
            <w:tcW w:w="5960" w:type="dxa"/>
            <w:vAlign w:val="bottom"/>
            <w:gridSpan w:val="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Our Partnership Agreement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0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Material Income Tax Considerations</w:t>
            </w:r>
          </w:p>
        </w:tc>
        <w:tc>
          <w:tcPr>
            <w:tcW w:w="540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Legal Matters</w:t>
            </w:r>
          </w:p>
        </w:tc>
        <w:tc>
          <w:tcPr>
            <w:tcW w:w="1620" w:type="dxa"/>
            <w:vAlign w:val="bottom"/>
            <w:tcBorders>
              <w:top w:val="single" w:sz="8" w:color="0000EE"/>
            </w:tcBorders>
            <w:gridSpan w:val="10"/>
          </w:tcPr>
          <w:p>
            <w:pPr>
              <w:spacing w:after="0"/>
              <w:rPr>
                <w:sz w:val="17"/>
                <w:szCs w:val="17"/>
                <w:color w:val="auto"/>
              </w:rPr>
            </w:pPr>
          </w:p>
        </w:tc>
        <w:tc>
          <w:tcPr>
            <w:tcW w:w="584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460" w:type="dxa"/>
            <w:vAlign w:val="bottom"/>
            <w:gridSpan w:val="20"/>
          </w:tcPr>
          <w:p>
            <w:pPr>
              <w:spacing w:after="0" w:line="196" w:lineRule="exact"/>
              <w:rPr>
                <w:sz w:val="20"/>
                <w:szCs w:val="20"/>
                <w:color w:val="auto"/>
              </w:rPr>
            </w:pPr>
            <w:r>
              <w:rPr>
                <w:rFonts w:ascii="Arial" w:cs="Arial" w:eastAsia="Arial" w:hAnsi="Arial"/>
                <w:sz w:val="18"/>
                <w:szCs w:val="18"/>
                <w:color w:val="0000EE"/>
              </w:rPr>
              <w:t>Experts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PROSPECTUS SUPPLEMENT AND THE ACCOMPANYING PROSPECTUS</w:t>
      </w:r>
    </w:p>
    <w:p>
      <w:pPr>
        <w:spacing w:after="0" w:line="112"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7"/>
          <w:szCs w:val="17"/>
          <w:b w:val="1"/>
          <w:bCs w:val="1"/>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w:t>
      </w:r>
    </w:p>
    <w:p>
      <w:pPr>
        <w:spacing w:after="0" w:line="64" w:lineRule="exact"/>
        <w:rPr>
          <w:sz w:val="20"/>
          <w:szCs w:val="20"/>
          <w:color w:val="auto"/>
        </w:rPr>
      </w:pPr>
    </w:p>
    <w:p>
      <w:pPr>
        <w:ind w:left="700" w:right="120" w:firstLine="397"/>
        <w:spacing w:after="0" w:line="282"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base prospectus, you should rely on the information in the prospectus supplement.</w:t>
      </w:r>
    </w:p>
    <w:p>
      <w:pPr>
        <w:spacing w:after="0" w:line="67" w:lineRule="exact"/>
        <w:rPr>
          <w:sz w:val="20"/>
          <w:szCs w:val="20"/>
          <w:color w:val="auto"/>
        </w:rPr>
      </w:pPr>
    </w:p>
    <w:p>
      <w:pPr>
        <w:ind w:left="700" w:right="100" w:firstLine="397"/>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or any free writing prospectus relating to this offering of common units. Neither we nor the underwriters have authorized anyone to provide you with different information. We are not making an offer of the common units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w:t>
      </w:r>
    </w:p>
    <w:p>
      <w:pPr>
        <w:spacing w:after="0" w:line="60" w:lineRule="exact"/>
        <w:rPr>
          <w:sz w:val="20"/>
          <w:szCs w:val="20"/>
          <w:color w:val="auto"/>
        </w:rPr>
      </w:pPr>
    </w:p>
    <w:p>
      <w:pPr>
        <w:jc w:val="both"/>
        <w:ind w:left="700" w:right="180" w:firstLine="397"/>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29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95" w:lineRule="exact"/>
        <w:rPr>
          <w:sz w:val="20"/>
          <w:szCs w:val="20"/>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hanging="202"/>
        <w:spacing w:after="0" w:line="286"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300" w:right="20" w:hanging="202"/>
        <w:spacing w:after="0" w:line="342"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S-8 of this prospectus supplement and in Item 1A. “Risk Factors” in our Annual Report on Form 10-K for the year ended December 31, 2009 (File No. 001-14569), which is incorporated in this prospectus supplement by reference. Except as required by applicable securities laws, we do not intend to update these forward-looking statements and information.</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35" w:lineRule="exact"/>
        <w:rPr>
          <w:sz w:val="20"/>
          <w:szCs w:val="20"/>
          <w:color w:val="auto"/>
        </w:rPr>
      </w:pPr>
    </w:p>
    <w:p>
      <w:pPr>
        <w:ind w:left="920" w:right="100" w:firstLine="397"/>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common units. Please read “Risk Factors” beginning on page S-8 of this prospectus supplement and in our Annual Report on Form 10-K for the year ended December 31, 2009, which is incorporated into this prospectus supplement by reference, for information regarding risks you should consider before investing in our common units.</w:t>
      </w:r>
    </w:p>
    <w:p>
      <w:pPr>
        <w:spacing w:after="0" w:line="70" w:lineRule="exact"/>
        <w:rPr>
          <w:sz w:val="20"/>
          <w:szCs w:val="20"/>
          <w:color w:val="auto"/>
        </w:rPr>
      </w:pPr>
    </w:p>
    <w:p>
      <w:pPr>
        <w:ind w:left="920" w:right="200" w:firstLine="397"/>
        <w:spacing w:after="0" w:line="277" w:lineRule="auto"/>
        <w:rPr>
          <w:sz w:val="20"/>
          <w:szCs w:val="20"/>
          <w:color w:val="auto"/>
        </w:rPr>
      </w:pPr>
      <w:r>
        <w:rPr>
          <w:rFonts w:ascii="Arial" w:cs="Arial" w:eastAsia="Arial" w:hAnsi="Arial"/>
          <w:sz w:val="18"/>
          <w:szCs w:val="18"/>
          <w:i w:val="1"/>
          <w:iCs w:val="1"/>
          <w:color w:val="auto"/>
        </w:rPr>
        <w:t>Except as the context otherwise indicates, the information in this prospectus supplement assumes no exercise of the underwriters’ option to purchase additional common units.</w:t>
      </w:r>
    </w:p>
    <w:p>
      <w:pPr>
        <w:spacing w:after="0" w:line="76" w:lineRule="exact"/>
        <w:rPr>
          <w:sz w:val="20"/>
          <w:szCs w:val="20"/>
          <w:color w:val="auto"/>
        </w:rPr>
      </w:pPr>
    </w:p>
    <w:p>
      <w:pPr>
        <w:jc w:val="both"/>
        <w:ind w:left="920" w:firstLine="397"/>
        <w:spacing w:after="0" w:line="286" w:lineRule="auto"/>
        <w:rPr>
          <w:sz w:val="20"/>
          <w:szCs w:val="20"/>
          <w:color w:val="auto"/>
        </w:rPr>
      </w:pPr>
      <w:r>
        <w:rPr>
          <w:rFonts w:ascii="Arial" w:cs="Arial" w:eastAsia="Arial" w:hAnsi="Arial"/>
          <w:sz w:val="17"/>
          <w:szCs w:val="17"/>
          <w:i w:val="1"/>
          <w:iCs w:val="1"/>
          <w:color w:val="auto"/>
        </w:rPr>
        <w:t>For purposes of this prospectus supplement and the accompanying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28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Plains All American Pipeline, L.P.</w:t>
      </w:r>
    </w:p>
    <w:p>
      <w:pPr>
        <w:spacing w:after="0" w:line="135" w:lineRule="exact"/>
        <w:rPr>
          <w:sz w:val="20"/>
          <w:szCs w:val="20"/>
          <w:color w:val="auto"/>
        </w:rPr>
      </w:pPr>
    </w:p>
    <w:p>
      <w:pPr>
        <w:ind w:left="920" w:right="40" w:firstLine="397"/>
        <w:spacing w:after="0" w:line="290"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through our direct and indirect ownership of PAA Natural Gas Storage, L. P. (“PNG”), which is a fee-based, growth-oriented Delaware limited partnership engaged in the ownership, acquisition, development, operation and commercial management of natural gas storage facilities. We own PNG’s general partner, PNGS GP LLC (“PNGS GP”), which holds a 2.0% general partner interest in PNG and all of its incentive distributions rights. We also own an approximate 74.8% limited partner interest in PNG.</w:t>
      </w:r>
    </w:p>
    <w:p>
      <w:pPr>
        <w:spacing w:after="0" w:line="72" w:lineRule="exact"/>
        <w:rPr>
          <w:sz w:val="20"/>
          <w:szCs w:val="20"/>
          <w:color w:val="auto"/>
        </w:rPr>
      </w:pPr>
    </w:p>
    <w:p>
      <w:pPr>
        <w:ind w:left="920" w:right="260" w:firstLine="397"/>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(i) transportation, (ii) facilities and (iii) supply and logistics.</w:t>
      </w:r>
    </w:p>
    <w:p>
      <w:pPr>
        <w:spacing w:after="0" w:line="92" w:lineRule="exact"/>
        <w:rPr>
          <w:sz w:val="20"/>
          <w:szCs w:val="20"/>
          <w:color w:val="auto"/>
        </w:rPr>
      </w:pPr>
    </w:p>
    <w:p>
      <w:pPr>
        <w:ind w:left="920" w:firstLine="397"/>
        <w:spacing w:after="0" w:line="302" w:lineRule="auto"/>
        <w:rPr>
          <w:sz w:val="20"/>
          <w:szCs w:val="20"/>
          <w:color w:val="auto"/>
        </w:rPr>
      </w:pPr>
      <w:r>
        <w:rPr>
          <w:rFonts w:ascii="Arial" w:cs="Arial" w:eastAsia="Arial" w:hAnsi="Arial"/>
          <w:sz w:val="16"/>
          <w:szCs w:val="16"/>
          <w:i w:val="1"/>
          <w:iCs w:val="1"/>
          <w:color w:val="auto"/>
        </w:rPr>
        <w:t xml:space="preserve">Transportation Segment. </w:t>
      </w:r>
      <w:r>
        <w:rPr>
          <w:rFonts w:ascii="Arial" w:cs="Arial" w:eastAsia="Arial" w:hAnsi="Arial"/>
          <w:sz w:val="16"/>
          <w:szCs w:val="16"/>
          <w:color w:val="auto"/>
        </w:rPr>
        <w:t>Our transportation segment operations generally consist of fee-based activities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transporting crude oil and refined products on pipelines, gathering systems, trucks and barges. We generate revenue through a combination of tariffs, third-party leases of pipeline capacity and transportation fees. As of December 31, 2009, we employed a variety of owned or leased long-term physical assets throughout the United States and Canada in this segment, including approximately:</w:t>
      </w:r>
    </w:p>
    <w:p>
      <w:pPr>
        <w:spacing w:after="0" w:line="60" w:lineRule="exact"/>
        <w:rPr>
          <w:sz w:val="20"/>
          <w:szCs w:val="20"/>
          <w:color w:val="auto"/>
        </w:rPr>
      </w:pPr>
    </w:p>
    <w:p>
      <w:pPr>
        <w:ind w:left="1540" w:hanging="213"/>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16,000 miles of active crude oil and refined products pipelines and gathering systems;</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 million barrels of active, above-ground tank capacity used primarily to facilitate pipeline throughput;</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84 trucks and 353 trailers; and</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68 transport and storage barges and 39 transport tugs through our interest in Settoon Towing, LLC (“Settoon Towing”).</w:t>
      </w:r>
    </w:p>
    <w:p>
      <w:pPr>
        <w:spacing w:after="0" w:line="142" w:lineRule="exact"/>
        <w:rPr>
          <w:sz w:val="20"/>
          <w:szCs w:val="20"/>
          <w:color w:val="auto"/>
        </w:rPr>
      </w:pPr>
    </w:p>
    <w:p>
      <w:pPr>
        <w:ind w:left="920" w:right="40" w:firstLine="397"/>
        <w:spacing w:after="0" w:line="277" w:lineRule="auto"/>
        <w:rPr>
          <w:sz w:val="20"/>
          <w:szCs w:val="20"/>
          <w:color w:val="auto"/>
        </w:rPr>
      </w:pPr>
      <w:r>
        <w:rPr>
          <w:rFonts w:ascii="Arial" w:cs="Arial" w:eastAsia="Arial" w:hAnsi="Arial"/>
          <w:sz w:val="18"/>
          <w:szCs w:val="18"/>
          <w:color w:val="auto"/>
        </w:rPr>
        <w:t>We also include in this segment our equity earnings from our investments in Butte Pipe Line Company, Frontier Pipeline Company, Settoon Towing and White Cliffs Pipeline, L.L.C., in which we own non-controlling interests.</w:t>
      </w:r>
    </w:p>
    <w:p>
      <w:pPr>
        <w:spacing w:after="0" w:line="76" w:lineRule="exact"/>
        <w:rPr>
          <w:sz w:val="20"/>
          <w:szCs w:val="20"/>
          <w:color w:val="auto"/>
        </w:rPr>
      </w:pPr>
    </w:p>
    <w:p>
      <w:pPr>
        <w:ind w:left="920" w:right="280" w:firstLine="397"/>
        <w:spacing w:after="0" w:line="277" w:lineRule="auto"/>
        <w:rPr>
          <w:sz w:val="20"/>
          <w:szCs w:val="20"/>
          <w:color w:val="auto"/>
        </w:rPr>
      </w:pPr>
      <w:r>
        <w:rPr>
          <w:rFonts w:ascii="Arial" w:cs="Arial" w:eastAsia="Arial" w:hAnsi="Arial"/>
          <w:sz w:val="18"/>
          <w:szCs w:val="18"/>
          <w:i w:val="1"/>
          <w:iCs w:val="1"/>
          <w:color w:val="auto"/>
        </w:rPr>
        <w:t xml:space="preserve">Facilities Segment.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LPG and natural</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gas, as well as LPG fractionation and isomerization services. We generate revenue through a combination of month-to-month and multi-year leases and processing arrangements. Revenues generated in this segment include (i) storage fees that are generated when we lease storage capacity, (ii) terminalling fees, or throughput fees, that are generated when we receive crude oil, refined products, LPG or natural gas from one connecting pipeline and redeliver the applicable product to another connecting carrier, (iii) hub service fees for the movement of natural gas across our header systems and (iv) fees from LPG fractionation and isomerization services. As of December 31, 2009, we owned, operated and employed a variety of long-term physical assets throughout the United States and Canada in this segment, including:</w:t>
      </w:r>
    </w:p>
    <w:p>
      <w:pPr>
        <w:spacing w:after="0" w:line="95" w:lineRule="exact"/>
        <w:rPr>
          <w:sz w:val="20"/>
          <w:szCs w:val="20"/>
          <w:color w:val="auto"/>
        </w:rPr>
      </w:pPr>
    </w:p>
    <w:p>
      <w:pPr>
        <w:ind w:left="1540" w:hanging="213"/>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approximately 51 million barrels of crude oil and refined products capacity primarily at our terminalling and storage locations;</w:t>
      </w:r>
    </w:p>
    <w:p>
      <w:pPr>
        <w:spacing w:after="0" w:line="140" w:lineRule="exact"/>
        <w:rPr>
          <w:rFonts w:ascii="Arial" w:cs="Arial" w:eastAsia="Arial" w:hAnsi="Arial"/>
          <w:sz w:val="16"/>
          <w:szCs w:val="16"/>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 million barrels of LPG storage capacity;</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40 billion cubic feet (“Bcf”) of natural gas storage capacity;</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9 Bcf of base gas in storage facilities owned by us; and</w:t>
      </w:r>
    </w:p>
    <w:p>
      <w:pPr>
        <w:spacing w:after="0" w:line="117" w:lineRule="exact"/>
        <w:rPr>
          <w:rFonts w:ascii="Arial" w:cs="Arial" w:eastAsia="Arial" w:hAnsi="Arial"/>
          <w:sz w:val="18"/>
          <w:szCs w:val="18"/>
          <w:color w:val="auto"/>
        </w:rPr>
      </w:pPr>
    </w:p>
    <w:p>
      <w:pPr>
        <w:ind w:left="1540" w:right="8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fractionation plant in Canada with a processing capacity of 4,400 barrels per day, and a fractionation and isomerization facility in California with an aggregate processing capacity of 22,500 barrels per day.</w:t>
      </w:r>
    </w:p>
    <w:p>
      <w:pPr>
        <w:spacing w:after="0" w:line="76" w:lineRule="exact"/>
        <w:rPr>
          <w:sz w:val="20"/>
          <w:szCs w:val="20"/>
          <w:color w:val="auto"/>
        </w:rPr>
      </w:pPr>
    </w:p>
    <w:p>
      <w:pPr>
        <w:ind w:left="920" w:right="60" w:firstLine="397"/>
        <w:spacing w:after="0" w:line="273" w:lineRule="auto"/>
        <w:rPr>
          <w:sz w:val="20"/>
          <w:szCs w:val="20"/>
          <w:color w:val="auto"/>
        </w:rPr>
      </w:pPr>
      <w:r>
        <w:rPr>
          <w:rFonts w:ascii="Arial" w:cs="Arial" w:eastAsia="Arial" w:hAnsi="Arial"/>
          <w:sz w:val="17"/>
          <w:szCs w:val="17"/>
          <w:color w:val="auto"/>
        </w:rPr>
        <w:t>Our facilities segment includes our investment in PNG. PNG currently owns and operates natural gas storage capacity at its Bluewater facility in Michigan and Pine Prairie facility in South Louisiana. PNG’s Bluewater facility is a depleted reservoir natural gas storage complex located approximately 50 miles from Detroit in St. Clair County, Michigan. As of September 30, 2010, Bluewater had a total working gas storage capacity of approximately 26 Bcf in two depleted reservoirs. PNG’s Pine Prairie facility is a recently constructed, high-deliverability salt cavern natural gas storage complex located in Evangeline Parish, Louisiana. As of September 30, 2010, Pine Prairie had a total working gas storage capacity of approximately 24 Bcf in three caverns.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i w:val="1"/>
          <w:iCs w:val="1"/>
          <w:color w:val="auto"/>
        </w:rPr>
        <w:t xml:space="preserve">Supply and Logistics Segment. </w:t>
      </w:r>
      <w:r>
        <w:rPr>
          <w:rFonts w:ascii="Arial" w:cs="Arial" w:eastAsia="Arial" w:hAnsi="Arial"/>
          <w:sz w:val="16"/>
          <w:szCs w:val="16"/>
          <w:color w:val="auto"/>
        </w:rPr>
        <w:t>Our supply and logistics segment operations generally consist of the following merchant activities:</w:t>
      </w:r>
    </w:p>
    <w:p>
      <w:pPr>
        <w:spacing w:after="0" w:line="154" w:lineRule="exact"/>
        <w:rPr>
          <w:sz w:val="20"/>
          <w:szCs w:val="20"/>
          <w:color w:val="auto"/>
        </w:rPr>
      </w:pPr>
    </w:p>
    <w:p>
      <w:pPr>
        <w:ind w:left="1540" w:right="40" w:hanging="21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and the bulk purchase of crude oil at pipeline and terminal facilities, as well as the purchase of foreign cargoes at their load port and various other locations in transit;</w:t>
      </w:r>
    </w:p>
    <w:p>
      <w:pPr>
        <w:spacing w:after="0" w:line="62" w:lineRule="exact"/>
        <w:rPr>
          <w:rFonts w:ascii="Arial" w:cs="Arial" w:eastAsia="Arial" w:hAnsi="Arial"/>
          <w:sz w:val="18"/>
          <w:szCs w:val="18"/>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LPG;</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of refined products and LPG from producers, refiners and other marketers;</w:t>
      </w:r>
    </w:p>
    <w:p>
      <w:pPr>
        <w:spacing w:after="0" w:line="117" w:lineRule="exact"/>
        <w:rPr>
          <w:rFonts w:ascii="Arial" w:cs="Arial" w:eastAsia="Arial" w:hAnsi="Arial"/>
          <w:sz w:val="18"/>
          <w:szCs w:val="18"/>
          <w:color w:val="auto"/>
        </w:rPr>
      </w:pPr>
    </w:p>
    <w:p>
      <w:pPr>
        <w:ind w:left="1540" w:right="240" w:hanging="21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resale or exchange of crude oil, refined products and LPG at various points along the distribution chain to refiners or other resellers to maximize profits; and</w:t>
      </w:r>
    </w:p>
    <w:p>
      <w:pPr>
        <w:spacing w:after="0" w:line="62" w:lineRule="exact"/>
        <w:rPr>
          <w:rFonts w:ascii="Arial" w:cs="Arial" w:eastAsia="Arial" w:hAnsi="Arial"/>
          <w:sz w:val="18"/>
          <w:szCs w:val="18"/>
          <w:color w:val="auto"/>
        </w:rPr>
      </w:pPr>
    </w:p>
    <w:p>
      <w:pPr>
        <w:ind w:left="1540" w:right="320" w:hanging="21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transportation of crude oil, refined products and LPG on trucks, barges, railcars, pipelines and ocean-going vessels to our terminals and third-party terminals.</w:t>
      </w:r>
    </w:p>
    <w:p>
      <w:pPr>
        <w:spacing w:after="0" w:line="76" w:lineRule="exact"/>
        <w:rPr>
          <w:sz w:val="20"/>
          <w:szCs w:val="20"/>
          <w:color w:val="auto"/>
        </w:rPr>
      </w:pPr>
    </w:p>
    <w:p>
      <w:pPr>
        <w:ind w:left="920" w:firstLine="397"/>
        <w:spacing w:after="0" w:line="293" w:lineRule="auto"/>
        <w:rPr>
          <w:sz w:val="20"/>
          <w:szCs w:val="20"/>
          <w:color w:val="auto"/>
        </w:rPr>
      </w:pPr>
      <w:r>
        <w:rPr>
          <w:rFonts w:ascii="Arial" w:cs="Arial" w:eastAsia="Arial" w:hAnsi="Arial"/>
          <w:sz w:val="16"/>
          <w:szCs w:val="16"/>
          <w:color w:val="auto"/>
        </w:rPr>
        <w:t>We believe that the majority of activities that are carried out within our supply and logistics segment are counter-cyclically balanced to produce a stable baseline of results in a variety of market conditions, while at the same time providing upside potential associated with opportunities inherent in volatile market conditions. These activities utilize storage facilities at major interchange and terminalling locations and various hedging strategies to provide a counter-cyclical balance. 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70" w:lineRule="exact"/>
        <w:rPr>
          <w:sz w:val="20"/>
          <w:szCs w:val="20"/>
          <w:color w:val="auto"/>
        </w:rPr>
      </w:pPr>
    </w:p>
    <w:p>
      <w:pPr>
        <w:ind w:left="920" w:right="160" w:firstLine="397"/>
        <w:spacing w:after="0" w:line="259" w:lineRule="auto"/>
        <w:rPr>
          <w:sz w:val="20"/>
          <w:szCs w:val="20"/>
          <w:color w:val="auto"/>
        </w:rPr>
      </w:pPr>
      <w:r>
        <w:rPr>
          <w:rFonts w:ascii="Arial" w:cs="Arial" w:eastAsia="Arial" w:hAnsi="Arial"/>
          <w:sz w:val="18"/>
          <w:szCs w:val="18"/>
          <w:color w:val="auto"/>
        </w:rPr>
        <w:t>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futures contracts or other derivative products for the purpose of speculating on outright commodity price changes.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120" w:firstLine="397"/>
        <w:spacing w:after="0" w:line="302" w:lineRule="auto"/>
        <w:rPr>
          <w:sz w:val="20"/>
          <w:szCs w:val="20"/>
          <w:color w:val="auto"/>
        </w:rPr>
      </w:pPr>
      <w:r>
        <w:rPr>
          <w:rFonts w:ascii="Arial" w:cs="Arial" w:eastAsia="Arial" w:hAnsi="Arial"/>
          <w:sz w:val="16"/>
          <w:szCs w:val="16"/>
          <w:color w:val="auto"/>
        </w:rPr>
        <w:t>In addition to substantial working inventories associated with its merchant activities, as of December 31, 2009, our supply and logistics segment also owned significant volumes of crude oil and LPG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spacing w:after="0" w:line="60" w:lineRule="exact"/>
        <w:rPr>
          <w:sz w:val="20"/>
          <w:szCs w:val="20"/>
          <w:color w:val="auto"/>
        </w:rPr>
      </w:pPr>
    </w:p>
    <w:p>
      <w:pPr>
        <w:ind w:left="1540" w:hanging="213"/>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million barrels of crude oil and LPG linefill in pipelines owned by us;</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 million barrels of crude oil and LPG linefill in pipelines owned by third parties and other long-term inventory;</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522 trucks and 630 trailers; and</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1,473 railcars.</w:t>
      </w:r>
    </w:p>
    <w:p>
      <w:pPr>
        <w:spacing w:after="0" w:line="131" w:lineRule="exact"/>
        <w:rPr>
          <w:sz w:val="20"/>
          <w:szCs w:val="20"/>
          <w:color w:val="auto"/>
        </w:rPr>
      </w:pPr>
    </w:p>
    <w:p>
      <w:pPr>
        <w:ind w:left="920" w:right="40" w:firstLine="397"/>
        <w:spacing w:after="0" w:line="297" w:lineRule="auto"/>
        <w:rPr>
          <w:sz w:val="20"/>
          <w:szCs w:val="20"/>
          <w:color w:val="auto"/>
        </w:rPr>
      </w:pPr>
      <w:r>
        <w:rPr>
          <w:rFonts w:ascii="Arial" w:cs="Arial" w:eastAsia="Arial" w:hAnsi="Arial"/>
          <w:sz w:val="16"/>
          <w:szCs w:val="16"/>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w:t>
      </w:r>
    </w:p>
    <w:p>
      <w:pPr>
        <w:spacing w:after="0" w:line="64" w:lineRule="exact"/>
        <w:rPr>
          <w:sz w:val="20"/>
          <w:szCs w:val="20"/>
          <w:color w:val="auto"/>
        </w:rPr>
      </w:pPr>
    </w:p>
    <w:p>
      <w:pPr>
        <w:ind w:left="920" w:right="240" w:firstLine="397"/>
        <w:spacing w:after="0" w:line="308" w:lineRule="auto"/>
        <w:rPr>
          <w:sz w:val="20"/>
          <w:szCs w:val="20"/>
          <w:color w:val="auto"/>
        </w:rPr>
      </w:pPr>
      <w:r>
        <w:rPr>
          <w:rFonts w:ascii="Arial" w:cs="Arial" w:eastAsia="Arial" w:hAnsi="Arial"/>
          <w:sz w:val="17"/>
          <w:szCs w:val="17"/>
          <w:color w:val="auto"/>
        </w:rPr>
        <w:t>Certain activities in our supply and logistics segment are affected by seasonal aspects, primarily with respect to LPG supply and logistics activities, which generally have higher activity levels during the first and fourth quarters of each year.</w:t>
      </w:r>
    </w:p>
    <w:p>
      <w:pPr>
        <w:spacing w:after="0" w:line="26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Business strategy</w:t>
      </w:r>
    </w:p>
    <w:p>
      <w:pPr>
        <w:spacing w:after="0" w:line="135" w:lineRule="exact"/>
        <w:rPr>
          <w:sz w:val="20"/>
          <w:szCs w:val="20"/>
          <w:color w:val="auto"/>
        </w:rPr>
      </w:pPr>
    </w:p>
    <w:p>
      <w:pPr>
        <w:ind w:left="920" w:right="20" w:firstLine="397"/>
        <w:spacing w:after="0" w:line="302" w:lineRule="auto"/>
        <w:rPr>
          <w:sz w:val="20"/>
          <w:szCs w:val="20"/>
          <w:color w:val="auto"/>
        </w:rPr>
      </w:pPr>
      <w:r>
        <w:rPr>
          <w:rFonts w:ascii="Arial" w:cs="Arial" w:eastAsia="Arial" w:hAnsi="Arial"/>
          <w:sz w:val="16"/>
          <w:szCs w:val="16"/>
          <w:color w:val="auto"/>
        </w:rPr>
        <w:t>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in the United States and Canada by combining the strategic location and capabilities of our transportation, terminalling and storage assets with our extensive supply, logistics and distribution expertise.</w:t>
      </w:r>
    </w:p>
    <w:p>
      <w:pPr>
        <w:spacing w:after="0" w:line="60" w:lineRule="exact"/>
        <w:rPr>
          <w:sz w:val="20"/>
          <w:szCs w:val="20"/>
          <w:color w:val="auto"/>
        </w:rPr>
      </w:pPr>
    </w:p>
    <w:p>
      <w:pPr>
        <w:ind w:left="920" w:right="180" w:firstLine="397"/>
        <w:spacing w:after="0" w:line="277"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We intend to grow our business by:</w:t>
      </w:r>
    </w:p>
    <w:p>
      <w:pPr>
        <w:spacing w:after="0" w:line="76" w:lineRule="exact"/>
        <w:rPr>
          <w:sz w:val="20"/>
          <w:szCs w:val="20"/>
          <w:color w:val="auto"/>
        </w:rPr>
      </w:pPr>
    </w:p>
    <w:p>
      <w:pPr>
        <w:ind w:left="1540" w:hanging="213"/>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w:t>
      </w:r>
    </w:p>
    <w:p>
      <w:pPr>
        <w:spacing w:after="0" w:line="117" w:lineRule="exact"/>
        <w:rPr>
          <w:rFonts w:ascii="Arial" w:cs="Arial" w:eastAsia="Arial" w:hAnsi="Arial"/>
          <w:sz w:val="18"/>
          <w:szCs w:val="18"/>
          <w:color w:val="auto"/>
        </w:rPr>
      </w:pPr>
    </w:p>
    <w:p>
      <w:pPr>
        <w:ind w:left="1540" w:hanging="213"/>
        <w:spacing w:after="0" w:line="264"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(i) address evolving crude oil, refined products and LPG needs in the midstream transportation and infrastructure sector and (ii) are well-positioned to benefit from long-term industry trends and opportunities;</w:t>
      </w:r>
    </w:p>
    <w:p>
      <w:pPr>
        <w:spacing w:after="0" w:line="73" w:lineRule="exact"/>
        <w:rPr>
          <w:rFonts w:ascii="Arial" w:cs="Arial" w:eastAsia="Arial" w:hAnsi="Arial"/>
          <w:sz w:val="18"/>
          <w:szCs w:val="18"/>
          <w:color w:val="auto"/>
        </w:rPr>
      </w:pPr>
    </w:p>
    <w:p>
      <w:pPr>
        <w:ind w:left="1540" w:right="20" w:hanging="21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utilizing our assets along the Gulf, West and East Coasts, along with our terminals and leased assets, to optimize our presence in the waterborne importation of foreign crude oil;</w:t>
      </w:r>
    </w:p>
    <w:p>
      <w:pPr>
        <w:spacing w:after="0" w:line="62" w:lineRule="exact"/>
        <w:rPr>
          <w:rFonts w:ascii="Arial" w:cs="Arial" w:eastAsia="Arial" w:hAnsi="Arial"/>
          <w:sz w:val="18"/>
          <w:szCs w:val="18"/>
          <w:color w:val="auto"/>
        </w:rPr>
      </w:pPr>
    </w:p>
    <w:p>
      <w:pPr>
        <w:jc w:val="both"/>
        <w:ind w:left="1540" w:right="280" w:hanging="213"/>
        <w:spacing w:after="0" w:line="264"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w:t>
      </w:r>
    </w:p>
    <w:p>
      <w:pPr>
        <w:spacing w:after="0" w:line="73" w:lineRule="exact"/>
        <w:rPr>
          <w:rFonts w:ascii="Arial" w:cs="Arial" w:eastAsia="Arial" w:hAnsi="Arial"/>
          <w:sz w:val="18"/>
          <w:szCs w:val="18"/>
          <w:color w:val="auto"/>
        </w:rPr>
      </w:pPr>
    </w:p>
    <w:p>
      <w:pPr>
        <w:ind w:left="1540" w:right="360" w:hanging="213"/>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selectively pursuing strategic and accretive acquisitions of crude oil, refined products and LPG transportation, terminalling, storage and marketing assets and businesses that complement our existing asset base and distribution capabilities; and</w:t>
      </w:r>
    </w:p>
    <w:p>
      <w:pPr>
        <w:spacing w:after="0" w:line="15" w:lineRule="exact"/>
        <w:rPr>
          <w:rFonts w:ascii="Arial" w:cs="Arial" w:eastAsia="Arial" w:hAnsi="Arial"/>
          <w:sz w:val="16"/>
          <w:szCs w:val="16"/>
          <w:color w:val="auto"/>
        </w:rPr>
      </w:pPr>
    </w:p>
    <w:p>
      <w:pPr>
        <w:ind w:left="1540" w:right="20" w:hanging="21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terminalling and storage assets in conjunction with our supply and logistic activities to capitalize on inefficient energy markets and to address physical market imbalances, mitigate inherent risks and increase margin.</w:t>
      </w:r>
    </w:p>
    <w:p>
      <w:pPr>
        <w:sectPr>
          <w:pgSz w:w="11900" w:h="16838" w:orient="portrait"/>
          <w:cols w:equalWidth="0" w:num="1">
            <w:col w:w="10780"/>
          </w:cols>
          <w:pgMar w:left="240" w:top="41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right="180" w:firstLine="397"/>
        <w:spacing w:after="0" w:line="255" w:lineRule="auto"/>
        <w:rPr>
          <w:sz w:val="20"/>
          <w:szCs w:val="20"/>
          <w:color w:val="auto"/>
        </w:rPr>
      </w:pPr>
      <w:r>
        <w:rPr>
          <w:rFonts w:ascii="Arial" w:cs="Arial" w:eastAsia="Arial" w:hAnsi="Arial"/>
          <w:sz w:val="18"/>
          <w:szCs w:val="18"/>
          <w:color w:val="auto"/>
        </w:rPr>
        <w:t>We believe PNG’s natural gas storage assets are also well-positioned to benefit from long-term industry trends and opportunities. PNG’s growth strategies are to develop and implement internal growth projects and to selectively pursue strategic and accretive natural gas storage projects and facilities. Through the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w:t>
      </w: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Ongoing acquisition activities</w:t>
      </w:r>
    </w:p>
    <w:p>
      <w:pPr>
        <w:spacing w:after="0" w:line="135"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we believe are strategic and complementary to our existing operations. Targeted assets and operations might include crude oil, refined products, LPG or natural gas storage related assets. Such acquisition efforts involve our participation in processes that have been made public, involve a number of potential buyers and are commonly referred to as “auction” processes, as well as situations where we believe we are the only party or one of a very limited number of potential buyers in negotiations with the potential seller. These acquisition efforts often involve assets which, if acquired, would have a material effect on our financial condition and results of operations. Past experience has demonstrated that any discussions and/or negotiations regarding potential acquisitions could advance or terminate in a short period of time. Accordingly, we can give no assurance that our current or future acquisition efforts will be successful. Although we expect acquisitions we make to be accretive in the long term, we can provide no assurance that our expectations will ultimately be realized.</w:t>
      </w:r>
    </w:p>
    <w:p>
      <w:pPr>
        <w:spacing w:after="0" w:line="29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Financial strategy</w:t>
      </w:r>
    </w:p>
    <w:p>
      <w:pPr>
        <w:spacing w:after="0" w:line="135" w:lineRule="exact"/>
        <w:rPr>
          <w:sz w:val="20"/>
          <w:szCs w:val="20"/>
          <w:color w:val="auto"/>
        </w:rPr>
      </w:pPr>
    </w:p>
    <w:p>
      <w:pPr>
        <w:jc w:val="both"/>
        <w:ind w:left="920" w:right="340" w:firstLine="397"/>
        <w:spacing w:after="0" w:line="264" w:lineRule="auto"/>
        <w:rPr>
          <w:sz w:val="20"/>
          <w:szCs w:val="20"/>
          <w:color w:val="auto"/>
        </w:rPr>
      </w:pPr>
      <w:r>
        <w:rPr>
          <w:rFonts w:ascii="Arial" w:cs="Arial" w:eastAsia="Arial" w:hAnsi="Arial"/>
          <w:sz w:val="18"/>
          <w:szCs w:val="18"/>
          <w:i w:val="1"/>
          <w:iCs w:val="1"/>
          <w:color w:val="auto"/>
        </w:rPr>
        <w:t xml:space="preserve">Targeted Credit Profile. </w:t>
      </w:r>
      <w:r>
        <w:rPr>
          <w:rFonts w:ascii="Arial" w:cs="Arial" w:eastAsia="Arial" w:hAnsi="Arial"/>
          <w:sz w:val="18"/>
          <w:szCs w:val="18"/>
          <w:color w:val="auto"/>
        </w:rPr>
        <w:t>We believe that a major factor in our continued success is our ability to maintain a competitive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access to the capital markets. We intend to maintain a credit profile that we believe is consistent with an investment grade credit rating. We have targeted a general credit profile with the following attributes:</w:t>
      </w:r>
    </w:p>
    <w:p>
      <w:pPr>
        <w:spacing w:after="0" w:line="87" w:lineRule="exact"/>
        <w:rPr>
          <w:sz w:val="20"/>
          <w:szCs w:val="20"/>
          <w:color w:val="auto"/>
        </w:rPr>
      </w:pPr>
    </w:p>
    <w:p>
      <w:pPr>
        <w:ind w:left="1540" w:hanging="21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w:t>
      </w:r>
    </w:p>
    <w:p>
      <w:pPr>
        <w:spacing w:after="0" w:line="117" w:lineRule="exact"/>
        <w:rPr>
          <w:rFonts w:ascii="Arial" w:cs="Arial" w:eastAsia="Arial" w:hAnsi="Arial"/>
          <w:sz w:val="18"/>
          <w:szCs w:val="18"/>
          <w:color w:val="auto"/>
        </w:rPr>
      </w:pPr>
    </w:p>
    <w:p>
      <w:pPr>
        <w:ind w:left="1540" w:right="140" w:hanging="213"/>
        <w:spacing w:after="0" w:line="26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long-term debt-to-adjusted EBITDA multiple of approximately 3.5x (adjusted EBITDA is earnings before interest, taxes, depreciation and amortization, equity compensation plan charges, gains and losses from derivative activities and selected items that are generally unusual or non-recurring);</w:t>
      </w:r>
    </w:p>
    <w:p>
      <w:pPr>
        <w:spacing w:after="0" w:line="73" w:lineRule="exact"/>
        <w:rPr>
          <w:rFonts w:ascii="Arial" w:cs="Arial" w:eastAsia="Arial" w:hAnsi="Arial"/>
          <w:sz w:val="18"/>
          <w:szCs w:val="18"/>
          <w:color w:val="auto"/>
        </w:rPr>
      </w:pPr>
    </w:p>
    <w:p>
      <w:pPr>
        <w:ind w:left="1540" w:hanging="21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131" w:lineRule="exact"/>
        <w:rPr>
          <w:sz w:val="20"/>
          <w:szCs w:val="20"/>
          <w:color w:val="auto"/>
        </w:rPr>
      </w:pPr>
    </w:p>
    <w:p>
      <w:pPr>
        <w:ind w:left="920" w:right="40" w:firstLine="397"/>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In certain market conditions, we also incur short-term debt in connection with supply and logistics activities that involve the simultaneous purchase and forward sale of crude oil, refined products and LPG. The crude oil, refined products and LPG purchased in these transactions are hedged. We do not consider the working capital borrowings associated with this activity to be part of our long-term capital structure. These borrowings are self-liquidating as they are repaid with sales proceeds. We also incur short-term debt for New York Mercantile Exchange (“NYMEX”) and IntercontinentalExchange (“ICE”) margin requirements.</w:t>
      </w:r>
    </w:p>
    <w:p>
      <w:pPr>
        <w:spacing w:after="0" w:line="99" w:lineRule="exact"/>
        <w:rPr>
          <w:sz w:val="20"/>
          <w:szCs w:val="20"/>
          <w:color w:val="auto"/>
        </w:rPr>
      </w:pPr>
    </w:p>
    <w:p>
      <w:pPr>
        <w:ind w:left="920" w:right="160" w:firstLine="397"/>
        <w:spacing w:after="0" w:line="255" w:lineRule="auto"/>
        <w:rPr>
          <w:sz w:val="20"/>
          <w:szCs w:val="20"/>
          <w:color w:val="auto"/>
        </w:rPr>
      </w:pPr>
      <w:r>
        <w:rPr>
          <w:rFonts w:ascii="Arial" w:cs="Arial" w:eastAsia="Arial" w:hAnsi="Arial"/>
          <w:sz w:val="18"/>
          <w:szCs w:val="18"/>
          <w:color w:val="auto"/>
        </w:rPr>
        <w:t>In order for us to maintain our targeted credit profile and achieve growth through internal growth projects and acquisitions, we intend to fund at least 50%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 At September 30, 2010 and for the nine months then ended, we were in line with our targeted metrics.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31" w:lineRule="exact"/>
        <w:rPr>
          <w:sz w:val="20"/>
          <w:szCs w:val="20"/>
          <w:color w:val="auto"/>
        </w:rPr>
      </w:pPr>
    </w:p>
    <w:p>
      <w:pPr>
        <w:ind w:left="1540" w:right="60" w:hanging="213"/>
        <w:spacing w:after="0" w:line="25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Many of Our Transportation Segment and Facilities Segment Assets are Strategically Located and Operationally Flexible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w:t>
      </w:r>
    </w:p>
    <w:p>
      <w:pPr>
        <w:spacing w:after="0" w:line="80" w:lineRule="exact"/>
        <w:rPr>
          <w:rFonts w:ascii="Arial" w:cs="Arial" w:eastAsia="Arial" w:hAnsi="Arial"/>
          <w:sz w:val="18"/>
          <w:szCs w:val="18"/>
          <w:color w:val="auto"/>
        </w:rPr>
      </w:pPr>
    </w:p>
    <w:p>
      <w:pPr>
        <w:jc w:val="both"/>
        <w:ind w:left="1540" w:right="40" w:hanging="213"/>
        <w:spacing w:after="0" w:line="264"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Market Knowledge. </w:t>
      </w:r>
      <w:r>
        <w:rPr>
          <w:rFonts w:ascii="Arial" w:cs="Arial" w:eastAsia="Arial" w:hAnsi="Arial"/>
          <w:sz w:val="18"/>
          <w:szCs w:val="18"/>
          <w:color w:val="auto"/>
        </w:rPr>
        <w:t>We believe our business relationships with participants in various phases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crude oil distribution chain, from crude oil producers to refiners, as well as our own industry expertise, provide us with an extensive understanding of the North American physical crude oil markets.</w:t>
      </w:r>
    </w:p>
    <w:p>
      <w:pPr>
        <w:spacing w:after="0" w:line="73" w:lineRule="exact"/>
        <w:rPr>
          <w:rFonts w:ascii="Arial" w:cs="Arial" w:eastAsia="Arial" w:hAnsi="Arial"/>
          <w:sz w:val="18"/>
          <w:szCs w:val="18"/>
          <w:color w:val="auto"/>
        </w:rPr>
      </w:pPr>
    </w:p>
    <w:p>
      <w:pPr>
        <w:ind w:left="1540" w:hanging="213"/>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Crude Oil Supply and Logistics Activities are Counter-Cyclically Balanced</w:t>
      </w:r>
      <w:r>
        <w:rPr>
          <w:rFonts w:ascii="Arial" w:cs="Arial" w:eastAsia="Arial" w:hAnsi="Arial"/>
          <w:sz w:val="18"/>
          <w:szCs w:val="18"/>
          <w:color w:val="auto"/>
        </w:rPr>
        <w:t>. We believe the variety of activities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supply and logistics segment provides us with a counter-cyclical balance that generally affords us the flexibility (i) to maintain a base level of margin irrespective of crude oil market conditions and (ii) in certain circumstances, to realize incremental margin during volatile market conditions.</w:t>
      </w:r>
    </w:p>
    <w:p>
      <w:pPr>
        <w:spacing w:after="0" w:line="78" w:lineRule="exact"/>
        <w:rPr>
          <w:rFonts w:ascii="Arial" w:cs="Arial" w:eastAsia="Arial" w:hAnsi="Arial"/>
          <w:sz w:val="18"/>
          <w:szCs w:val="18"/>
          <w:color w:val="auto"/>
        </w:rPr>
      </w:pPr>
    </w:p>
    <w:p>
      <w:pPr>
        <w:ind w:left="1540" w:hanging="213"/>
        <w:spacing w:after="0" w:line="285"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We have the Evaluation, Integration and Engineering Skill Sets and the Financial Flexibility to Continue to Pursue Acquisition and Expansion Opportunities</w:t>
      </w:r>
      <w:r>
        <w:rPr>
          <w:rFonts w:ascii="Arial" w:cs="Arial" w:eastAsia="Arial" w:hAnsi="Arial"/>
          <w:sz w:val="16"/>
          <w:szCs w:val="16"/>
          <w:color w:val="auto"/>
        </w:rPr>
        <w:t>. Over the past twelve years, we have completed and integrated approximately 63 acquisitions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aggregate purchase price of approximately $6.6 billion. We have also implemented internal expansion capital projects totaling approximately $2.4 billion through September 30, 2010. In addition, we believe we have resources to finance future strategic expansion and acquisition opportunities. As of September 30, 2010, we had a working capital surplus of approximately</w:t>
      </w:r>
    </w:p>
    <w:p>
      <w:pPr>
        <w:spacing w:after="0" w:line="2" w:lineRule="exact"/>
        <w:rPr>
          <w:rFonts w:ascii="Arial" w:cs="Arial" w:eastAsia="Arial" w:hAnsi="Arial"/>
          <w:sz w:val="16"/>
          <w:szCs w:val="16"/>
          <w:color w:val="auto"/>
        </w:rPr>
      </w:pPr>
    </w:p>
    <w:p>
      <w:pPr>
        <w:ind w:left="1540" w:right="500"/>
        <w:spacing w:after="0" w:line="261" w:lineRule="auto"/>
        <w:rPr>
          <w:rFonts w:ascii="Arial" w:cs="Arial" w:eastAsia="Arial" w:hAnsi="Arial"/>
          <w:sz w:val="16"/>
          <w:szCs w:val="16"/>
          <w:color w:val="auto"/>
        </w:rPr>
      </w:pPr>
      <w:r>
        <w:rPr>
          <w:rFonts w:ascii="Arial" w:cs="Arial" w:eastAsia="Arial" w:hAnsi="Arial"/>
          <w:sz w:val="18"/>
          <w:szCs w:val="18"/>
          <w:color w:val="auto"/>
        </w:rPr>
        <w:t>$204 million and approximately $1.3 billion available under our committed credit facilities, subject to continued covenant compliance.</w:t>
      </w:r>
    </w:p>
    <w:p>
      <w:pPr>
        <w:spacing w:after="0" w:line="75" w:lineRule="exact"/>
        <w:rPr>
          <w:rFonts w:ascii="Arial" w:cs="Arial" w:eastAsia="Arial" w:hAnsi="Arial"/>
          <w:sz w:val="16"/>
          <w:szCs w:val="16"/>
          <w:color w:val="auto"/>
        </w:rPr>
      </w:pPr>
    </w:p>
    <w:p>
      <w:pPr>
        <w:ind w:left="1540" w:right="20" w:hanging="213"/>
        <w:spacing w:after="0" w:line="276"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team has an average of approximately 25 years industry experience, and an average of approximately 16 years with us or our predecessors and affiliates. In addition, through their ownership of common units, indirect interests in our general partner, grants of phantom units and the Class B units in Plains AAP, L.P. (a Delaware limited partnership and the sole member of our general partner), our management team has a vested interest in our continued success.</w:t>
      </w:r>
    </w:p>
    <w:p>
      <w:pPr>
        <w:spacing w:after="0" w:line="78" w:lineRule="exact"/>
        <w:rPr>
          <w:sz w:val="20"/>
          <w:szCs w:val="20"/>
          <w:color w:val="auto"/>
        </w:rPr>
      </w:pPr>
    </w:p>
    <w:p>
      <w:pPr>
        <w:ind w:left="920" w:right="360" w:firstLine="397"/>
        <w:spacing w:after="0" w:line="277" w:lineRule="auto"/>
        <w:rPr>
          <w:sz w:val="20"/>
          <w:szCs w:val="20"/>
          <w:color w:val="auto"/>
        </w:rPr>
      </w:pPr>
      <w:r>
        <w:rPr>
          <w:rFonts w:ascii="Arial" w:cs="Arial" w:eastAsia="Arial" w:hAnsi="Arial"/>
          <w:sz w:val="18"/>
          <w:szCs w:val="18"/>
          <w:color w:val="auto"/>
        </w:rPr>
        <w:t>We believe these competitive strengths will aid our efforts to expand our presence in the refined products, LPG and natural gas storage sectors.</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20" w:firstLine="397"/>
        <w:spacing w:after="0" w:line="272" w:lineRule="auto"/>
        <w:rPr>
          <w:sz w:val="20"/>
          <w:szCs w:val="20"/>
          <w:color w:val="auto"/>
        </w:rPr>
      </w:pPr>
      <w:r>
        <w:rPr>
          <w:rFonts w:ascii="Arial" w:cs="Arial" w:eastAsia="Arial" w:hAnsi="Arial"/>
          <w:sz w:val="17"/>
          <w:szCs w:val="17"/>
          <w:i w:val="1"/>
          <w:iCs w:val="1"/>
          <w:color w:val="auto"/>
        </w:rPr>
        <w:t xml:space="preserve">Nexen Acquisition. </w:t>
      </w:r>
      <w:r>
        <w:rPr>
          <w:rFonts w:ascii="Arial" w:cs="Arial" w:eastAsia="Arial" w:hAnsi="Arial"/>
          <w:sz w:val="17"/>
          <w:szCs w:val="17"/>
          <w:color w:val="auto"/>
        </w:rPr>
        <w:t>On November 12, 2010, we executed a definitive agreement with Nexen Holdings U.S.A. Inc.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entities that hold crude oil gathering and transportation assets that primarily service Bakken area producers. Total consideration to be paid at closing is estimated at $210 million, including $170 million for the entities to be acquired and an estimated $40 million for approximately 400,000 barrels of crude oil inventory and other working capital adjustments. Subject to regulatory approval, the transaction is scheduled to close by year-end 2010. We believe this acquisition is consistent with our strategy to expand and strengthen our presence in long-lived, growing producing regions and is complementary to our existing Bakken area assets and activities, including our recently proposed Bakken North Pipeline project.</w:t>
      </w:r>
    </w:p>
    <w:p>
      <w:pPr>
        <w:spacing w:after="0" w:line="83" w:lineRule="exact"/>
        <w:rPr>
          <w:sz w:val="20"/>
          <w:szCs w:val="20"/>
          <w:color w:val="auto"/>
        </w:rPr>
      </w:pPr>
    </w:p>
    <w:p>
      <w:pPr>
        <w:ind w:left="920" w:right="180" w:firstLine="397"/>
        <w:spacing w:after="0" w:line="264" w:lineRule="auto"/>
        <w:rPr>
          <w:sz w:val="20"/>
          <w:szCs w:val="20"/>
          <w:color w:val="auto"/>
        </w:rPr>
      </w:pPr>
      <w:r>
        <w:rPr>
          <w:rFonts w:ascii="Arial" w:cs="Arial" w:eastAsia="Arial" w:hAnsi="Arial"/>
          <w:sz w:val="18"/>
          <w:szCs w:val="18"/>
          <w:i w:val="1"/>
          <w:iCs w:val="1"/>
          <w:color w:val="auto"/>
        </w:rPr>
        <w:t xml:space="preserve">November Distribution. </w:t>
      </w:r>
      <w:r>
        <w:rPr>
          <w:rFonts w:ascii="Arial" w:cs="Arial" w:eastAsia="Arial" w:hAnsi="Arial"/>
          <w:sz w:val="18"/>
          <w:szCs w:val="18"/>
          <w:color w:val="auto"/>
        </w:rPr>
        <w:t>On November 12, 2010, we paid a cash distribution of $0.9500 per unit ($3.80 per unit on an annualized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to holders of record of such units at the close of business on November 2, 2010. The distribution represented an increase of approximately 3.3% over the quarterly distribution of $0.9200</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per unit we paid in November 2009 and of approximately 0.8% over the quarterly distribution of $0.9425 per unit we paid in August 2010.</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Additional information</w:t>
      </w:r>
    </w:p>
    <w:p>
      <w:pPr>
        <w:spacing w:after="0" w:line="135"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see our Annual Report on Form 10-K for the year ended December 31, 2009 and our Quarterly Reports on Form 10-Q for the quarters ended March 31, 2010, June 30, 2010 and September 30, 2010. Please refer to the section in this prospectus supplement entitled “Where You Can Find More Information.”</w:t>
      </w:r>
    </w:p>
    <w:p>
      <w:pPr>
        <w:sectPr>
          <w:pgSz w:w="11900" w:h="16838" w:orient="portrait"/>
          <w:cols w:equalWidth="0" w:num="1">
            <w:col w:w="10520"/>
          </w:cols>
          <w:pgMar w:left="240" w:top="419"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Arial" w:cs="Arial" w:eastAsia="Arial" w:hAnsi="Arial"/>
                <w:sz w:val="18"/>
                <w:szCs w:val="18"/>
                <w:b w:val="1"/>
                <w:bCs w:val="1"/>
                <w:color w:val="auto"/>
              </w:rPr>
              <w:t>THE OFFERING</w:t>
            </w:r>
          </w:p>
        </w:tc>
        <w:tc>
          <w:tcPr>
            <w:tcW w:w="960" w:type="dxa"/>
            <w:vAlign w:val="bottom"/>
          </w:tcPr>
          <w:p>
            <w:pPr>
              <w:spacing w:after="0"/>
              <w:rPr>
                <w:sz w:val="20"/>
                <w:szCs w:val="20"/>
                <w:color w:val="auto"/>
              </w:rPr>
            </w:pPr>
          </w:p>
        </w:tc>
      </w:tr>
      <w:tr>
        <w:trPr>
          <w:trHeight w:val="296"/>
        </w:trPr>
        <w:tc>
          <w:tcPr>
            <w:tcW w:w="3120" w:type="dxa"/>
            <w:vAlign w:val="bottom"/>
          </w:tcPr>
          <w:p>
            <w:pPr>
              <w:spacing w:after="0"/>
              <w:rPr>
                <w:sz w:val="20"/>
                <w:szCs w:val="20"/>
                <w:color w:val="auto"/>
              </w:rPr>
            </w:pPr>
            <w:r>
              <w:rPr>
                <w:rFonts w:ascii="Arial" w:cs="Arial" w:eastAsia="Arial" w:hAnsi="Arial"/>
                <w:sz w:val="18"/>
                <w:szCs w:val="18"/>
                <w:color w:val="auto"/>
              </w:rPr>
              <w:t>Common units we are offering</w:t>
            </w: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3"/>
              </w:rPr>
              <w:t>4,000,000 common units; 4,600,000 common units if the underwriters exercise their</w:t>
            </w:r>
          </w:p>
        </w:tc>
      </w:tr>
      <w:tr>
        <w:trPr>
          <w:trHeight w:val="230"/>
        </w:trPr>
        <w:tc>
          <w:tcPr>
            <w:tcW w:w="3120" w:type="dxa"/>
            <w:vAlign w:val="bottom"/>
          </w:tcPr>
          <w:p>
            <w:pPr>
              <w:spacing w:after="0"/>
              <w:rPr>
                <w:sz w:val="20"/>
                <w:szCs w:val="20"/>
                <w:color w:val="auto"/>
              </w:rPr>
            </w:pPr>
          </w:p>
        </w:tc>
        <w:tc>
          <w:tcPr>
            <w:tcW w:w="5840" w:type="dxa"/>
            <w:vAlign w:val="bottom"/>
          </w:tcPr>
          <w:p>
            <w:pPr>
              <w:ind w:left="560"/>
              <w:spacing w:after="0"/>
              <w:rPr>
                <w:sz w:val="20"/>
                <w:szCs w:val="20"/>
                <w:color w:val="auto"/>
              </w:rPr>
            </w:pPr>
            <w:r>
              <w:rPr>
                <w:rFonts w:ascii="Arial" w:cs="Arial" w:eastAsia="Arial" w:hAnsi="Arial"/>
                <w:sz w:val="18"/>
                <w:szCs w:val="18"/>
                <w:color w:val="auto"/>
              </w:rPr>
              <w:t>option to purchase additional common units in full.</w:t>
            </w:r>
          </w:p>
        </w:tc>
        <w:tc>
          <w:tcPr>
            <w:tcW w:w="960" w:type="dxa"/>
            <w:vAlign w:val="bottom"/>
          </w:tcPr>
          <w:p>
            <w:pPr>
              <w:spacing w:after="0"/>
              <w:rPr>
                <w:sz w:val="20"/>
                <w:szCs w:val="20"/>
                <w:color w:val="auto"/>
              </w:rPr>
            </w:pPr>
          </w:p>
        </w:tc>
      </w:tr>
      <w:tr>
        <w:trPr>
          <w:trHeight w:val="269"/>
        </w:trPr>
        <w:tc>
          <w:tcPr>
            <w:tcW w:w="3120" w:type="dxa"/>
            <w:vAlign w:val="bottom"/>
          </w:tcPr>
          <w:p>
            <w:pPr>
              <w:spacing w:after="0"/>
              <w:rPr>
                <w:sz w:val="20"/>
                <w:szCs w:val="20"/>
                <w:color w:val="auto"/>
              </w:rPr>
            </w:pPr>
            <w:r>
              <w:rPr>
                <w:rFonts w:ascii="Arial" w:cs="Arial" w:eastAsia="Arial" w:hAnsi="Arial"/>
                <w:sz w:val="18"/>
                <w:szCs w:val="18"/>
                <w:color w:val="auto"/>
              </w:rPr>
              <w:t>Units outstanding after this offering</w:t>
            </w: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0"/>
              </w:rPr>
              <w:t>140,419,175 common units if the underwriters do not exercise their option to purchase</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2"/>
              </w:rPr>
              <w:t>additional common units and 141,019,175 common units if the underwriters exercise</w:t>
            </w:r>
          </w:p>
        </w:tc>
      </w:tr>
      <w:tr>
        <w:trPr>
          <w:trHeight w:val="230"/>
        </w:trPr>
        <w:tc>
          <w:tcPr>
            <w:tcW w:w="3120" w:type="dxa"/>
            <w:vAlign w:val="bottom"/>
          </w:tcPr>
          <w:p>
            <w:pPr>
              <w:spacing w:after="0"/>
              <w:rPr>
                <w:sz w:val="20"/>
                <w:szCs w:val="20"/>
                <w:color w:val="auto"/>
              </w:rPr>
            </w:pPr>
          </w:p>
        </w:tc>
        <w:tc>
          <w:tcPr>
            <w:tcW w:w="5840" w:type="dxa"/>
            <w:vAlign w:val="bottom"/>
          </w:tcPr>
          <w:p>
            <w:pPr>
              <w:ind w:left="560"/>
              <w:spacing w:after="0"/>
              <w:rPr>
                <w:sz w:val="20"/>
                <w:szCs w:val="20"/>
                <w:color w:val="auto"/>
              </w:rPr>
            </w:pPr>
            <w:r>
              <w:rPr>
                <w:rFonts w:ascii="Arial" w:cs="Arial" w:eastAsia="Arial" w:hAnsi="Arial"/>
                <w:sz w:val="18"/>
                <w:szCs w:val="18"/>
                <w:color w:val="auto"/>
              </w:rPr>
              <w:t>their option to purchase additional common units in full.</w:t>
            </w:r>
          </w:p>
        </w:tc>
        <w:tc>
          <w:tcPr>
            <w:tcW w:w="960" w:type="dxa"/>
            <w:vAlign w:val="bottom"/>
          </w:tcPr>
          <w:p>
            <w:pPr>
              <w:spacing w:after="0"/>
              <w:rPr>
                <w:sz w:val="20"/>
                <w:szCs w:val="20"/>
                <w:color w:val="auto"/>
              </w:rPr>
            </w:pPr>
          </w:p>
        </w:tc>
      </w:tr>
      <w:tr>
        <w:trPr>
          <w:trHeight w:val="269"/>
        </w:trPr>
        <w:tc>
          <w:tcPr>
            <w:tcW w:w="3120" w:type="dxa"/>
            <w:vAlign w:val="bottom"/>
          </w:tcPr>
          <w:p>
            <w:pPr>
              <w:spacing w:after="0"/>
              <w:rPr>
                <w:sz w:val="20"/>
                <w:szCs w:val="20"/>
                <w:color w:val="auto"/>
              </w:rPr>
            </w:pPr>
            <w:r>
              <w:rPr>
                <w:rFonts w:ascii="Arial" w:cs="Arial" w:eastAsia="Arial" w:hAnsi="Arial"/>
                <w:sz w:val="18"/>
                <w:szCs w:val="18"/>
                <w:color w:val="auto"/>
              </w:rPr>
              <w:t>Use of proceeds</w:t>
            </w:r>
          </w:p>
        </w:tc>
        <w:tc>
          <w:tcPr>
            <w:tcW w:w="5840" w:type="dxa"/>
            <w:vAlign w:val="bottom"/>
          </w:tcPr>
          <w:p>
            <w:pPr>
              <w:ind w:left="560"/>
              <w:spacing w:after="0"/>
              <w:rPr>
                <w:sz w:val="20"/>
                <w:szCs w:val="20"/>
                <w:color w:val="auto"/>
              </w:rPr>
            </w:pPr>
            <w:r>
              <w:rPr>
                <w:rFonts w:ascii="Arial" w:cs="Arial" w:eastAsia="Arial" w:hAnsi="Arial"/>
                <w:sz w:val="18"/>
                <w:szCs w:val="18"/>
                <w:color w:val="auto"/>
                <w:w w:val="93"/>
              </w:rPr>
              <w:t>We intend to use the net proceeds from this offering of approximately $</w:t>
            </w:r>
          </w:p>
        </w:tc>
        <w:tc>
          <w:tcPr>
            <w:tcW w:w="960" w:type="dxa"/>
            <w:vAlign w:val="bottom"/>
          </w:tcPr>
          <w:p>
            <w:pPr>
              <w:ind w:left="140"/>
              <w:spacing w:after="0"/>
              <w:rPr>
                <w:sz w:val="20"/>
                <w:szCs w:val="20"/>
                <w:color w:val="auto"/>
              </w:rPr>
            </w:pPr>
            <w:r>
              <w:rPr>
                <w:rFonts w:ascii="Arial" w:cs="Arial" w:eastAsia="Arial" w:hAnsi="Arial"/>
                <w:sz w:val="18"/>
                <w:szCs w:val="18"/>
                <w:color w:val="auto"/>
              </w:rPr>
              <w:t>million,</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3"/>
              </w:rPr>
              <w:t>including our general partner’s proportionate capital contribution after deducting the</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1"/>
              </w:rPr>
              <w:t>underwriters’ discounts and commissions and estimated offering expenses, to reduce</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rPr>
              <w:t>outstanding borrowings under our credit facilities and for general partnership</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4"/>
              </w:rPr>
              <w:t>purposes. Amounts repaid under our credit facilities may be reborrowed to fund our</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4"/>
              </w:rPr>
              <w:t>ongoing capital program, potential future acquisitions, including the pending Nexen</w:t>
            </w:r>
          </w:p>
        </w:tc>
      </w:tr>
      <w:tr>
        <w:trPr>
          <w:trHeight w:val="230"/>
        </w:trPr>
        <w:tc>
          <w:tcPr>
            <w:tcW w:w="3120" w:type="dxa"/>
            <w:vAlign w:val="bottom"/>
          </w:tcPr>
          <w:p>
            <w:pPr>
              <w:spacing w:after="0"/>
              <w:rPr>
                <w:sz w:val="20"/>
                <w:szCs w:val="20"/>
                <w:color w:val="auto"/>
              </w:rPr>
            </w:pPr>
          </w:p>
        </w:tc>
        <w:tc>
          <w:tcPr>
            <w:tcW w:w="5840" w:type="dxa"/>
            <w:vAlign w:val="bottom"/>
          </w:tcPr>
          <w:p>
            <w:pPr>
              <w:ind w:left="560"/>
              <w:spacing w:after="0"/>
              <w:rPr>
                <w:sz w:val="20"/>
                <w:szCs w:val="20"/>
                <w:color w:val="auto"/>
              </w:rPr>
            </w:pPr>
            <w:r>
              <w:rPr>
                <w:rFonts w:ascii="Arial" w:cs="Arial" w:eastAsia="Arial" w:hAnsi="Arial"/>
                <w:sz w:val="18"/>
                <w:szCs w:val="18"/>
                <w:color w:val="auto"/>
              </w:rPr>
              <w:t>Acquisition, or for general partnership purposes.</w:t>
            </w:r>
          </w:p>
        </w:tc>
        <w:tc>
          <w:tcPr>
            <w:tcW w:w="960" w:type="dxa"/>
            <w:vAlign w:val="bottom"/>
          </w:tcPr>
          <w:p>
            <w:pPr>
              <w:spacing w:after="0"/>
              <w:rPr>
                <w:sz w:val="20"/>
                <w:szCs w:val="20"/>
                <w:color w:val="auto"/>
              </w:rPr>
            </w:pPr>
          </w:p>
        </w:tc>
      </w:tr>
      <w:tr>
        <w:trPr>
          <w:trHeight w:val="269"/>
        </w:trPr>
        <w:tc>
          <w:tcPr>
            <w:tcW w:w="3120" w:type="dxa"/>
            <w:vAlign w:val="bottom"/>
          </w:tcPr>
          <w:p>
            <w:pPr>
              <w:spacing w:after="0"/>
              <w:rPr>
                <w:sz w:val="20"/>
                <w:szCs w:val="20"/>
                <w:color w:val="auto"/>
              </w:rPr>
            </w:pPr>
            <w:r>
              <w:rPr>
                <w:rFonts w:ascii="Arial" w:cs="Arial" w:eastAsia="Arial" w:hAnsi="Arial"/>
                <w:sz w:val="18"/>
                <w:szCs w:val="18"/>
                <w:color w:val="auto"/>
              </w:rPr>
              <w:t>Cash distributions</w:t>
            </w: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89"/>
              </w:rPr>
              <w:t>Under our partnership agreement, we must distribute all of our cash on hand at the end</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1"/>
              </w:rPr>
              <w:t>of each quarter, less reserves established by our general partner in its discretion. We</w:t>
            </w:r>
          </w:p>
        </w:tc>
      </w:tr>
      <w:tr>
        <w:trPr>
          <w:trHeight w:val="216"/>
        </w:trPr>
        <w:tc>
          <w:tcPr>
            <w:tcW w:w="3120" w:type="dxa"/>
            <w:vAlign w:val="bottom"/>
          </w:tcPr>
          <w:p>
            <w:pPr>
              <w:spacing w:after="0"/>
              <w:rPr>
                <w:sz w:val="18"/>
                <w:szCs w:val="18"/>
                <w:color w:val="auto"/>
              </w:rPr>
            </w:pPr>
          </w:p>
        </w:tc>
        <w:tc>
          <w:tcPr>
            <w:tcW w:w="6800" w:type="dxa"/>
            <w:vAlign w:val="bottom"/>
            <w:gridSpan w:val="2"/>
          </w:tcPr>
          <w:p>
            <w:pPr>
              <w:ind w:left="560"/>
              <w:spacing w:after="0"/>
              <w:rPr>
                <w:sz w:val="20"/>
                <w:szCs w:val="20"/>
                <w:color w:val="auto"/>
              </w:rPr>
            </w:pPr>
            <w:r>
              <w:rPr>
                <w:rFonts w:ascii="Arial" w:cs="Arial" w:eastAsia="Arial" w:hAnsi="Arial"/>
                <w:sz w:val="18"/>
                <w:szCs w:val="18"/>
                <w:color w:val="auto"/>
                <w:w w:val="95"/>
              </w:rPr>
              <w:t>refer to this cash as “available cash,” and we define its meaning in our partnership</w:t>
            </w:r>
          </w:p>
        </w:tc>
      </w:tr>
      <w:tr>
        <w:trPr>
          <w:trHeight w:val="230"/>
        </w:trPr>
        <w:tc>
          <w:tcPr>
            <w:tcW w:w="3120" w:type="dxa"/>
            <w:vAlign w:val="bottom"/>
          </w:tcPr>
          <w:p>
            <w:pPr>
              <w:spacing w:after="0"/>
              <w:rPr>
                <w:sz w:val="20"/>
                <w:szCs w:val="20"/>
                <w:color w:val="auto"/>
              </w:rPr>
            </w:pPr>
          </w:p>
        </w:tc>
        <w:tc>
          <w:tcPr>
            <w:tcW w:w="5840" w:type="dxa"/>
            <w:vAlign w:val="bottom"/>
          </w:tcPr>
          <w:p>
            <w:pPr>
              <w:ind w:left="560"/>
              <w:spacing w:after="0"/>
              <w:rPr>
                <w:sz w:val="20"/>
                <w:szCs w:val="20"/>
                <w:color w:val="auto"/>
              </w:rPr>
            </w:pPr>
            <w:r>
              <w:rPr>
                <w:rFonts w:ascii="Arial" w:cs="Arial" w:eastAsia="Arial" w:hAnsi="Arial"/>
                <w:sz w:val="18"/>
                <w:szCs w:val="18"/>
                <w:color w:val="auto"/>
              </w:rPr>
              <w:t>agreement.</w:t>
            </w:r>
          </w:p>
        </w:tc>
        <w:tc>
          <w:tcPr>
            <w:tcW w:w="960" w:type="dxa"/>
            <w:vAlign w:val="bottom"/>
          </w:tcPr>
          <w:p>
            <w:pPr>
              <w:spacing w:after="0"/>
              <w:rPr>
                <w:sz w:val="20"/>
                <w:szCs w:val="20"/>
                <w:color w:val="auto"/>
              </w:rPr>
            </w:pPr>
          </w:p>
        </w:tc>
      </w:tr>
    </w:tbl>
    <w:p>
      <w:pPr>
        <w:spacing w:after="0" w:line="53" w:lineRule="exact"/>
        <w:rPr>
          <w:sz w:val="20"/>
          <w:szCs w:val="20"/>
          <w:color w:val="auto"/>
        </w:rPr>
      </w:pPr>
    </w:p>
    <w:p>
      <w:pPr>
        <w:ind w:left="4600" w:right="40"/>
        <w:spacing w:after="0" w:line="272" w:lineRule="auto"/>
        <w:rPr>
          <w:sz w:val="20"/>
          <w:szCs w:val="20"/>
          <w:color w:val="auto"/>
        </w:rPr>
      </w:pPr>
      <w:r>
        <w:rPr>
          <w:rFonts w:ascii="Arial" w:cs="Arial" w:eastAsia="Arial" w:hAnsi="Arial"/>
          <w:sz w:val="17"/>
          <w:szCs w:val="17"/>
          <w:color w:val="auto"/>
        </w:rPr>
        <w:t>Under the quarterly incentive distribution provisions in our partnership agreement, generally our general partner is entitled, following the distribution of our minimum quarterly distribution of $0.45 per common unit and without duplication, to 15% of amounts we distribute until each unitholder receives a total of $0.495 per common unit, 25% of amounts we distribute until each unitholder receives a total of $0.675 per common unit and 50% thereafter. For a description of our cash distribution policy, please read “Cash Distribution Policy” in the accompanying prospectus.</w:t>
      </w:r>
    </w:p>
    <w:p>
      <w:pPr>
        <w:spacing w:after="0" w:line="29" w:lineRule="exact"/>
        <w:rPr>
          <w:sz w:val="20"/>
          <w:szCs w:val="20"/>
          <w:color w:val="auto"/>
        </w:rPr>
      </w:pPr>
    </w:p>
    <w:p>
      <w:pPr>
        <w:ind w:left="4600"/>
        <w:spacing w:after="0" w:line="255" w:lineRule="auto"/>
        <w:rPr>
          <w:sz w:val="20"/>
          <w:szCs w:val="20"/>
          <w:color w:val="auto"/>
        </w:rPr>
      </w:pPr>
      <w:r>
        <w:rPr>
          <w:rFonts w:ascii="Arial" w:cs="Arial" w:eastAsia="Arial" w:hAnsi="Arial"/>
          <w:sz w:val="18"/>
          <w:szCs w:val="18"/>
          <w:color w:val="auto"/>
        </w:rPr>
        <w:t>On November 12, 2010, we paid a cash distribution of $0.9500 per unit ($3.80 per unit on an annualized basis) to holders of record of such units at the close of business on November 2, 2010. The distribution represented an increase of approximately 3.3% over the quarterly distribution of $0.9200 per unit we paid in November 2009 and approximately 0.8% over the quarterly distribution of $0.9425 per unit we paid in August 2010.</w:t>
      </w:r>
    </w:p>
    <w:p>
      <w:pPr>
        <w:spacing w:after="0" w:line="45" w:lineRule="exact"/>
        <w:rPr>
          <w:sz w:val="20"/>
          <w:szCs w:val="20"/>
          <w:color w:val="auto"/>
        </w:rPr>
      </w:pPr>
    </w:p>
    <w:p>
      <w:pPr>
        <w:ind w:left="4600" w:right="80" w:hanging="3672"/>
        <w:spacing w:after="0" w:line="273" w:lineRule="auto"/>
        <w:rPr>
          <w:sz w:val="20"/>
          <w:szCs w:val="20"/>
          <w:color w:val="auto"/>
        </w:rPr>
      </w:pPr>
      <w:r>
        <w:rPr>
          <w:rFonts w:ascii="Arial" w:cs="Arial" w:eastAsia="Arial" w:hAnsi="Arial"/>
          <w:sz w:val="17"/>
          <w:szCs w:val="17"/>
          <w:color w:val="auto"/>
        </w:rPr>
        <w:t>Estimated ratio of taxable income to distributions We estimate that if you own the common units you purchase in this offering through the record date for the distribution for the period ending December 31, 2012, you will be allocated, on a cumulative basis, an amount of federal taxable income for that period that will be less than 30% of the cash distributed to you with respect to that period. Please read “Material U.S. Federal Income Tax Consequences” in this prospectus supplement for the basis of this estimate.</w:t>
      </w:r>
    </w:p>
    <w:p>
      <w:pPr>
        <w:spacing w:after="0" w:line="3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Affiliates of each of the underwriters are lenders under our credit facilities, and</w:t>
      </w:r>
    </w:p>
    <w:p>
      <w:pPr>
        <w:spacing w:after="0" w:line="23" w:lineRule="exact"/>
        <w:rPr>
          <w:sz w:val="20"/>
          <w:szCs w:val="20"/>
          <w:color w:val="auto"/>
        </w:rPr>
      </w:pPr>
    </w:p>
    <w:p>
      <w:pPr>
        <w:ind w:left="4600" w:right="440"/>
        <w:spacing w:after="0" w:line="254" w:lineRule="auto"/>
        <w:rPr>
          <w:sz w:val="20"/>
          <w:szCs w:val="20"/>
          <w:color w:val="auto"/>
        </w:rPr>
      </w:pPr>
      <w:r>
        <w:rPr>
          <w:rFonts w:ascii="Arial" w:cs="Arial" w:eastAsia="Arial" w:hAnsi="Arial"/>
          <w:sz w:val="18"/>
          <w:szCs w:val="18"/>
          <w:color w:val="auto"/>
        </w:rPr>
        <w:t>accordingly, will receive a substantial portion of the proceeds from this offering pursuant to the repayment of borrowings under such facilities. Please read “Underwriting — Conflicts of Interest” in this prospectus supplement for further information.</w:t>
      </w:r>
    </w:p>
    <w:p>
      <w:pPr>
        <w:spacing w:after="0" w:line="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New York Stock Exchange symbol</w:t>
      </w:r>
      <w:r>
        <w:rPr>
          <w:sz w:val="20"/>
          <w:szCs w:val="20"/>
          <w:color w:val="auto"/>
        </w:rPr>
        <w:tab/>
      </w:r>
      <w:r>
        <w:rPr>
          <w:rFonts w:ascii="Arial" w:cs="Arial" w:eastAsia="Arial" w:hAnsi="Arial"/>
          <w:sz w:val="16"/>
          <w:szCs w:val="16"/>
          <w:color w:val="auto"/>
        </w:rPr>
        <w:t>PAA.</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i w:val="1"/>
          <w:iCs w:val="1"/>
          <w:color w:val="auto"/>
        </w:rPr>
        <w:t>Before making an investment in the common units offered hereby, you should carefully consider the risk factors included in Item 1A. “Risk Factors” in our Annual Report on Form 10-K for the year ended December 31, 2009, which is incorporated in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The net proceeds of this offering will be approximately $ million, including our general partner’s proportionate capital contribution, after deducting the underwriters’ discounts and commissions and estimated offering expenses. If the underwriters exercise</w:t>
      </w:r>
    </w:p>
    <w:p>
      <w:pPr>
        <w:ind w:left="700" w:right="160"/>
        <w:spacing w:after="0" w:line="261" w:lineRule="auto"/>
        <w:rPr>
          <w:sz w:val="20"/>
          <w:szCs w:val="20"/>
          <w:color w:val="auto"/>
        </w:rPr>
      </w:pPr>
      <w:r>
        <w:rPr>
          <w:rFonts w:ascii="Arial" w:cs="Arial" w:eastAsia="Arial" w:hAnsi="Arial"/>
          <w:sz w:val="18"/>
          <w:szCs w:val="18"/>
          <w:color w:val="auto"/>
        </w:rPr>
        <w:t>their option to purchase additional common units in full, the net proceeds of this offering will be approximately $ million, including our general partner’s proportionate capital contribution.</w:t>
      </w:r>
    </w:p>
    <w:p>
      <w:pPr>
        <w:spacing w:after="0" w:line="89"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intend to use the net proceeds of this offering (as well as the proceeds from any exercise of the underwriters’ option to purchase additional common units) to reduce outstanding borrowings under our credit facilities and for general partnership purposes. Amounts repaid under our credit facilities may be reborrowed to fund our ongoing capital program, potential future acquisitions, including the pending Nexen Acquisition, or for general partnership purposes.</w:t>
      </w:r>
    </w:p>
    <w:p>
      <w:pPr>
        <w:spacing w:after="0" w:line="9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Affiliates of each of the underwriters are lenders under our credit facilities, and accordingly, will receive a substantial portion of the proceeds from this offering pursuant to the repayment of borrowings under such facilities. Please read “Underwriting—Conflicts of Interest” in this prospectus supplement for further information.</w:t>
      </w:r>
    </w:p>
    <w:p>
      <w:pPr>
        <w:spacing w:after="0" w:line="87"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At November 12, 2010 we had approximately $1.4 billion of debt outstanding under our credit facilities with a weighted average interest rate of approximately 1.2%. Substantially all of the borrowings we are repaying were used for working capital requirements.</w:t>
      </w:r>
    </w:p>
    <w:p>
      <w:pPr>
        <w:spacing w:after="0" w:line="3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135"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As of November 12, 2010, we had 136,419,175 common units outstanding, held by approximately 120,000 holders, including common units held in street name. Our common units are traded on the New York Stock Exchange under the symbol “PAA.”</w:t>
      </w:r>
    </w:p>
    <w:p>
      <w:pPr>
        <w:spacing w:after="0" w:line="29"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November 12, 2010 was $63.92 per common unit.</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Unit</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468"/>
              <w:spacing w:after="0" w:line="142" w:lineRule="exact"/>
              <w:rPr>
                <w:sz w:val="20"/>
                <w:szCs w:val="20"/>
                <w:color w:val="auto"/>
              </w:rPr>
            </w:pPr>
            <w:r>
              <w:rPr>
                <w:rFonts w:ascii="Arial" w:cs="Arial" w:eastAsia="Arial" w:hAnsi="Arial"/>
                <w:sz w:val="14"/>
                <w:szCs w:val="14"/>
                <w:b w:val="1"/>
                <w:bCs w:val="1"/>
                <w:color w:val="auto"/>
              </w:rPr>
              <w:t>Price Range</w:t>
            </w:r>
          </w:p>
        </w:tc>
        <w:tc>
          <w:tcPr>
            <w:tcW w:w="2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per Unit(1)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$52.44</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$43.93</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$0.8650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50.96</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44.54</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48.36</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35.68</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42.39</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23.25</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$40.98</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$34.00</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45.52</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36.25</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50.33</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42.50</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53.37</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45.45</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5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$57.11</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$49.82</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60.06</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44.12</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64.21</w:t>
            </w: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auto"/>
              </w:rPr>
              <w:t>57.33</w:t>
            </w: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0.9500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(through November 12, 2010)</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65.20</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62.16</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45 days after the quarter.</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distributions in respect of the fourth quarter of 2010 have not been declared or paid.</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following table sets forth our capitalization as of September 30, 2010 (i) on a historical basis and (ii) as adjusted to give effect to the sale of the common units offered hereby and the application of the net proceeds therefrom as described under “Use of Proceeds” in this prospectus supplement and our general partner’s proportionate capital contribution, net of offering expenses. This table should also be read in conjunction with our financial statements and the notes thereto that are incorporated by reference into this prospectus supplement. As of November 12, 2010, we had approximately $1.4 billion of debt outstanding under our credit facilities with a weighted average interest rate of approximately 1.2%. The increase in debt outstanding under our credit facilities as compared to September 30, 2010 is related to borrowings for normal course of business uses, such as ongoing maintenance and expansion activities, payment of amounts related to the purchase of crude oil and other products and other expenses, interest payments on our outstanding debt and distributions to our unitholders or general partner (related to the timing difference between the period earnings are generated and the period the earnings are distributed). See “Use of Proceeds.”</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As of September 30, 2010</w:t>
            </w: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for this</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32"/>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DEBT</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Hedged inventory facility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Working capital borrowings(1)</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short-term debt</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Long-term debt under credit facilities and other(2)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net of amortized net premium and discount</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long-term debt</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Common unitholders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partners’ capital, excluding noncontrolling interests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partners’ capital</w:t>
            </w:r>
          </w:p>
        </w:tc>
        <w:tc>
          <w:tcPr>
            <w:tcW w:w="17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4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00" w:hanging="301"/>
        <w:spacing w:after="0" w:line="26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classify as short term our borrowings under our senior unsecured revolving credit facility. These borrowings are designated as working capital borrowings, must be repaid within one year and are primarily for hedged LPG and crude oil inventory and NYMEX and ICE margin deposits.</w:t>
      </w:r>
    </w:p>
    <w:p>
      <w:pPr>
        <w:spacing w:after="0" w:line="19" w:lineRule="exact"/>
        <w:rPr>
          <w:rFonts w:ascii="Arial" w:cs="Arial" w:eastAsia="Arial" w:hAnsi="Arial"/>
          <w:sz w:val="18"/>
          <w:szCs w:val="18"/>
          <w:color w:val="auto"/>
        </w:rPr>
      </w:pPr>
    </w:p>
    <w:p>
      <w:pPr>
        <w:ind w:left="1000" w:right="60" w:hanging="301"/>
        <w:spacing w:after="0" w:line="30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April 2010, our consolidated subsidiary PNG entered into a three year, $400 million senior unsecured revolving credit facility that matures in May 2013. This credit facility, which bears interest based on LIBOR plus an applicable margin (as defined by the credit agreement), may be expanded to $600 million, subject to additional lender commitments and with approval of the administrative agent for the credit facility. At September 30, 2010, borrowings of approximately $222 million were outstanding under this facility.</w:t>
      </w:r>
    </w:p>
    <w:p>
      <w:pPr>
        <w:spacing w:after="0" w:line="3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35" w:lineRule="exact"/>
        <w:rPr>
          <w:sz w:val="20"/>
          <w:szCs w:val="20"/>
          <w:color w:val="auto"/>
        </w:rPr>
      </w:pPr>
    </w:p>
    <w:p>
      <w:pPr>
        <w:ind w:left="700" w:right="260" w:firstLine="397"/>
        <w:spacing w:after="0" w:line="276" w:lineRule="auto"/>
        <w:rPr>
          <w:sz w:val="20"/>
          <w:szCs w:val="20"/>
          <w:color w:val="auto"/>
        </w:rPr>
      </w:pPr>
      <w:r>
        <w:rPr>
          <w:rFonts w:ascii="Arial" w:cs="Arial" w:eastAsia="Arial" w:hAnsi="Arial"/>
          <w:sz w:val="17"/>
          <w:szCs w:val="17"/>
          <w:color w:val="auto"/>
        </w:rPr>
        <w:t>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“Material Income Tax Considerations” in the accompanying prospectus, as updated and supplemented by the discussion included herein. You are urged to consult with your own tax advisor about the federal, state, local and foreign tax consequences particular to your circumstances.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b w:val="1"/>
          <w:bCs w:val="1"/>
          <w:i w:val="1"/>
          <w:iCs w:val="1"/>
          <w:color w:val="auto"/>
        </w:rPr>
        <w:t xml:space="preserve">Ratio of Taxable Income to Distributions. </w:t>
      </w:r>
      <w:r>
        <w:rPr>
          <w:rFonts w:ascii="Arial" w:cs="Arial" w:eastAsia="Arial" w:hAnsi="Arial"/>
          <w:sz w:val="17"/>
          <w:szCs w:val="17"/>
          <w:color w:val="auto"/>
        </w:rPr>
        <w:t>We estimate that a purchaser of common units in this offering who holds those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from the date of closing of this offering through December 31, 2012 will be allocated an amount of federal taxable income for that period that will be less than 30% of the cash distributed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with which the Internal Revenue Service could disagree. Accordingly, we cannot assure you that these estimates will prove to be correct. The actual percentage of distributions that will constitute taxable income could be higher or lower than expected, and any differences could be material and could materially affect the value of the common units. For example, the ratio of allocable taxable income to cash distributions to a purchaser of common units in this offering will be greater, and perhaps substantially greater, than our estimate with respect to the period described above if our gross income from operations exceeds the amount required to maintain current distributions on all units, yet we only distribute the current distributions on all units; or 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97"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b w:val="1"/>
          <w:bCs w:val="1"/>
          <w:i w:val="1"/>
          <w:iCs w:val="1"/>
          <w:color w:val="auto"/>
        </w:rPr>
        <w:t xml:space="preserve">New Legislation. </w:t>
      </w:r>
      <w:r>
        <w:rPr>
          <w:rFonts w:ascii="Arial" w:cs="Arial" w:eastAsia="Arial" w:hAnsi="Arial"/>
          <w:sz w:val="18"/>
          <w:szCs w:val="18"/>
          <w:color w:val="auto"/>
        </w:rPr>
        <w:t>The recently enacted Health Care and Education Reconciliation Act of 2010 and the Patient Protection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Affordable Care Act of 2010, is scheduled to impose a 3.8% Medicare tax on certain investment income earned by individuals, estates, and trusts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0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b w:val="1"/>
          <w:bCs w:val="1"/>
          <w:i w:val="1"/>
          <w:iCs w:val="1"/>
          <w:color w:val="auto"/>
        </w:rPr>
        <w:t xml:space="preserve">Tax-Exempt Organizations and Other Investors. </w:t>
      </w:r>
      <w:r>
        <w:rPr>
          <w:rFonts w:ascii="Arial" w:cs="Arial" w:eastAsia="Arial" w:hAnsi="Arial"/>
          <w:sz w:val="17"/>
          <w:szCs w:val="17"/>
          <w:color w:val="auto"/>
        </w:rPr>
        <w:t>Ownership of common units by tax-exempt entities and non-U.S. investors raises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issues unique to such persons. Tax-exempt entities and non-U.S. investors are encouraged to consult with your own tax advisor about the federal, state, local and foreign tax consequences particular to your circumstances before investing. Please read “Material Income Tax Considerations — Tax-Exempt Organizations and Other Investors” in the accompanying prospectus.</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Citigroup Global Markets Inc., Merrill Lynch, Pierce, Fenner &amp; Smith Incorporated, Morgan Stanley &amp; Co. Incorporated and Wells Fargo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purchase, and we have agreed to sell to that underwriter, the number of common units set forth opposite the underwriter’s name.</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87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 Units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7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900"/>
              <w:spacing w:after="0"/>
              <w:rPr>
                <w:sz w:val="20"/>
                <w:szCs w:val="20"/>
                <w:color w:val="auto"/>
              </w:rPr>
            </w:pPr>
            <w:r>
              <w:rPr>
                <w:rFonts w:ascii="Arial" w:cs="Arial" w:eastAsia="Arial" w:hAnsi="Arial"/>
                <w:sz w:val="18"/>
                <w:szCs w:val="18"/>
                <w:color w:val="auto"/>
              </w:rPr>
              <w:t>Incorporated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UBS Securities LLC</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w:t>
      </w:r>
    </w:p>
    <w:p>
      <w:pPr>
        <w:spacing w:after="0" w:line="92"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The underwriters propose to offer some of the common units directly to the public at the public offering price set forth on the cover page of this prospectus supplement and some of the common units to dealers at the public offering price less a concession not to exceed</w:t>
      </w:r>
    </w:p>
    <w:p>
      <w:pPr>
        <w:ind w:left="700" w:hanging="7"/>
        <w:spacing w:after="0" w:line="26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 common unit. If all of the common units are not sold at the initial offering price, the underwriters may change the public offering price and the other selling terms.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Overallotment Option</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600,000 additional common units at the public offering price less the underwriting discount. To the extent the option is exercised, each underwriter must purchase a number of additional common units approximately proportionate to that underwriter’s initial purchase commitment.</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color w:val="auto"/>
        </w:rPr>
        <w:t>We, our general partner, certain officers and directors of our general partner and certain of their affiliates, and Vulcan Energy Corporation have agreed that, for a period of 45 days from the date of this prospectus supplement, we and they will not, without the prior written consent of the representatives,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Various Kayne Anderson entities, which collectively own approximately 4.95 million common units and which are affiliated with Robert V. Sinnott, a director of our general partner, are not subject to this agreement and may sell some or all of their common units during the lock-up period. This agreement also will not apply to grants under existing employee benefit plans (including long-term incentive plans adopted by our general partner, Plains AAP, L.P. or Plains All American GP LLC), to issuances of common units or any securities convertible or exchangeable into common units as payment of any part of the purchase price in connection with acquisitions by us and our affiliates or any third parties, to certain sales of common units by the officers or directors of the company that controls our general partner to pay tax liabilities associated with the vesting of units or exercise of options, to issuances or deliveries of common units in connection with the conversion, vesting or exercise of securities (including long-term incentive plan awards, options</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64" w:lineRule="auto"/>
        <w:rPr>
          <w:sz w:val="20"/>
          <w:szCs w:val="20"/>
          <w:color w:val="auto"/>
        </w:rPr>
      </w:pPr>
      <w:r>
        <w:rPr>
          <w:rFonts w:ascii="Arial" w:cs="Arial" w:eastAsia="Arial" w:hAnsi="Arial"/>
          <w:sz w:val="18"/>
          <w:szCs w:val="18"/>
          <w:color w:val="auto"/>
        </w:rPr>
        <w:t>and warrants) currently outstanding, or to sales of common units in connection with the exercise, cancellation or other disposition of options under the general partner’s Performance Option Plan. The representatives, in their sole discretion, may release any of the common units subject to these lock-up agreements at any time without notice.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Listing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units are listed on the New York Stock Exchange under the symbol “PAA.”</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Expenses</w:t>
      </w:r>
    </w:p>
    <w:p>
      <w:pPr>
        <w:spacing w:after="0" w:line="135"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common units.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No Exercise</w:t>
            </w:r>
          </w:p>
        </w:tc>
        <w:tc>
          <w:tcPr>
            <w:tcW w:w="280" w:type="dxa"/>
            <w:vAlign w:val="bottom"/>
          </w:tcPr>
          <w:p>
            <w:pPr>
              <w:spacing w:after="0"/>
              <w:rPr>
                <w:sz w:val="14"/>
                <w:szCs w:val="14"/>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Full Exercise</w:t>
            </w:r>
          </w:p>
        </w:tc>
      </w:tr>
      <w:tr>
        <w:trPr>
          <w:trHeight w:val="249"/>
        </w:trPr>
        <w:tc>
          <w:tcPr>
            <w:tcW w:w="7160" w:type="dxa"/>
            <w:vAlign w:val="bottom"/>
          </w:tcPr>
          <w:p>
            <w:pPr>
              <w:spacing w:after="0"/>
              <w:rPr>
                <w:sz w:val="20"/>
                <w:szCs w:val="20"/>
                <w:color w:val="auto"/>
              </w:rPr>
            </w:pPr>
            <w:r>
              <w:rPr>
                <w:rFonts w:ascii="Arial" w:cs="Arial" w:eastAsia="Arial" w:hAnsi="Arial"/>
                <w:sz w:val="18"/>
                <w:szCs w:val="18"/>
                <w:color w:val="auto"/>
              </w:rPr>
              <w:t>Per Common Unit</w:t>
            </w:r>
          </w:p>
        </w:tc>
        <w:tc>
          <w:tcPr>
            <w:tcW w:w="12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80" w:lineRule="exact"/>
        <w:rPr>
          <w:sz w:val="20"/>
          <w:szCs w:val="20"/>
          <w:color w:val="auto"/>
        </w:rPr>
      </w:pPr>
    </w:p>
    <w:p>
      <w:pPr>
        <w:jc w:val="both"/>
        <w:ind w:left="700" w:right="58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w:t>
      </w:r>
    </w:p>
    <w:p>
      <w:pPr>
        <w:spacing w:after="0" w:line="87"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Expenses</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$330,000.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64" w:lineRule="auto"/>
        <w:rPr>
          <w:sz w:val="20"/>
          <w:szCs w:val="20"/>
          <w:color w:val="auto"/>
        </w:rPr>
      </w:pPr>
      <w:r>
        <w:rPr>
          <w:rFonts w:ascii="Arial" w:cs="Arial" w:eastAsia="Arial" w:hAnsi="Arial"/>
          <w:sz w:val="18"/>
          <w:szCs w:val="18"/>
          <w:color w:val="auto"/>
        </w:rPr>
        <w:t>perform services for us in the ordinary course of their business. Affiliates of each of the underwriters are lenders under our credit facilities and accordingly will receive a substantial portion of the proceeds from this offering pursuant to the repayment of borrowings under such facilities.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w:t>
      </w:r>
    </w:p>
    <w:p>
      <w:pPr>
        <w:spacing w:after="0" w:line="94"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We, together with our subsidiary operating partnerships and their general partner, our general partner and the entities that control our general partner,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FINRA Conduct Rule</w:t>
      </w:r>
    </w:p>
    <w:p>
      <w:pPr>
        <w:spacing w:after="0" w:line="135"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to Investors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Notice to Prospective Investors in the EEA</w:t>
      </w:r>
    </w:p>
    <w:p>
      <w:pPr>
        <w:spacing w:after="0" w:line="131"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92" w:lineRule="exact"/>
        <w:rPr>
          <w:sz w:val="20"/>
          <w:szCs w:val="20"/>
          <w:color w:val="auto"/>
        </w:rPr>
      </w:pPr>
    </w:p>
    <w:p>
      <w:pPr>
        <w:ind w:left="1300" w:right="2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1300" w:right="14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73"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any other circumstances that do not require the publication of a prospectus pursuant to Article 3 of the Prospectus Directive,</w:t>
      </w:r>
    </w:p>
    <w:p>
      <w:pPr>
        <w:spacing w:after="0" w:line="154"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7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31"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Our partnership may constitute a “collective investment scheme” as defined by section 235 of the Financial Services and Markets Act 2000 (“FSMA”) that is not a “recognized collective investment scheme” for the purposes of FSMA (“CIS”) and that has not been authorized or otherwise approved. As an unregulated scheme, it cannot be marketed in the United Kingdom to the general public, except in accordance with FSMA. This prospectus is only being distributed in the United Kingdom to, and are only directed at:</w:t>
      </w:r>
    </w:p>
    <w:p>
      <w:pPr>
        <w:spacing w:after="0" w:line="60" w:lineRule="exact"/>
        <w:rPr>
          <w:sz w:val="20"/>
          <w:szCs w:val="20"/>
          <w:color w:val="auto"/>
        </w:rPr>
      </w:pPr>
    </w:p>
    <w:p>
      <w:pPr>
        <w:ind w:left="1080" w:right="300" w:firstLine="391"/>
        <w:spacing w:after="0" w:line="259" w:lineRule="auto"/>
        <w:tabs>
          <w:tab w:leader="none" w:pos="16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partnership is a CIS and is marketed by a person who is an authorized person under FSMA, (a) investment professionals falling within Article 14(5) of the Financial Services and Markets Act 2000 (Promotion of Collective Investment Schemes) Order 2001, as amended (the “CIS Promotion Order”) or (b) high net worth companies and other persons falling with Article 22(2)(a) to (d) of the CIS Promotion Order; or</w:t>
      </w:r>
    </w:p>
    <w:p>
      <w:pPr>
        <w:spacing w:after="0" w:line="92" w:lineRule="exact"/>
        <w:rPr>
          <w:rFonts w:ascii="Arial" w:cs="Arial" w:eastAsia="Arial" w:hAnsi="Arial"/>
          <w:sz w:val="18"/>
          <w:szCs w:val="18"/>
          <w:color w:val="auto"/>
        </w:rPr>
      </w:pPr>
    </w:p>
    <w:p>
      <w:pPr>
        <w:ind w:left="1080" w:right="20" w:firstLine="391"/>
        <w:spacing w:after="0" w:line="264" w:lineRule="auto"/>
        <w:tabs>
          <w:tab w:leader="none" w:pos="17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if marketed by a person who is not an authorized person under FSMA, (a) persons who fall within Article 19(5) of the Financial Services and Markets Act 2000 (Financial Promotion) Order 2005, as amended (the “Financial Promotion Order”) or (b) Article 49(2)(a) to (d) of the Financial Promotion Order; and</w:t>
      </w:r>
    </w:p>
    <w:p>
      <w:pPr>
        <w:spacing w:after="0" w:line="86" w:lineRule="exact"/>
        <w:rPr>
          <w:rFonts w:ascii="Arial" w:cs="Arial" w:eastAsia="Arial" w:hAnsi="Arial"/>
          <w:sz w:val="18"/>
          <w:szCs w:val="18"/>
          <w:color w:val="auto"/>
        </w:rPr>
      </w:pPr>
    </w:p>
    <w:p>
      <w:pPr>
        <w:ind w:left="1080" w:right="40" w:firstLine="391"/>
        <w:spacing w:after="0" w:line="279" w:lineRule="auto"/>
        <w:tabs>
          <w:tab w:leader="none" w:pos="177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both cases (i) and (ii) to any other person to whom it may otherwise lawfully be made, (all such persons together being referred to as “relevant persons”). 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w:t>
      </w:r>
    </w:p>
    <w:p>
      <w:pPr>
        <w:spacing w:after="0" w:line="77" w:lineRule="exact"/>
        <w:rPr>
          <w:sz w:val="20"/>
          <w:szCs w:val="20"/>
          <w:color w:val="auto"/>
        </w:rPr>
      </w:pPr>
    </w:p>
    <w:p>
      <w:pPr>
        <w:jc w:val="both"/>
        <w:ind w:left="700" w:right="180" w:firstLine="397"/>
        <w:spacing w:after="0" w:line="312" w:lineRule="auto"/>
        <w:rPr>
          <w:sz w:val="20"/>
          <w:szCs w:val="20"/>
          <w:color w:val="auto"/>
        </w:rPr>
      </w:pPr>
      <w:r>
        <w:rPr>
          <w:rFonts w:ascii="Arial" w:cs="Arial" w:eastAsia="Arial" w:hAnsi="Arial"/>
          <w:sz w:val="16"/>
          <w:szCs w:val="16"/>
          <w:color w:val="auto"/>
        </w:rPr>
        <w:t>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Notice to Prospective Investors in Germany</w:t>
      </w:r>
    </w:p>
    <w:p>
      <w:pPr>
        <w:spacing w:after="0" w:line="131"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This prospectus has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Finanzdienstleistungsaufsicht-BaFin) nor any other German authority has been notified of the intention to distribute our common units in Germany. Consequently, our common units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the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w:t>
      </w:r>
    </w:p>
    <w:p>
      <w:pPr>
        <w:spacing w:after="0" w:line="3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Section 2 paragraph 11 sentence 2 no. 1 of the German Investment Act. This prospectus is strictly for use of the person who has received it. It may not be forwarded to other persons or published in Germany.</w:t>
      </w:r>
    </w:p>
    <w:p>
      <w:pPr>
        <w:spacing w:after="0" w:line="7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This offering of our common units does not constitute an offer to buy or the solicitation or an offer to sell our common units in any circumstances in which such offer or solicitation is unlawful.</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Notice to Prospective Investors in the Netherlands</w:t>
      </w:r>
    </w:p>
    <w:p>
      <w:pPr>
        <w:spacing w:after="0" w:line="131"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Our common units may not be offered or sold, directly or indirectly, in the Netherlands, other than to qualified investors (gekwalificeerde beleggers) within the meaning of Article 1:1 of the Dutch Financial Supervision Act (Wet op het financieel toezicht).</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w:t>
      </w:r>
    </w:p>
    <w:p>
      <w:pPr>
        <w:spacing w:after="0" w:line="92"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2009, have been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balance sheet as of December 31, 2009 of PAA GP LLC incorporated in this prospectus supplement by reference to Plains All American Pipeline, L.P.’s Current Report on Form 8-K filed March 12, 2010, has been so incorporated in reliance on the report of PricewaterhouseCoopers LLP, an independent registered public accounting firm, given on the authority of said firm as experts in auditing and accounting.</w:t>
      </w:r>
    </w:p>
    <w:p>
      <w:pPr>
        <w:spacing w:after="0" w:line="30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or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w:t>
      </w:r>
    </w:p>
    <w:p>
      <w:pPr>
        <w:spacing w:after="0" w:line="95"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2010;</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February 22, 2010 (board of director changes, compensation arrangements for certain executive officers);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2010 (audited balance sheet of PAA GP LLC as of December 31, 2009);</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June 17, 2010 (unaudited balance sheet of PAA GP LLC as of March 31, 2010);</w:t>
      </w:r>
    </w:p>
    <w:p>
      <w:pPr>
        <w:spacing w:after="0" w:line="62"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(other than Item 9.01, which was furnished) with the SEC on July 13, 2010 (documentation related to debt offering);</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Report on Form 8-K filed with the SEC on August 19, 2010 (departure and appointment of certain executive officers);</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10, 2010 (compensation arrangements for certain executive officers); and</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28, 2010 (Second Amendment to Second Restated Credit Agreement).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You may request a copy of these filings (other than any exhibits unless specifically incorporated by reference into this prospectus supplement and the accompanying prospectus) at no cost by making written or telephone requests for copies to:</w:t>
      </w:r>
    </w:p>
    <w:p>
      <w:pPr>
        <w:spacing w:after="0" w:line="5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646-4100</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Additionally, you may read and copy any materials that we have filed with the SEC at the SEC’s Public Reference Room at</w:t>
      </w:r>
    </w:p>
    <w:p>
      <w:pPr>
        <w:spacing w:after="0" w:line="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w:t>
      </w:r>
    </w:p>
    <w:p>
      <w:pPr>
        <w:spacing w:after="0" w:line="9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119380</wp:posOffset>
            </wp:positionV>
            <wp:extent cx="1132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Common Units</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Debt Securities</w:t>
      </w:r>
    </w:p>
    <w:p>
      <w:pPr>
        <w:spacing w:after="0" w:line="112"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81" w:lineRule="exact"/>
        <w:rPr>
          <w:sz w:val="20"/>
          <w:szCs w:val="20"/>
          <w:color w:val="auto"/>
        </w:rPr>
      </w:pPr>
    </w:p>
    <w:p>
      <w:pPr>
        <w:ind w:left="700" w:right="460" w:firstLine="397"/>
        <w:spacing w:after="0" w:line="301" w:lineRule="auto"/>
        <w:rPr>
          <w:sz w:val="20"/>
          <w:szCs w:val="20"/>
          <w:color w:val="auto"/>
        </w:rPr>
      </w:pPr>
      <w:r>
        <w:rPr>
          <w:rFonts w:ascii="Arial" w:cs="Arial" w:eastAsia="Arial" w:hAnsi="Arial"/>
          <w:sz w:val="19"/>
          <w:szCs w:val="19"/>
          <w:b w:val="1"/>
          <w:bCs w:val="1"/>
          <w:color w:val="auto"/>
        </w:rPr>
        <w:t>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w:t>
      </w:r>
    </w:p>
    <w:p>
      <w:pPr>
        <w:spacing w:after="0" w:line="4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72" w:lineRule="exact"/>
        <w:rPr>
          <w:sz w:val="20"/>
          <w:szCs w:val="20"/>
          <w:color w:val="auto"/>
        </w:rPr>
      </w:pPr>
    </w:p>
    <w:p>
      <w:pPr>
        <w:ind w:left="700" w:right="280" w:firstLine="397"/>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7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date of this prospectus is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92075</wp:posOffset>
            </wp:positionV>
            <wp:extent cx="1132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78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400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WHO WE ARE</w:t>
              </w:r>
            </w:hyperlink>
          </w:p>
        </w:tc>
        <w:tc>
          <w:tcPr>
            <w:tcW w:w="1760" w:type="dxa"/>
            <w:vAlign w:val="bottom"/>
            <w:tcBorders>
              <w:top w:val="single" w:sz="8" w:color="0000EE"/>
            </w:tcBorders>
            <w:gridSpan w:val="6"/>
          </w:tcPr>
          <w:p>
            <w:pPr>
              <w:spacing w:after="0"/>
              <w:rPr>
                <w:sz w:val="17"/>
                <w:szCs w:val="17"/>
                <w:color w:val="auto"/>
              </w:rPr>
            </w:pPr>
          </w:p>
        </w:tc>
        <w:tc>
          <w:tcPr>
            <w:tcW w:w="48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USE OF PROCEEDS</w:t>
              </w:r>
            </w:hyperlink>
          </w:p>
        </w:tc>
        <w:tc>
          <w:tcPr>
            <w:tcW w:w="62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RATIO OF EARNINGS TO FIXED CHARGES</w:t>
              </w:r>
            </w:hyperlink>
          </w:p>
        </w:tc>
        <w:tc>
          <w:tcPr>
            <w:tcW w:w="430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OUR DEBT SECURITIES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DESCRIPTION OF OUR COMMON UNITS</w:t>
              </w:r>
            </w:hyperlink>
          </w:p>
        </w:tc>
        <w:tc>
          <w:tcPr>
            <w:tcW w:w="120" w:type="dxa"/>
            <w:vAlign w:val="bottom"/>
            <w:tcBorders>
              <w:top w:val="single" w:sz="8" w:color="0000EE"/>
            </w:tcBorders>
          </w:tcPr>
          <w:p>
            <w:pPr>
              <w:spacing w:after="0"/>
              <w:rPr>
                <w:sz w:val="17"/>
                <w:szCs w:val="17"/>
                <w:color w:val="auto"/>
              </w:rPr>
            </w:pPr>
          </w:p>
        </w:tc>
        <w:tc>
          <w:tcPr>
            <w:tcW w:w="436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CASH DISTRIBUTION POLICY</w:t>
              </w:r>
            </w:hyperlink>
          </w:p>
        </w:tc>
        <w:tc>
          <w:tcPr>
            <w:tcW w:w="532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OUR PARTNERSHIP AGREEMENT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MATERIAL INCOME TAX CONSIDERATIONS</w:t>
              </w:r>
            </w:hyperlink>
          </w:p>
        </w:tc>
        <w:tc>
          <w:tcPr>
            <w:tcW w:w="356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416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EXPERTS</w:t>
              </w:r>
            </w:hyperlink>
          </w:p>
        </w:tc>
        <w:tc>
          <w:tcPr>
            <w:tcW w:w="636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397"/>
        <w:spacing w:after="0" w:line="266"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82" w:lineRule="exact"/>
        <w:rPr>
          <w:sz w:val="20"/>
          <w:szCs w:val="20"/>
          <w:color w:val="auto"/>
        </w:rPr>
      </w:pPr>
    </w:p>
    <w:p>
      <w:pPr>
        <w:ind w:right="40" w:firstLine="397"/>
        <w:spacing w:after="0" w:line="281" w:lineRule="auto"/>
        <w:rPr>
          <w:sz w:val="20"/>
          <w:szCs w:val="20"/>
          <w:color w:val="auto"/>
        </w:rPr>
      </w:pPr>
      <w:r>
        <w:rPr>
          <w:rFonts w:ascii="Arial" w:cs="Arial" w:eastAsia="Arial" w:hAnsi="Arial"/>
          <w:sz w:val="17"/>
          <w:szCs w:val="17"/>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1" w:right="10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9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2"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2009 and June 30, 2009;</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25, 2009 (compensation arrangements for certain of our executive officers);</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2009 (audited balance sheet of PAA GP LLC as of December 31, 2008);</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March 18, 2009 (documentation related to equity offering);</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20, 2009 (documentation related to debt offering);</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May 22, 2009 (election of Christopher M. Temple to the board of directors of Plains All American GP LLC);</w:t>
      </w:r>
    </w:p>
    <w:p>
      <w:pPr>
        <w:spacing w:after="0" w:line="62"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7, 2009 (unaudited balance sheet of PAA GP LLC as of March 31, 2009);</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23, 2009 (documentation related to debt offering);</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August 28, 2009 (unregistered sale of equity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3, 2009 (amendment of the Limited Partnership Agreement of Plains All American Pipeline, L.P.);</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4, 2009 (documentation related to debt offering);</w:t>
      </w:r>
    </w:p>
    <w:p>
      <w:pPr>
        <w:spacing w:after="0" w:line="117" w:lineRule="exact"/>
        <w:rPr>
          <w:rFonts w:ascii="Arial" w:cs="Arial" w:eastAsia="Arial" w:hAnsi="Arial"/>
          <w:sz w:val="18"/>
          <w:szCs w:val="18"/>
          <w:color w:val="auto"/>
        </w:rPr>
      </w:pPr>
    </w:p>
    <w:p>
      <w:pPr>
        <w:ind w:left="1300" w:right="92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September 11, 2009 (documentation related to equity offering);</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28, 2009 (audited balance sheet of PAA GP LLC as of June 30, 2009); and</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9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646-4100</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83"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300" w:right="20" w:hanging="202"/>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deteriorated financial markets, capital constraints and pervasive liquidity concerns; and</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w:t>
      </w:r>
    </w:p>
    <w:p>
      <w:pPr>
        <w:spacing w:after="0" w:line="6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w:t>
      </w:r>
    </w:p>
    <w:p>
      <w:pPr>
        <w:spacing w:after="0" w:line="87"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87" w:lineRule="exact"/>
        <w:rPr>
          <w:sz w:val="20"/>
          <w:szCs w:val="20"/>
          <w:color w:val="auto"/>
        </w:rPr>
      </w:pPr>
    </w:p>
    <w:p>
      <w:pPr>
        <w:ind w:left="700" w:right="1100" w:firstLine="397"/>
        <w:spacing w:after="0" w:line="277" w:lineRule="auto"/>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vMerge w:val="restart"/>
          </w:tcPr>
          <w:p>
            <w:pPr>
              <w:jc w:val="center"/>
              <w:ind w:right="120"/>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line="140" w:lineRule="exact"/>
              <w:rPr>
                <w:sz w:val="20"/>
                <w:szCs w:val="20"/>
                <w:color w:val="auto"/>
              </w:rPr>
            </w:pPr>
            <w:r>
              <w:rPr>
                <w:rFonts w:ascii="Arial" w:cs="Arial" w:eastAsia="Arial" w:hAnsi="Arial"/>
                <w:sz w:val="13"/>
                <w:szCs w:val="13"/>
                <w:b w:val="1"/>
                <w:bCs w:val="1"/>
                <w:color w:val="auto"/>
                <w:w w:val="88"/>
              </w:rPr>
              <w:t>June 30,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10"/>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17"/>
              <w:spacing w:after="0" w:line="129"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2005</w:t>
            </w: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2004</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color w:val="auto"/>
              </w:rPr>
              <w:t>Ratio of Earnings to Fixed Charges(1)</w:t>
            </w:r>
          </w:p>
        </w:tc>
        <w:tc>
          <w:tcPr>
            <w:tcW w:w="30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3.55x</w:t>
            </w: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2.60x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2.45x</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2.83x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3.34x</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3.37x</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spacing w:after="0"/>
              <w:rPr>
                <w:sz w:val="12"/>
                <w:szCs w:val="12"/>
                <w:color w:val="auto"/>
              </w:rPr>
            </w:pPr>
          </w:p>
        </w:tc>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0" w:hanging="301"/>
        <w:spacing w:after="0" w:line="26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DESCRIPTION OF OUR DEBT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debt securities will be:</w:t>
      </w:r>
    </w:p>
    <w:p>
      <w:pPr>
        <w:spacing w:after="0" w:line="131"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300" w:right="76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us, the guarantors and U.S. Bank National Association, as Trustee.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31"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w:t>
      </w:r>
    </w:p>
    <w:p>
      <w:pPr>
        <w:spacing w:after="0" w:line="8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Asset Sale</w:t>
      </w:r>
    </w:p>
    <w:p>
      <w:pPr>
        <w:spacing w:after="0" w:line="135" w:lineRule="exact"/>
        <w:rPr>
          <w:sz w:val="20"/>
          <w:szCs w:val="20"/>
          <w:color w:val="auto"/>
        </w:rPr>
      </w:pPr>
    </w:p>
    <w:p>
      <w:pPr>
        <w:jc w:val="both"/>
        <w:ind w:left="700" w:right="20" w:firstLine="397"/>
        <w:spacing w:after="0" w:line="279" w:lineRule="auto"/>
        <w:rPr>
          <w:sz w:val="20"/>
          <w:szCs w:val="20"/>
          <w:color w:val="auto"/>
        </w:rPr>
      </w:pPr>
      <w:r>
        <w:rPr>
          <w:rFonts w:ascii="Arial" w:cs="Arial" w:eastAsia="Arial" w:hAnsi="Arial"/>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7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6" w:lineRule="exact"/>
        <w:rPr>
          <w:sz w:val="20"/>
          <w:szCs w:val="20"/>
          <w:color w:val="auto"/>
        </w:rPr>
      </w:pPr>
    </w:p>
    <w:p>
      <w:pPr>
        <w:ind w:left="1300" w:right="260" w:hanging="202"/>
        <w:spacing w:after="0" w:line="286"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7"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Indentures</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95"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17" w:lineRule="exact"/>
        <w:rPr>
          <w:rFonts w:ascii="Arial" w:cs="Arial" w:eastAsia="Arial" w:hAnsi="Arial"/>
          <w:sz w:val="18"/>
          <w:szCs w:val="18"/>
          <w:color w:val="auto"/>
        </w:rPr>
      </w:pPr>
    </w:p>
    <w:p>
      <w:pPr>
        <w:ind w:left="1300" w:right="340" w:hanging="202"/>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76"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62"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“Event of Default,” when used in an indenture, will mean any of the following with respect to the debt securities of any series:</w:t>
      </w:r>
    </w:p>
    <w:p>
      <w:pPr>
        <w:spacing w:after="0" w:line="142"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on the part of the issuers to comply with the covenant described under “— Consolidation, Merger or Asset Sale;”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that continues for 30 days after written notice is given to the issuers;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31"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5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of conducting any proceeding or any remedy available to the Trustee, or exercising any power conferred upon the Trustee, for that series of debt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35"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of Notes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Minimum Denominations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Personal Liability</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2" w:lineRule="exact"/>
        <w:rPr>
          <w:sz w:val="20"/>
          <w:szCs w:val="20"/>
          <w:color w:val="auto"/>
        </w:rPr>
      </w:pPr>
    </w:p>
    <w:p>
      <w:pPr>
        <w:jc w:val="both"/>
        <w:ind w:left="700" w:right="360" w:firstLine="397"/>
        <w:spacing w:after="0" w:line="264"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Registration and Transfer</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be required to:</w:t>
      </w:r>
    </w:p>
    <w:p>
      <w:pPr>
        <w:spacing w:after="0" w:line="131" w:lineRule="exact"/>
        <w:rPr>
          <w:sz w:val="20"/>
          <w:szCs w:val="20"/>
          <w:color w:val="auto"/>
        </w:rPr>
      </w:pPr>
    </w:p>
    <w:p>
      <w:pPr>
        <w:ind w:left="1300" w:right="26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close of business on the day of mailing of the relevant notice of redemption or repurchase, or between a record date and the next succeeding interest payment date; or</w:t>
      </w:r>
    </w:p>
    <w:p>
      <w:pPr>
        <w:spacing w:after="0" w:line="76" w:lineRule="exact"/>
        <w:rPr>
          <w:sz w:val="20"/>
          <w:szCs w:val="20"/>
          <w:color w:val="auto"/>
        </w:rPr>
      </w:pPr>
    </w:p>
    <w:p>
      <w:pPr>
        <w:ind w:left="1300" w:right="10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300" w:right="420" w:hanging="202"/>
        <w:spacing w:after="0" w:line="28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7" w:lineRule="exact"/>
        <w:rPr>
          <w:rFonts w:ascii="Arial" w:cs="Arial" w:eastAsia="Arial" w:hAnsi="Arial"/>
          <w:sz w:val="17"/>
          <w:szCs w:val="17"/>
          <w:color w:val="auto"/>
        </w:rPr>
      </w:pPr>
    </w:p>
    <w:p>
      <w:pPr>
        <w:jc w:val="both"/>
        <w:ind w:left="1300" w:right="180" w:hanging="202"/>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has provided us the following information: DTC is a limited-purpose trust company organized under the New York Banking Law, a “banking organization” within the meaning of the New York Banking Law, 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3" w:lineRule="auto"/>
        <w:rPr>
          <w:sz w:val="20"/>
          <w:szCs w:val="20"/>
          <w:color w:val="auto"/>
        </w:rPr>
      </w:pPr>
      <w:r>
        <w:rPr>
          <w:rFonts w:ascii="Arial" w:cs="Arial" w:eastAsia="Arial" w:hAnsi="Arial"/>
          <w:sz w:val="17"/>
          <w:szCs w:val="17"/>
          <w:color w:val="auto"/>
        </w:rPr>
        <w:t>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84"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w:t>
      </w:r>
    </w:p>
    <w:p>
      <w:pPr>
        <w:spacing w:after="0" w:line="76"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5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83"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6" w:lineRule="exact"/>
        <w:rPr>
          <w:sz w:val="20"/>
          <w:szCs w:val="20"/>
          <w:color w:val="auto"/>
        </w:rPr>
      </w:pPr>
    </w:p>
    <w:p>
      <w:pPr>
        <w:ind w:left="1300" w:right="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340" w:hanging="250"/>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80" w:right="100" w:firstLine="391"/>
        <w:spacing w:after="0" w:line="264" w:lineRule="auto"/>
        <w:tabs>
          <w:tab w:leader="none" w:pos="17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6" w:lineRule="exact"/>
        <w:rPr>
          <w:rFonts w:ascii="Arial" w:cs="Arial" w:eastAsia="Arial" w:hAnsi="Arial"/>
          <w:sz w:val="18"/>
          <w:szCs w:val="18"/>
          <w:color w:val="auto"/>
        </w:rPr>
      </w:pPr>
    </w:p>
    <w:p>
      <w:pPr>
        <w:ind w:left="1080" w:firstLine="391"/>
        <w:spacing w:after="0" w:line="276" w:lineRule="auto"/>
        <w:tabs>
          <w:tab w:leader="none" w:pos="1716"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86" w:lineRule="auto"/>
        <w:rPr>
          <w:sz w:val="20"/>
          <w:szCs w:val="20"/>
          <w:color w:val="auto"/>
        </w:rPr>
      </w:pPr>
      <w:r>
        <w:rPr>
          <w:rFonts w:ascii="Arial" w:cs="Arial" w:eastAsia="Arial" w:hAnsi="Arial"/>
          <w:sz w:val="17"/>
          <w:szCs w:val="17"/>
          <w:color w:val="auto"/>
        </w:rPr>
        <w:t>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1" w:lineRule="exact"/>
        <w:rPr>
          <w:sz w:val="20"/>
          <w:szCs w:val="20"/>
          <w:color w:val="auto"/>
        </w:rPr>
      </w:pPr>
    </w:p>
    <w:p>
      <w:pPr>
        <w:ind w:left="1340" w:hanging="250"/>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700" w:right="600" w:firstLine="390"/>
        <w:spacing w:after="0" w:line="277" w:lineRule="auto"/>
        <w:tabs>
          <w:tab w:leader="none" w:pos="13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76"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31"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UNITS</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5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Our outstanding common units are listed on the NYSE under the symbol “PAA.” Any additional common units we issue will also be listed on the NYSE.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holder of common units is entitled to one vote for each common unit on all matters submitted to a vote of the unitholders.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76"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7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Liability</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77"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Reports and Records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As soon as practicable, but in no event later than 120 days after the close of each fiscal year, our general partner will furnish or make available to each unitholder of record (as of a record date selected by our general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302" w:lineRule="auto"/>
        <w:rPr>
          <w:sz w:val="20"/>
          <w:szCs w:val="20"/>
          <w:color w:val="auto"/>
        </w:rPr>
      </w:pPr>
      <w:r>
        <w:rPr>
          <w:rFonts w:ascii="Arial" w:cs="Arial" w:eastAsia="Arial" w:hAnsi="Arial"/>
          <w:sz w:val="16"/>
          <w:szCs w:val="16"/>
          <w:color w:val="auto"/>
        </w:rPr>
        <w:t>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76" w:lineRule="exact"/>
        <w:rPr>
          <w:sz w:val="20"/>
          <w:szCs w:val="20"/>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117" w:lineRule="exact"/>
        <w:rPr>
          <w:rFonts w:ascii="Arial" w:cs="Arial" w:eastAsia="Arial" w:hAnsi="Arial"/>
          <w:sz w:val="18"/>
          <w:szCs w:val="18"/>
          <w:color w:val="auto"/>
        </w:rPr>
      </w:pPr>
    </w:p>
    <w:p>
      <w:pPr>
        <w:ind w:left="1300" w:right="500" w:hanging="202"/>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7"/>
          <w:szCs w:val="17"/>
          <w:color w:val="auto"/>
        </w:rPr>
      </w:pPr>
    </w:p>
    <w:p>
      <w:pPr>
        <w:ind w:left="1300" w:right="8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Available Cash</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will distribute to our unitholders, on a quarterly basis, all of our available cash in the manner described below.</w:t>
      </w:r>
    </w:p>
    <w:p>
      <w:pPr>
        <w:spacing w:after="0" w:line="142"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29" w:lineRule="exact"/>
        <w:rPr>
          <w:sz w:val="20"/>
          <w:szCs w:val="20"/>
          <w:color w:val="auto"/>
        </w:rPr>
      </w:pPr>
    </w:p>
    <w:p>
      <w:pPr>
        <w:ind w:left="1300" w:hanging="20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funds for distributions to unitholders and the general partner in respect of any one or more of the next four quarters.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unitholders will be characterized as either operating surplus or capital surplus. We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operating surplus differently than available cash from capital surplus. See “— Quarterly Distributions of Available Cash.”</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131" w:lineRule="exact"/>
        <w:rPr>
          <w:sz w:val="20"/>
          <w:szCs w:val="20"/>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ind w:left="1300" w:right="640" w:hanging="202"/>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131"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87" w:lineRule="exact"/>
        <w:rPr>
          <w:sz w:val="20"/>
          <w:szCs w:val="20"/>
          <w:color w:val="auto"/>
        </w:rPr>
      </w:pPr>
    </w:p>
    <w:p>
      <w:pPr>
        <w:jc w:val="both"/>
        <w:ind w:left="700" w:right="340" w:firstLine="397"/>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31" w:lineRule="exact"/>
        <w:rPr>
          <w:sz w:val="20"/>
          <w:szCs w:val="20"/>
          <w:color w:val="auto"/>
        </w:rPr>
      </w:pPr>
    </w:p>
    <w:p>
      <w:pPr>
        <w:ind w:left="1300" w:right="42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87" w:lineRule="exact"/>
        <w:rPr>
          <w:sz w:val="20"/>
          <w:szCs w:val="20"/>
          <w:color w:val="auto"/>
        </w:rPr>
      </w:pPr>
    </w:p>
    <w:p>
      <w:pPr>
        <w:ind w:left="1300" w:right="36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31"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135"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52"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i w:val="1"/>
          <w:iCs w:val="1"/>
          <w:color w:val="auto"/>
        </w:rPr>
        <w:t xml:space="preserve">How Distributions from Capital Surplus Will Be Made. </w:t>
      </w:r>
      <w:r>
        <w:rPr>
          <w:rFonts w:ascii="Arial" w:cs="Arial" w:eastAsia="Arial" w:hAnsi="Arial"/>
          <w:sz w:val="18"/>
          <w:szCs w:val="18"/>
          <w:color w:val="auto"/>
        </w:rPr>
        <w:t>We will make distributions of available cash from capital surplus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manner:</w:t>
      </w:r>
    </w:p>
    <w:p>
      <w:pPr>
        <w:spacing w:after="0" w:line="76" w:lineRule="exact"/>
        <w:rPr>
          <w:sz w:val="20"/>
          <w:szCs w:val="20"/>
          <w:color w:val="auto"/>
        </w:rPr>
      </w:pPr>
    </w:p>
    <w:p>
      <w:pPr>
        <w:ind w:left="1300" w:right="380" w:hanging="202"/>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9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When Payback Occurs. </w:t>
      </w:r>
      <w:r>
        <w:rPr>
          <w:rFonts w:ascii="Arial" w:cs="Arial" w:eastAsia="Arial" w:hAnsi="Arial"/>
          <w:sz w:val="18"/>
          <w:szCs w:val="18"/>
          <w:color w:val="auto"/>
        </w:rPr>
        <w:t>When “payback” of the reduced initial unit price has occurred, i.e., when the unrecovered capital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is zero, then</w:t>
      </w:r>
    </w:p>
    <w:p>
      <w:pPr>
        <w:spacing w:after="0" w:line="76" w:lineRule="exact"/>
        <w:rPr>
          <w:sz w:val="20"/>
          <w:szCs w:val="20"/>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92" w:lineRule="exact"/>
        <w:rPr>
          <w:sz w:val="20"/>
          <w:szCs w:val="20"/>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If We Became Subject to Taxation. </w:t>
      </w:r>
      <w:r>
        <w:rPr>
          <w:rFonts w:ascii="Arial" w:cs="Arial" w:eastAsia="Arial" w:hAnsi="Arial"/>
          <w:sz w:val="18"/>
          <w:szCs w:val="18"/>
          <w:color w:val="auto"/>
        </w:rPr>
        <w:t>If legislation is enacted or if existing law is modified or interpreted by the relevant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so that we become taxable as a corporation or otherwise subject to taxation as an entity for federal, state or local income tax purposes, we will adjust the minimum quarterly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distribution and each of the target distribution levels, respectively, to equal the product obtained by multiplying the amount thereof by:</w:t>
      </w:r>
    </w:p>
    <w:p>
      <w:pPr>
        <w:spacing w:after="0" w:line="154" w:lineRule="exact"/>
        <w:rPr>
          <w:sz w:val="20"/>
          <w:szCs w:val="20"/>
          <w:color w:val="auto"/>
        </w:rPr>
      </w:pPr>
    </w:p>
    <w:p>
      <w:pPr>
        <w:ind w:left="1300" w:right="420" w:hanging="202"/>
        <w:spacing w:after="0" w:line="286"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1"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we dissolve and liquidate, we will sell our assets or otherwise dispose of our assets and we will adjust the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Manner of Adjustment. </w:t>
      </w:r>
      <w:r>
        <w:rPr>
          <w:rFonts w:ascii="Arial" w:cs="Arial" w:eastAsia="Arial" w:hAnsi="Arial"/>
          <w:sz w:val="18"/>
          <w:szCs w:val="18"/>
          <w:color w:val="auto"/>
        </w:rPr>
        <w:t>If we liquidate, we would allocate any loss to the general partner and each unitholder as follows:</w:t>
      </w:r>
    </w:p>
    <w:p>
      <w:pPr>
        <w:spacing w:after="0" w:line="131" w:lineRule="exact"/>
        <w:rPr>
          <w:sz w:val="20"/>
          <w:szCs w:val="20"/>
          <w:color w:val="auto"/>
        </w:rPr>
      </w:pPr>
    </w:p>
    <w:p>
      <w:pPr>
        <w:ind w:left="1300" w:right="240" w:hanging="202"/>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76"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ind w:left="700" w:right="40" w:firstLine="397"/>
        <w:spacing w:after="0" w:line="259"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35"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Issuance of Additional Securities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8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92" w:lineRule="exact"/>
        <w:rPr>
          <w:sz w:val="20"/>
          <w:szCs w:val="20"/>
          <w:color w:val="auto"/>
        </w:rPr>
      </w:pPr>
    </w:p>
    <w:p>
      <w:pPr>
        <w:jc w:val="both"/>
        <w:ind w:left="700" w:right="620" w:firstLine="397"/>
        <w:spacing w:after="0" w:line="342" w:lineRule="auto"/>
        <w:rPr>
          <w:sz w:val="20"/>
          <w:szCs w:val="20"/>
          <w:color w:val="auto"/>
        </w:rPr>
      </w:pPr>
      <w:r>
        <w:rPr>
          <w:rFonts w:ascii="Arial" w:cs="Arial" w:eastAsia="Arial" w:hAnsi="Arial"/>
          <w:sz w:val="16"/>
          <w:szCs w:val="16"/>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2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8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99"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7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35"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1" w:lineRule="exact"/>
        <w:rPr>
          <w:sz w:val="20"/>
          <w:szCs w:val="20"/>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Management Provisions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76" w:lineRule="exact"/>
        <w:rPr>
          <w:sz w:val="20"/>
          <w:szCs w:val="20"/>
          <w:color w:val="auto"/>
        </w:rPr>
      </w:pPr>
    </w:p>
    <w:p>
      <w:pPr>
        <w:ind w:left="1300" w:right="46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Call Right</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84"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INCOME TAX CONSIDERATIONS</w:t>
      </w:r>
    </w:p>
    <w:p>
      <w:pPr>
        <w:spacing w:after="0" w:line="135"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84"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84"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72"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Status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94"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Section 7704 of the Internal Revenue Code provides that publicly traded partnerships will, as a general rule, be taxed as corporations. However, an exception, referred to as the “Qualifying Income Exception,” exists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8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99"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76" w:lineRule="exact"/>
        <w:rPr>
          <w:sz w:val="20"/>
          <w:szCs w:val="20"/>
          <w:color w:val="auto"/>
        </w:rPr>
      </w:pPr>
    </w:p>
    <w:p>
      <w:pPr>
        <w:ind w:left="1720" w:hanging="249"/>
        <w:spacing w:after="0"/>
        <w:tabs>
          <w:tab w:leader="none" w:pos="1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we nor the operating partnerships have elected or will elect to be treated as a corporation;</w:t>
      </w:r>
    </w:p>
    <w:p>
      <w:pPr>
        <w:spacing w:after="0" w:line="130" w:lineRule="exact"/>
        <w:rPr>
          <w:rFonts w:ascii="Arial" w:cs="Arial" w:eastAsia="Arial" w:hAnsi="Arial"/>
          <w:sz w:val="18"/>
          <w:szCs w:val="18"/>
          <w:color w:val="auto"/>
        </w:rPr>
      </w:pPr>
    </w:p>
    <w:p>
      <w:pPr>
        <w:ind w:left="1080" w:right="260" w:firstLine="391"/>
        <w:spacing w:after="0" w:line="342" w:lineRule="auto"/>
        <w:tabs>
          <w:tab w:leader="none" w:pos="17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29" w:lineRule="exact"/>
        <w:rPr>
          <w:rFonts w:ascii="Arial" w:cs="Arial" w:eastAsia="Arial" w:hAnsi="Arial"/>
          <w:sz w:val="16"/>
          <w:szCs w:val="16"/>
          <w:color w:val="auto"/>
        </w:rPr>
      </w:pPr>
    </w:p>
    <w:p>
      <w:pPr>
        <w:ind w:left="1080" w:right="140" w:firstLine="391"/>
        <w:spacing w:after="0" w:line="259" w:lineRule="auto"/>
        <w:tabs>
          <w:tab w:leader="none" w:pos="1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believe that these representations have been true in the past and expect that these representations will be true in the future.</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discussion below is based on Vinson &amp; Elkins L.L.P.’s opinion that we will be classified as a partnership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Partner Status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Unitholders who have become limited partners of Plains All American Pipeline, L.P. will be treated as partners of Plains All American Pipeline, L.P. for federal income tax purposes. Also:</w:t>
      </w:r>
    </w:p>
    <w:p>
      <w:pPr>
        <w:spacing w:after="0" w:line="76"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assignees who have executed and delivered transfer applications, and are awaiting admission as limited partners and</w:t>
      </w:r>
    </w:p>
    <w:p>
      <w:pPr>
        <w:spacing w:after="0" w:line="128" w:lineRule="exact"/>
        <w:rPr>
          <w:rFonts w:ascii="Arial" w:cs="Arial" w:eastAsia="Arial" w:hAnsi="Arial"/>
          <w:sz w:val="17"/>
          <w:szCs w:val="17"/>
          <w:color w:val="auto"/>
        </w:rPr>
      </w:pPr>
    </w:p>
    <w:p>
      <w:pPr>
        <w:ind w:left="1300" w:right="32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7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9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92"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references to “unitholders” in the discussion that follows are to persons who are treated as partners in Plains All American Pipeline, L.P.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8"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Treatment of Distributions. </w:t>
      </w:r>
      <w:r>
        <w:rPr>
          <w:rFonts w:ascii="Arial" w:cs="Arial" w:eastAsia="Arial" w:hAnsi="Arial"/>
          <w:sz w:val="17"/>
          <w:szCs w:val="17"/>
          <w:color w:val="auto"/>
        </w:rPr>
        <w:t>Distributions by us to a unitholder generally will not be taxable to the unitholder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 he must recapture any losses deducted in previous years. Please see “— Limitations on Deductibility of Losses.”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w:t>
      </w:r>
    </w:p>
    <w:p>
      <w:pPr>
        <w:spacing w:after="0" w:line="2" w:lineRule="exact"/>
        <w:rPr>
          <w:sz w:val="20"/>
          <w:szCs w:val="20"/>
          <w:color w:val="auto"/>
        </w:rPr>
      </w:pPr>
    </w:p>
    <w:p>
      <w:pPr>
        <w:ind w:left="700" w:right="160"/>
        <w:spacing w:after="0" w:line="253" w:lineRule="auto"/>
        <w:rPr>
          <w:sz w:val="20"/>
          <w:szCs w:val="20"/>
          <w:color w:val="auto"/>
        </w:rPr>
      </w:pPr>
      <w:r>
        <w:rPr>
          <w:rFonts w:ascii="Arial" w:cs="Arial" w:eastAsia="Arial" w:hAnsi="Arial"/>
          <w:sz w:val="18"/>
          <w:szCs w:val="18"/>
          <w:color w:val="auto"/>
        </w:rPr>
        <w:t>“Section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w:t>
      </w:r>
    </w:p>
    <w:p>
      <w:pPr>
        <w:spacing w:after="0" w:line="9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our common units plus</w:t>
      </w:r>
      <w:r>
        <w:rPr>
          <w:rFonts w:ascii="Arial" w:cs="Arial" w:eastAsia="Arial" w:hAnsi="Arial"/>
          <w:sz w:val="18"/>
          <w:szCs w:val="18"/>
          <w:i w:val="1"/>
          <w:iCs w:val="1"/>
          <w:color w:val="auto"/>
        </w:rPr>
        <w:t xml:space="preserve"> </w:t>
      </w:r>
      <w:r>
        <w:rPr>
          <w:rFonts w:ascii="Arial" w:cs="Arial" w:eastAsia="Arial" w:hAnsi="Arial"/>
          <w:sz w:val="18"/>
          <w:szCs w:val="18"/>
          <w:color w:val="auto"/>
        </w:rPr>
        <w:t>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9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9" w:lineRule="auto"/>
        <w:rPr>
          <w:sz w:val="20"/>
          <w:szCs w:val="20"/>
          <w:color w:val="auto"/>
        </w:rPr>
      </w:pPr>
      <w:r>
        <w:rPr>
          <w:rFonts w:ascii="Arial" w:cs="Arial" w:eastAsia="Arial" w:hAnsi="Arial"/>
          <w:sz w:val="17"/>
          <w:szCs w:val="17"/>
          <w:color w:val="auto"/>
        </w:rPr>
        <w:t>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77"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5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amount of that taxpayer’s “net investment income.” Investment interest expense includes:</w:t>
      </w:r>
    </w:p>
    <w:p>
      <w:pPr>
        <w:spacing w:after="0" w:line="76" w:lineRule="exact"/>
        <w:rPr>
          <w:sz w:val="20"/>
          <w:szCs w:val="20"/>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Entity-Level Collections. </w:t>
      </w:r>
      <w:r>
        <w:rPr>
          <w:rFonts w:ascii="Arial" w:cs="Arial" w:eastAsia="Arial" w:hAnsi="Arial"/>
          <w:sz w:val="17"/>
          <w:szCs w:val="17"/>
          <w:color w:val="auto"/>
        </w:rPr>
        <w:t>If we are required or elect under applicable law to pay any federal, state, local or foreign income tax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8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8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0" w:lineRule="exact"/>
        <w:rPr>
          <w:sz w:val="20"/>
          <w:szCs w:val="20"/>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 is of the opinion that, with the exception of the issues described in “— Section 754 Election” and</w:t>
      </w:r>
    </w:p>
    <w:p>
      <w:pPr>
        <w:spacing w:after="0" w:line="23" w:lineRule="exact"/>
        <w:rPr>
          <w:sz w:val="20"/>
          <w:szCs w:val="20"/>
          <w:color w:val="auto"/>
        </w:rPr>
      </w:pPr>
    </w:p>
    <w:p>
      <w:pPr>
        <w:ind w:left="700" w:right="280"/>
        <w:spacing w:after="0" w:line="323" w:lineRule="auto"/>
        <w:rPr>
          <w:sz w:val="20"/>
          <w:szCs w:val="20"/>
          <w:color w:val="auto"/>
        </w:rPr>
      </w:pPr>
      <w:r>
        <w:rPr>
          <w:rFonts w:ascii="Arial" w:cs="Arial" w:eastAsia="Arial" w:hAnsi="Arial"/>
          <w:sz w:val="16"/>
          <w:szCs w:val="16"/>
          <w:color w:val="auto"/>
        </w:rPr>
        <w:t>“—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i w:val="1"/>
          <w:iCs w:val="1"/>
          <w:color w:val="auto"/>
        </w:rPr>
        <w:t xml:space="preserve">Treatment of Short Sales. </w:t>
      </w:r>
      <w:r>
        <w:rPr>
          <w:rFonts w:ascii="Arial" w:cs="Arial" w:eastAsia="Arial" w:hAnsi="Arial"/>
          <w:sz w:val="17"/>
          <w:szCs w:val="17"/>
          <w:color w:val="auto"/>
        </w:rPr>
        <w:t>A unitholder whose units are loaned to a “short seller” to cover a short sale of units may be considered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disposed of those units. If so, he would no longer be treated for tax purposes as a partner with respect to those units during the period of the loan and may recognize gain or loss from the disposition. As a result, during this period:</w:t>
      </w:r>
    </w:p>
    <w:p>
      <w:pPr>
        <w:spacing w:after="0" w:line="71"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units would be fully taxable;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3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6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Each unitholder will be required to take into account his distributive share of any items of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firstLine="397"/>
        <w:spacing w:after="0" w:line="297"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Under current law, the highest marginal U.S. federal income tax rate applicable to ordinary income of individuals is 35%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6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i w:val="1"/>
          <w:iCs w:val="1"/>
          <w:color w:val="auto"/>
        </w:rPr>
        <w:t xml:space="preserve">Section 754 Election. </w:t>
      </w:r>
      <w:r>
        <w:rPr>
          <w:rFonts w:ascii="Arial" w:cs="Arial" w:eastAsia="Arial" w:hAnsi="Arial"/>
          <w:sz w:val="17"/>
          <w:szCs w:val="17"/>
          <w:color w:val="auto"/>
        </w:rPr>
        <w:t>We have made the election permitted by Section 754 of the Internal Revenue Code. That election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Where the remedial allocation method is adopted (which we have generally adopted as to all of our properties), the Treasury</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Regulations under Section 743 of the Internal Revenue Code require a portion of the Section 743(b) adjustment that is attributable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recovery property subject to depreciation under Section 168 of the Internal Revenue Code whose book basis is in excess of its tax basis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depreciated over the remaining cost recovery period for the property’s unamortized Book-Tax Disparity. Under Treasury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 Section 1.167(c)-1(a)(6), a Section 743(b) adjustment attributable to property subject to depreciation under Section 167 of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Internal Revenue Code, rather than cost recovery deductions under Section 168, is generally required to be depreciated using either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straight-line method or the 150% declining balance method. If we elect a method other than the remedial method, the depreciation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methods and useful lives associated with the Section 743(b) adjustment, therefore, may differ from the methods and useful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lives generally used to depreciate the inside basis in such properties. Under our partnership agreement, the general partner is authorized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take a position to preserve the uniformity of units even if that position is not consistent with these and any other Treasury Regulations.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we elect a method other than the remedial method with respect to a goodwill property, the common basis of such property is not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Please see “— Uniformity of Units.”</w:t>
      </w:r>
    </w:p>
    <w:p>
      <w:pPr>
        <w:spacing w:after="0" w:line="116" w:lineRule="exact"/>
        <w:rPr>
          <w:sz w:val="20"/>
          <w:szCs w:val="20"/>
          <w:color w:val="auto"/>
        </w:rPr>
      </w:pPr>
    </w:p>
    <w:p>
      <w:pPr>
        <w:ind w:left="700" w:right="260" w:firstLine="397"/>
        <w:spacing w:after="0" w:line="284"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w:t>
      </w:r>
    </w:p>
    <w:p>
      <w:pPr>
        <w:spacing w:after="0" w:line="5" w:lineRule="exact"/>
        <w:rPr>
          <w:sz w:val="20"/>
          <w:szCs w:val="20"/>
          <w:color w:val="auto"/>
        </w:rPr>
      </w:pPr>
    </w:p>
    <w:p>
      <w:pPr>
        <w:ind w:left="700" w:right="60"/>
        <w:spacing w:after="0" w:line="267" w:lineRule="auto"/>
        <w:rPr>
          <w:sz w:val="20"/>
          <w:szCs w:val="20"/>
          <w:color w:val="auto"/>
        </w:rPr>
      </w:pPr>
      <w:r>
        <w:rPr>
          <w:rFonts w:ascii="Arial" w:cs="Arial" w:eastAsia="Arial" w:hAnsi="Arial"/>
          <w:sz w:val="17"/>
          <w:szCs w:val="17"/>
          <w:color w:val="auto"/>
        </w:rPr>
        <w:t>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uniformity of the units. If such a challenge were sustained, the gain from the sale of units might be increased without the benefit of additional deductions.</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8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Operations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83"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w:t>
      </w:r>
    </w:p>
    <w:p>
      <w:pPr>
        <w:spacing w:after="0" w:line="9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70"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92"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i w:val="1"/>
          <w:iCs w:val="1"/>
          <w:color w:val="auto"/>
        </w:rPr>
        <w:t xml:space="preserve">Valuation and Tax Basis of Our Properties. </w:t>
      </w:r>
      <w:r>
        <w:rPr>
          <w:rFonts w:ascii="Arial" w:cs="Arial" w:eastAsia="Arial" w:hAnsi="Arial"/>
          <w:sz w:val="17"/>
          <w:szCs w:val="17"/>
          <w:color w:val="auto"/>
        </w:rPr>
        <w:t>The federal income tax consequences of the ownership and disposition of units will</w:t>
      </w:r>
      <w:r>
        <w:rPr>
          <w:rFonts w:ascii="Arial" w:cs="Arial" w:eastAsia="Arial" w:hAnsi="Arial"/>
          <w:sz w:val="17"/>
          <w:szCs w:val="17"/>
          <w:i w:val="1"/>
          <w:iCs w:val="1"/>
          <w:color w:val="auto"/>
        </w:rPr>
        <w:t xml:space="preserve"> </w:t>
      </w:r>
      <w:r>
        <w:rPr>
          <w:rFonts w:ascii="Arial" w:cs="Arial" w:eastAsia="Arial" w:hAnsi="Arial"/>
          <w:sz w:val="17"/>
          <w:szCs w:val="17"/>
          <w:color w:val="auto"/>
        </w:rPr>
        <w:t>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Common Units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9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87"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87" w:lineRule="exact"/>
        <w:rPr>
          <w:sz w:val="20"/>
          <w:szCs w:val="20"/>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88"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9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are sales or exchanges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Uniformity of Units</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9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w:t>
      </w:r>
    </w:p>
    <w:p>
      <w:pPr>
        <w:spacing w:after="0" w:line="3"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color w:val="auto"/>
        </w:rPr>
        <w:t>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35"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52"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52"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83"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8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Administrative Matters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9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87"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94"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8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92" w:lineRule="exact"/>
        <w:rPr>
          <w:sz w:val="20"/>
          <w:szCs w:val="20"/>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person that is not a United States person;</w:t>
      </w:r>
    </w:p>
    <w:p>
      <w:pPr>
        <w:spacing w:after="0" w:line="117" w:lineRule="exact"/>
        <w:rPr>
          <w:rFonts w:ascii="Arial" w:cs="Arial" w:eastAsia="Arial" w:hAnsi="Arial"/>
          <w:sz w:val="18"/>
          <w:szCs w:val="18"/>
          <w:color w:val="auto"/>
        </w:rPr>
      </w:pPr>
    </w:p>
    <w:p>
      <w:pPr>
        <w:ind w:left="1480" w:right="860" w:hanging="180"/>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Internal Revenue Code for failure to report that information to us. The nominee is required to supply the beneficial owner of the units with the information furnished to us.</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94"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52" w:lineRule="exact"/>
        <w:rPr>
          <w:sz w:val="20"/>
          <w:szCs w:val="20"/>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8"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9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76" w:lineRule="exact"/>
        <w:rPr>
          <w:sz w:val="20"/>
          <w:szCs w:val="20"/>
          <w:color w:val="auto"/>
        </w:rPr>
      </w:pPr>
    </w:p>
    <w:p>
      <w:pPr>
        <w:ind w:left="1300" w:right="66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those persons otherwise entitled to deduct interest on federal tax deficiencies, nondeductibility of interest on any resulting tax liability;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7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6000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3010" cy="60007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rPr>
          <w:sz w:val="20"/>
          <w:szCs w:val="20"/>
          <w:color w:val="auto"/>
        </w:rPr>
      </w:pPr>
      <w:r>
        <w:rPr>
          <w:rFonts w:ascii="Arial" w:cs="Arial" w:eastAsia="Arial" w:hAnsi="Arial"/>
          <w:sz w:val="29"/>
          <w:szCs w:val="29"/>
          <w:b w:val="1"/>
          <w:bCs w:val="1"/>
          <w:color w:val="auto"/>
        </w:rPr>
        <w:t>4,000,000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34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November  , 2010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Citi</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BofA Merrill Lynch</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Morgan Stanley</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Wells Fargo Securities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Barclays Capital</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J.P. Morgan</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Raymond James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UBS Investment Bank</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Morgan Keegan</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148590</wp:posOffset>
            </wp:positionV>
            <wp:extent cx="630301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lowerLetter"/>
      <w:start w:val="1"/>
    </w:lvl>
    <w:lvl w:ilvl="1">
      <w:lvlJc w:val="left"/>
      <w:lvlText w:val="(%2)"/>
      <w:numFmt w:val="decimal"/>
      <w:start w:val="1"/>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lvl w:ilvl="1">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2020-02-20T04:29:45Z</dcterms:created>
  <dcterms:modified xsi:type="dcterms:W3CDTF">2020-02-20T04:29:45Z</dcterms:modified>
</cp:coreProperties>
</file>