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50" w:lineRule="exact"/>
        <w:rPr>
          <w:sz w:val="24"/>
          <w:szCs w:val="24"/>
          <w:color w:val="auto"/>
        </w:rPr>
      </w:pPr>
    </w:p>
    <w:p>
      <w:pPr>
        <w:jc w:val="center"/>
        <w:ind w:right="-780"/>
        <w:spacing w:after="0"/>
        <w:rPr>
          <w:sz w:val="20"/>
          <w:szCs w:val="20"/>
          <w:color w:val="auto"/>
        </w:rPr>
      </w:pPr>
      <w:r>
        <w:rPr>
          <w:rFonts w:ascii="Arial" w:cs="Arial" w:eastAsia="Arial" w:hAnsi="Arial"/>
          <w:sz w:val="22"/>
          <w:szCs w:val="22"/>
          <w:b w:val="1"/>
          <w:bCs w:val="1"/>
          <w:color w:val="auto"/>
        </w:rPr>
        <w:t>UNITED STATES</w:t>
      </w:r>
    </w:p>
    <w:p>
      <w:pPr>
        <w:spacing w:after="0" w:line="16" w:lineRule="exact"/>
        <w:rPr>
          <w:sz w:val="24"/>
          <w:szCs w:val="24"/>
          <w:color w:val="auto"/>
        </w:rPr>
      </w:pPr>
    </w:p>
    <w:p>
      <w:pPr>
        <w:jc w:val="center"/>
        <w:ind w:right="-840"/>
        <w:spacing w:after="0"/>
        <w:rPr>
          <w:sz w:val="20"/>
          <w:szCs w:val="20"/>
          <w:color w:val="auto"/>
        </w:rPr>
      </w:pPr>
      <w:r>
        <w:rPr>
          <w:rFonts w:ascii="Arial" w:cs="Arial" w:eastAsia="Arial" w:hAnsi="Arial"/>
          <w:sz w:val="21"/>
          <w:szCs w:val="21"/>
          <w:b w:val="1"/>
          <w:bCs w:val="1"/>
          <w:color w:val="auto"/>
        </w:rPr>
        <w:t>SECURITIES AND EXCHANGE COMMISSION</w:t>
      </w:r>
    </w:p>
    <w:p>
      <w:pPr>
        <w:spacing w:after="0" w:line="3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Washington, D.C. 20549</w:t>
      </w:r>
    </w:p>
    <w:p>
      <w:pPr>
        <w:spacing w:after="0" w:line="217" w:lineRule="exact"/>
        <w:rPr>
          <w:sz w:val="24"/>
          <w:szCs w:val="24"/>
          <w:color w:val="auto"/>
        </w:rPr>
      </w:pPr>
    </w:p>
    <w:p>
      <w:pPr>
        <w:ind w:left="4400"/>
        <w:spacing w:after="0"/>
        <w:rPr>
          <w:sz w:val="20"/>
          <w:szCs w:val="20"/>
          <w:color w:val="auto"/>
        </w:rPr>
      </w:pPr>
      <w:r>
        <w:rPr>
          <w:rFonts w:ascii="Arial" w:cs="Arial" w:eastAsia="Arial" w:hAnsi="Arial"/>
          <w:sz w:val="25"/>
          <w:szCs w:val="25"/>
          <w:b w:val="1"/>
          <w:bCs w:val="1"/>
          <w:color w:val="auto"/>
        </w:rPr>
        <w:t>SCHEDULE 14A</w:t>
      </w:r>
    </w:p>
    <w:p>
      <w:pPr>
        <w:sectPr>
          <w:pgSz w:w="11900" w:h="16838" w:orient="portrait"/>
          <w:cols w:equalWidth="0" w:num="1">
            <w:col w:w="9879"/>
          </w:cols>
          <w:pgMar w:left="580" w:top="239" w:right="1440" w:bottom="1440" w:gutter="0" w:footer="0" w:header="0"/>
        </w:sectPr>
      </w:pPr>
    </w:p>
    <w:p>
      <w:pPr>
        <w:spacing w:after="0" w:line="220" w:lineRule="exact"/>
        <w:rPr>
          <w:sz w:val="24"/>
          <w:szCs w:val="24"/>
          <w:color w:val="auto"/>
        </w:rPr>
      </w:pPr>
    </w:p>
    <w:p>
      <w:pPr>
        <w:ind w:left="2880" w:firstLine="538"/>
        <w:spacing w:after="0" w:line="298" w:lineRule="auto"/>
        <w:rPr>
          <w:sz w:val="20"/>
          <w:szCs w:val="20"/>
          <w:color w:val="auto"/>
        </w:rPr>
      </w:pPr>
      <w:r>
        <w:rPr>
          <w:rFonts w:ascii="Arial" w:cs="Arial" w:eastAsia="Arial" w:hAnsi="Arial"/>
          <w:sz w:val="17"/>
          <w:szCs w:val="17"/>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4"/>
          <w:szCs w:val="24"/>
          <w:color w:val="auto"/>
        </w:rPr>
      </w:pPr>
    </w:p>
    <w:p>
      <w:pPr>
        <w:sectPr>
          <w:pgSz w:w="11900" w:h="16838" w:orient="portrait"/>
          <w:cols w:equalWidth="0" w:num="2">
            <w:col w:w="7440" w:space="340"/>
            <w:col w:w="2099"/>
          </w:cols>
          <w:pgMar w:left="580" w:top="239" w:right="1440" w:bottom="1440" w:gutter="0" w:footer="0" w:header="0"/>
          <w:type w:val="continuous"/>
        </w:sectPr>
      </w:pPr>
    </w:p>
    <w:p>
      <w:pPr>
        <w:ind w:left="50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02" w:lineRule="exact"/>
        <w:rPr>
          <w:sz w:val="24"/>
          <w:szCs w:val="24"/>
          <w:color w:val="auto"/>
        </w:rPr>
      </w:pPr>
    </w:p>
    <w:p>
      <w:pPr>
        <w:ind w:left="50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45" w:lineRule="exact"/>
        <w:rPr>
          <w:sz w:val="24"/>
          <w:szCs w:val="24"/>
          <w:color w:val="auto"/>
        </w:rPr>
      </w:pPr>
    </w:p>
    <w:p>
      <w:pPr>
        <w:ind w:left="500"/>
        <w:spacing w:after="0"/>
        <w:rPr>
          <w:sz w:val="20"/>
          <w:szCs w:val="20"/>
          <w:color w:val="auto"/>
        </w:rPr>
      </w:pPr>
      <w:r>
        <w:rPr>
          <w:rFonts w:ascii="Arial" w:cs="Arial" w:eastAsia="Arial" w:hAnsi="Arial"/>
          <w:sz w:val="17"/>
          <w:szCs w:val="17"/>
          <w:color w:val="auto"/>
        </w:rPr>
        <w:t>Check the appropriate box:</w:t>
      </w:r>
    </w:p>
    <w:p>
      <w:pPr>
        <w:spacing w:after="0" w:line="88"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8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77" w:lineRule="exact"/>
        <w:rPr>
          <w:rFonts w:ascii="MS PGothic" w:cs="MS PGothic" w:eastAsia="MS PGothic" w:hAnsi="MS PGothic"/>
          <w:sz w:val="17"/>
          <w:szCs w:val="17"/>
          <w:color w:val="auto"/>
        </w:rPr>
      </w:pPr>
    </w:p>
    <w:p>
      <w:pPr>
        <w:ind w:left="50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13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50" w:lineRule="exact"/>
        <w:rPr>
          <w:sz w:val="24"/>
          <w:szCs w:val="24"/>
          <w:color w:val="auto"/>
        </w:rPr>
      </w:pPr>
    </w:p>
    <w:p>
      <w:pPr>
        <w:ind w:left="386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220345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86"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20" w:lineRule="exact"/>
        <w:rPr>
          <w:sz w:val="24"/>
          <w:szCs w:val="24"/>
          <w:color w:val="auto"/>
        </w:rPr>
      </w:pPr>
    </w:p>
    <w:p>
      <w:pPr>
        <w:ind w:left="500"/>
        <w:spacing w:after="0"/>
        <w:rPr>
          <w:sz w:val="20"/>
          <w:szCs w:val="20"/>
          <w:color w:val="auto"/>
        </w:rPr>
      </w:pPr>
      <w:r>
        <w:rPr>
          <w:rFonts w:ascii="Arial" w:cs="Arial" w:eastAsia="Arial" w:hAnsi="Arial"/>
          <w:sz w:val="17"/>
          <w:szCs w:val="17"/>
          <w:color w:val="auto"/>
        </w:rPr>
        <w:t>Payment of Filing Fee (Check the appropriate box):</w:t>
      </w:r>
    </w:p>
    <w:p>
      <w:pPr>
        <w:spacing w:after="0" w:line="102"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88"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3714750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306070</wp:posOffset>
            </wp:positionV>
            <wp:extent cx="1731645" cy="51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April 14, 2022</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Plains Investors,</w:t>
      </w:r>
    </w:p>
    <w:p>
      <w:pPr>
        <w:spacing w:after="0" w:line="63" w:lineRule="exact"/>
        <w:rPr>
          <w:sz w:val="20"/>
          <w:szCs w:val="20"/>
          <w:color w:val="auto"/>
        </w:rPr>
      </w:pPr>
    </w:p>
    <w:p>
      <w:pPr>
        <w:ind w:left="1260" w:right="1019" w:firstLine="360"/>
        <w:spacing w:after="0" w:line="246" w:lineRule="auto"/>
        <w:rPr>
          <w:sz w:val="20"/>
          <w:szCs w:val="20"/>
          <w:color w:val="auto"/>
        </w:rPr>
      </w:pPr>
      <w:r>
        <w:rPr>
          <w:rFonts w:ascii="Arial" w:cs="Arial" w:eastAsia="Arial" w:hAnsi="Arial"/>
          <w:sz w:val="18"/>
          <w:szCs w:val="18"/>
          <w:color w:val="auto"/>
        </w:rPr>
        <w:t>We are grateful for your investment in Plains, and are pleased to invite you to join us for our May 25, 2022 annual meeting.</w:t>
      </w:r>
    </w:p>
    <w:p>
      <w:pPr>
        <w:spacing w:after="0" w:line="35"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2021 was a year of solid execution for Plains that included significant free cash flow generation and debt reduction, disciplined capital investment and cost control, and the completion of a number of strategic initiatives that improve the positioning of the company for the future. Our teams rallied through demand fluctuations and a changing COVID-19 landscape to exceed our financial plan and substantially achieve our goals throughout the year. Key 2021 achievements include:</w:t>
      </w:r>
    </w:p>
    <w:p>
      <w:pPr>
        <w:spacing w:after="0" w:line="40" w:lineRule="exact"/>
        <w:rPr>
          <w:sz w:val="20"/>
          <w:szCs w:val="20"/>
          <w:color w:val="auto"/>
        </w:rPr>
      </w:pPr>
    </w:p>
    <w:p>
      <w:pPr>
        <w:ind w:left="1800" w:right="499" w:hanging="180"/>
        <w:spacing w:after="0" w:line="261"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$2.2 billion in Adjusted EBITDA attributable to Plains and ~$1.65 billion in Free Cash Flow after Distributions, which exceeded our goals for the year.</w:t>
      </w:r>
    </w:p>
    <w:p>
      <w:pPr>
        <w:spacing w:after="0" w:line="8"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debt by ~$1 billion and ended the year with ~$3.0 billion of committed liquidity.</w:t>
      </w:r>
    </w:p>
    <w:p>
      <w:pPr>
        <w:spacing w:after="0" w:line="36"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Returned ~$695 million to common equity holders via distributions and unit repurchases.</w:t>
      </w:r>
    </w:p>
    <w:p>
      <w:pPr>
        <w:spacing w:after="0" w:line="49"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asset sales of $875 million.</w:t>
      </w:r>
    </w:p>
    <w:p>
      <w:pPr>
        <w:spacing w:after="0" w:line="36" w:lineRule="exact"/>
        <w:rPr>
          <w:rFonts w:ascii="Arial" w:cs="Arial" w:eastAsia="Arial" w:hAnsi="Arial"/>
          <w:sz w:val="18"/>
          <w:szCs w:val="18"/>
          <w:color w:val="auto"/>
        </w:rPr>
      </w:pPr>
    </w:p>
    <w:p>
      <w:pPr>
        <w:ind w:left="1800" w:right="979" w:hanging="180"/>
        <w:spacing w:after="0" w:line="261"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Achieved a targeted credit rating upgrade from Moody’s to investment grade and received affirmations of investment grade ratings from S&amp;P and Fitch.</w:t>
      </w:r>
    </w:p>
    <w:p>
      <w:pPr>
        <w:spacing w:after="0" w:line="22" w:lineRule="exact"/>
        <w:rPr>
          <w:rFonts w:ascii="Arial" w:cs="Arial" w:eastAsia="Arial" w:hAnsi="Arial"/>
          <w:sz w:val="18"/>
          <w:szCs w:val="18"/>
          <w:color w:val="auto"/>
        </w:rPr>
      </w:pPr>
    </w:p>
    <w:p>
      <w:pPr>
        <w:ind w:left="1800" w:right="439" w:hanging="180"/>
        <w:spacing w:after="0" w:line="261"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Meaningfully expanded our Permian operational and commercial footprint via the cashless, debt-free Plains Oryx Permian Basin Joint Venture.</w:t>
      </w:r>
    </w:p>
    <w:p>
      <w:pPr>
        <w:spacing w:after="0" w:line="8" w:lineRule="exact"/>
        <w:rPr>
          <w:rFonts w:ascii="Arial" w:cs="Arial" w:eastAsia="Arial" w:hAnsi="Arial"/>
          <w:sz w:val="18"/>
          <w:szCs w:val="18"/>
          <w:color w:val="auto"/>
        </w:rPr>
      </w:pPr>
    </w:p>
    <w:p>
      <w:pPr>
        <w:ind w:left="1800" w:right="539" w:hanging="180"/>
        <w:spacing w:after="0" w:line="261"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Placed both our Wink-to-Webster and Capline reversal projects into partial service and reduced capital expenditures by ~$230 million relative to our initial 2021 plan.</w:t>
      </w:r>
    </w:p>
    <w:p>
      <w:pPr>
        <w:spacing w:after="0" w:line="22" w:lineRule="exact"/>
        <w:rPr>
          <w:rFonts w:ascii="Arial" w:cs="Arial" w:eastAsia="Arial" w:hAnsi="Arial"/>
          <w:sz w:val="18"/>
          <w:szCs w:val="18"/>
          <w:color w:val="auto"/>
        </w:rPr>
      </w:pPr>
    </w:p>
    <w:p>
      <w:pPr>
        <w:ind w:left="1800" w:right="459" w:hanging="180"/>
        <w:spacing w:after="0" w:line="256"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Advanced our investor and external stakeholder initiatives by progressing sustainability efforts to lower emissions, publishing a fulsome sustainability report (including disclosure of Scope 1 and Scope 2 emissions) and creating our Emerging Energy team.</w:t>
      </w:r>
    </w:p>
    <w:p>
      <w:pPr>
        <w:spacing w:after="0" w:line="12" w:lineRule="exact"/>
        <w:rPr>
          <w:rFonts w:ascii="Arial" w:cs="Arial" w:eastAsia="Arial" w:hAnsi="Arial"/>
          <w:sz w:val="18"/>
          <w:szCs w:val="18"/>
          <w:color w:val="auto"/>
        </w:rPr>
      </w:pPr>
    </w:p>
    <w:p>
      <w:pPr>
        <w:ind w:left="1800" w:right="519" w:hanging="180"/>
        <w:spacing w:after="0" w:line="261"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Amended our governing agreements to eliminate all director designation rights, requiring that all Directors be subject to public election.</w:t>
      </w:r>
    </w:p>
    <w:p>
      <w:pPr>
        <w:spacing w:after="0" w:line="22" w:lineRule="exact"/>
        <w:rPr>
          <w:rFonts w:ascii="Arial" w:cs="Arial" w:eastAsia="Arial" w:hAnsi="Arial"/>
          <w:sz w:val="18"/>
          <w:szCs w:val="18"/>
          <w:color w:val="auto"/>
        </w:rPr>
      </w:pPr>
    </w:p>
    <w:p>
      <w:pPr>
        <w:jc w:val="both"/>
        <w:ind w:left="1800" w:right="1179" w:hanging="180"/>
        <w:spacing w:after="0" w:line="256"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Formed a Health, Safety, Environmental and Sustainability Board Committee to provide enhanced oversight of our health, safety, environmental and sustainability activities and reporting.</w:t>
      </w:r>
    </w:p>
    <w:p>
      <w:pPr>
        <w:spacing w:after="0" w:line="40"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are optimistic about the future of our business as energy demand continues to return to pre-pandemic levels and it becomes increasingly apparent that there will be a critical need for all forms of energy in order to satisfy growing global demand. Underlying supply and demand fundamentals, together with realistic assumptions regarding the growth of various sources of energy, support our belief that hydrocarbons will remain an essential part of the world economy for decades to come. Energy from hydrocarbons will play a key role in supporting a growing global population, reducing poverty, extending longevity and improving overall quality of life.</w:t>
      </w:r>
    </w:p>
    <w:p>
      <w:pPr>
        <w:spacing w:after="0" w:line="41"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With our network of strategically positioned North American midstream assets and our focus on the long term positioning and optimization of our business (including through the pursuit of emerging energy opportunities), we are very well positioned to play a critical role in the delivery of energy across North America and globally. As we do so, we will remain focused on generating meaningful multi-year free cash flow and maintaining a balanced approach to capital allocation that includes near-term debt reduction and increasing returns to equity holders through both distribution increases and equity buybacks. We believe we are on the right track and that execution of our plan will deliver strong performance and enhanced value for our investors over the long term.</w:t>
      </w:r>
    </w:p>
    <w:p>
      <w:pPr>
        <w:spacing w:after="0" w:line="46" w:lineRule="exact"/>
        <w:rPr>
          <w:sz w:val="20"/>
          <w:szCs w:val="20"/>
          <w:color w:val="auto"/>
        </w:rPr>
      </w:pPr>
    </w:p>
    <w:p>
      <w:pPr>
        <w:ind w:left="1260" w:right="519" w:firstLine="360"/>
        <w:spacing w:after="0" w:line="246" w:lineRule="auto"/>
        <w:rPr>
          <w:sz w:val="20"/>
          <w:szCs w:val="20"/>
          <w:color w:val="auto"/>
        </w:rPr>
      </w:pPr>
      <w:r>
        <w:rPr>
          <w:rFonts w:ascii="Arial" w:cs="Arial" w:eastAsia="Arial" w:hAnsi="Arial"/>
          <w:sz w:val="18"/>
          <w:szCs w:val="18"/>
          <w:color w:val="auto"/>
        </w:rPr>
        <w:t>We appreciate your continued investment and support and we look forward to your participation in our 2022 annual meeting in May.</w:t>
      </w:r>
    </w:p>
    <w:p>
      <w:pPr>
        <w:spacing w:after="0" w:line="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74930</wp:posOffset>
            </wp:positionV>
            <wp:extent cx="1268730" cy="48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8730" cy="48831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Willie Chiang</w:t>
      </w:r>
    </w:p>
    <w:p>
      <w:pPr>
        <w:ind w:left="5580"/>
        <w:spacing w:after="0"/>
        <w:rPr>
          <w:sz w:val="20"/>
          <w:szCs w:val="20"/>
          <w:color w:val="auto"/>
        </w:rPr>
      </w:pPr>
      <w:r>
        <w:rPr>
          <w:rFonts w:ascii="Arial" w:cs="Arial" w:eastAsia="Arial" w:hAnsi="Arial"/>
          <w:sz w:val="17"/>
          <w:szCs w:val="17"/>
          <w:i w:val="1"/>
          <w:iCs w:val="1"/>
          <w:color w:val="auto"/>
        </w:rPr>
        <w:t>Chairman of the Board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240665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494665</wp:posOffset>
            </wp:positionV>
            <wp:extent cx="1920240"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Plains All American Pipeline, L.P.</w:t>
      </w:r>
    </w:p>
    <w:p>
      <w:pPr>
        <w:spacing w:after="0" w:line="3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333 Clay Street, Suite 1600</w:t>
      </w:r>
    </w:p>
    <w:p>
      <w:pPr>
        <w:ind w:left="4420"/>
        <w:spacing w:after="0"/>
        <w:rPr>
          <w:sz w:val="20"/>
          <w:szCs w:val="20"/>
          <w:color w:val="auto"/>
        </w:rPr>
      </w:pPr>
      <w:r>
        <w:rPr>
          <w:rFonts w:ascii="Arial" w:cs="Arial" w:eastAsia="Arial" w:hAnsi="Arial"/>
          <w:sz w:val="18"/>
          <w:szCs w:val="18"/>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NOTICE OF ANNUAL MEETING OF UNITHOLDERS</w:t>
      </w:r>
    </w:p>
    <w:p>
      <w:pPr>
        <w:spacing w:after="0" w:line="3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To Be Held On May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60" w:right="1519"/>
        <w:spacing w:after="0" w:line="261" w:lineRule="auto"/>
        <w:rPr>
          <w:sz w:val="20"/>
          <w:szCs w:val="20"/>
          <w:color w:val="auto"/>
        </w:rPr>
      </w:pPr>
      <w:r>
        <w:rPr>
          <w:rFonts w:ascii="Arial" w:cs="Arial" w:eastAsia="Arial" w:hAnsi="Arial"/>
          <w:sz w:val="18"/>
          <w:szCs w:val="18"/>
          <w:color w:val="auto"/>
        </w:rPr>
        <w:t>To the holders of common and Series A Convertible Preferred units of Plains All American Pipeline, L.P.:</w:t>
      </w:r>
    </w:p>
    <w:p>
      <w:pPr>
        <w:spacing w:after="0" w:line="130" w:lineRule="exact"/>
        <w:rPr>
          <w:sz w:val="20"/>
          <w:szCs w:val="20"/>
          <w:color w:val="auto"/>
        </w:rPr>
      </w:pPr>
    </w:p>
    <w:p>
      <w:pPr>
        <w:ind w:left="1260" w:right="599" w:firstLine="360"/>
        <w:spacing w:after="0" w:line="246" w:lineRule="auto"/>
        <w:rPr>
          <w:sz w:val="20"/>
          <w:szCs w:val="20"/>
          <w:color w:val="auto"/>
        </w:rPr>
      </w:pPr>
      <w:r>
        <w:rPr>
          <w:rFonts w:ascii="Arial" w:cs="Arial" w:eastAsia="Arial" w:hAnsi="Arial"/>
          <w:sz w:val="17"/>
          <w:szCs w:val="17"/>
          <w:color w:val="auto"/>
        </w:rPr>
        <w:t>The 2022 Annual Meeting (the “PAA Annual Meeting”) of the common unitholders and Series A Convertible Preferred unitholders (collectively, our “Unitholders”) of Plains All American Pipeline, L.P. (“PAA”) will be held on May 25, 2022, at 10:00 a.m. Central Time, in the Texas Room located on the 19</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of Three Allen Center, 333 Clay Street, Houston, Texas 77002. At the PAA Annual Meeting, our Unitholders (excluding Plains AAP, L.P.) will consider and vote on the following matters:</w:t>
      </w:r>
    </w:p>
    <w:p>
      <w:pPr>
        <w:spacing w:after="0" w:line="146" w:lineRule="exact"/>
        <w:rPr>
          <w:sz w:val="20"/>
          <w:szCs w:val="20"/>
          <w:color w:val="auto"/>
        </w:rPr>
      </w:pPr>
    </w:p>
    <w:p>
      <w:pPr>
        <w:ind w:left="1980" w:right="659" w:hanging="360"/>
        <w:spacing w:after="0" w:line="261"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four Class II directors to serve on the board of directors (the “Board”) of PAA GP Holdings LLC until the 2025 annual meeting;</w:t>
      </w:r>
    </w:p>
    <w:p>
      <w:pPr>
        <w:spacing w:after="0" w:line="116" w:lineRule="exact"/>
        <w:rPr>
          <w:rFonts w:ascii="Arial" w:cs="Arial" w:eastAsia="Arial" w:hAnsi="Arial"/>
          <w:sz w:val="18"/>
          <w:szCs w:val="18"/>
          <w:color w:val="auto"/>
        </w:rPr>
      </w:pPr>
    </w:p>
    <w:p>
      <w:pPr>
        <w:ind w:left="1980" w:right="979" w:hanging="360"/>
        <w:spacing w:after="0" w:line="291" w:lineRule="auto"/>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ratification of the appointment of PricewaterhouseCoopers LLP as our independent registered public accounting firm for the fiscal year ending December 31, 2022;</w:t>
      </w:r>
    </w:p>
    <w:p>
      <w:pPr>
        <w:spacing w:after="0" w:line="106" w:lineRule="exact"/>
        <w:rPr>
          <w:rFonts w:ascii="Arial" w:cs="Arial" w:eastAsia="Arial" w:hAnsi="Arial"/>
          <w:sz w:val="17"/>
          <w:szCs w:val="17"/>
          <w:color w:val="auto"/>
        </w:rPr>
      </w:pPr>
    </w:p>
    <w:p>
      <w:pPr>
        <w:ind w:left="1980" w:right="1299" w:hanging="360"/>
        <w:spacing w:after="0" w:line="261"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2021 named executive officer compensation; and</w:t>
      </w:r>
    </w:p>
    <w:p>
      <w:pPr>
        <w:spacing w:after="0" w:line="130" w:lineRule="exact"/>
        <w:rPr>
          <w:rFonts w:ascii="Arial" w:cs="Arial" w:eastAsia="Arial" w:hAnsi="Arial"/>
          <w:sz w:val="18"/>
          <w:szCs w:val="18"/>
          <w:color w:val="auto"/>
        </w:rPr>
      </w:pPr>
    </w:p>
    <w:p>
      <w:pPr>
        <w:ind w:left="1980" w:right="659" w:hanging="360"/>
        <w:spacing w:after="0" w:line="261"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proposal to transact such other business as may properly come before the PAA Annual Meeting and any adjournment or postponement thereof.</w:t>
      </w:r>
    </w:p>
    <w:p>
      <w:pPr>
        <w:spacing w:after="0" w:line="9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b w:val="1"/>
          <w:bCs w:val="1"/>
          <w:color w:val="auto"/>
        </w:rPr>
        <w:t>The Board unanimously recommends that our Unitholders vote “FOR” proposals 1, 2 and 3. Additional information regarding these proposals is included in the attached proxy statement. Votes received on proposals 1, 2 and 3 will be “passed through” as instructions to PAA, which will vote the Class C shares of Plains GP Holdings, L.P. (“PAGP”) that it owns at PAGP’s annual meeting on behalf of our Unitholders pursuant to such instructions. See “Information About the PAGP and PAA Annual Meetings” below for more information.</w:t>
      </w:r>
    </w:p>
    <w:p>
      <w:pPr>
        <w:spacing w:after="0" w:line="137"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We have set the close of business on March 28, 2022 as the record date for determining which of our Unitholders are entitled to receive notice of and to vote at the PAA Annual Meeting and any postponements or adjournments thereof. A list of Unitholders entitled to vote is on file at our principal offices, 333 Clay Street, Suite 1600, Houston, Texas 77002.</w:t>
      </w:r>
    </w:p>
    <w:p>
      <w:pPr>
        <w:spacing w:after="0" w:line="114"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Whether or not you plan to attend the PAA Annual Meeting, please</w:t>
      </w:r>
      <w:r>
        <w:rPr>
          <w:rFonts w:ascii="Arial" w:cs="Arial" w:eastAsia="Arial" w:hAnsi="Arial"/>
          <w:sz w:val="18"/>
          <w:szCs w:val="18"/>
          <w:b w:val="1"/>
          <w:bCs w:val="1"/>
          <w:color w:val="auto"/>
        </w:rPr>
        <w:t xml:space="preserve"> </w:t>
      </w:r>
      <w:r>
        <w:rPr>
          <w:rFonts w:ascii="Arial" w:cs="Arial" w:eastAsia="Arial" w:hAnsi="Arial"/>
          <w:sz w:val="18"/>
          <w:szCs w:val="18"/>
          <w:color w:val="auto"/>
        </w:rPr>
        <w:t>cast your vote by following the Internet or telephone voting instructions on the proxy card. You may also vote by completing, signing and dating the accompanying proxy card and returning it promptly in the postage-prepaid envelope provided. See “Questions and Answers About the PAA Annual Meeting — How do I vote?” in the attached proxy statement for more details. Returning the proxy card or voting on the Internet or by telephone does not deprive you of your right to attend the PAA Annual Meeting and to vote your units for the matters to be acted upon at the PAA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768985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Order of the Board of Directors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PAA GP Holdings LLC, general partner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GP Holdings, L.P., sole member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All American GP LLC, general partner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AAP, L.P., sole member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PAA GP LLC, general partner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117475</wp:posOffset>
            </wp:positionV>
            <wp:extent cx="205740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574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Richard McGee</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Executive Vice President, General Counsel and Secretary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908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90868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left="1820" w:right="780"/>
        <w:spacing w:after="0" w:line="268"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UNITHOLDERS TO BE HELD ON MAY 25, 2022</w:t>
      </w:r>
    </w:p>
    <w:p>
      <w:pPr>
        <w:spacing w:after="0" w:line="3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The Notice of Annual Meeting, the proxy statement for the Annual Meeting and our 2021</w:t>
      </w:r>
    </w:p>
    <w:p>
      <w:pPr>
        <w:spacing w:after="0" w:line="3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Report are available at http://www.astproxyportal.com/ast/02337/.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4716780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760" w:type="dxa"/>
            <w:vAlign w:val="bottom"/>
            <w:gridSpan w:val="21"/>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 ABOUT THE PLAINS ALL AMERICAN PIPELINE, L.P. ANNUAL</w:t>
              </w:r>
            </w:hyperlink>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82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MEETING</w:t>
              </w:r>
            </w:hyperlink>
          </w:p>
        </w:tc>
        <w:tc>
          <w:tcPr>
            <w:tcW w:w="6300" w:type="dxa"/>
            <w:vAlign w:val="bottom"/>
            <w:tcBorders>
              <w:top w:val="single" w:sz="8" w:color="0000EE"/>
              <w:bottom w:val="single" w:sz="8" w:color="CCEEFF"/>
            </w:tcBorders>
            <w:gridSpan w:val="17"/>
            <w:shd w:val="clear" w:color="auto" w:fill="CCEEFF"/>
          </w:tcPr>
          <w:p>
            <w:pPr>
              <w:spacing w:after="0"/>
              <w:rPr>
                <w:sz w:val="18"/>
                <w:szCs w:val="18"/>
                <w:color w:val="auto"/>
              </w:rPr>
            </w:pPr>
          </w:p>
        </w:tc>
        <w:tc>
          <w:tcPr>
            <w:tcW w:w="4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bottom w:val="single" w:sz="8" w:color="0000EE"/>
            </w:tcBorders>
            <w:shd w:val="clear" w:color="auto" w:fill="CCEEFF"/>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243"/>
        </w:trPr>
        <w:tc>
          <w:tcPr>
            <w:tcW w:w="776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INFORMATION ABOUT THE PAGP AND PAA ANNUAL MEETINGS</w:t>
              </w:r>
            </w:hyperlink>
          </w:p>
        </w:tc>
        <w:tc>
          <w:tcPr>
            <w:tcW w:w="4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48"/>
        </w:trPr>
        <w:tc>
          <w:tcPr>
            <w:tcW w:w="1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r>
      <w:tr>
        <w:trPr>
          <w:trHeight w:val="290"/>
        </w:trPr>
        <w:tc>
          <w:tcPr>
            <w:tcW w:w="5560" w:type="dxa"/>
            <w:vAlign w:val="bottom"/>
            <w:tcBorders>
              <w:bottom w:val="single" w:sz="8" w:color="0000EE"/>
            </w:tcBorders>
            <w:gridSpan w:val="17"/>
            <w:shd w:val="clear" w:color="auto" w:fill="CCEEFF"/>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QUESTIONS AND ANSWERS ABOUT THE PAA ANNUAL MEETING</w:t>
              </w:r>
            </w:hyperlink>
          </w:p>
        </w:tc>
        <w:tc>
          <w:tcPr>
            <w:tcW w:w="2200" w:type="dxa"/>
            <w:vAlign w:val="bottom"/>
            <w:tcBorders>
              <w:bottom w:val="single" w:sz="8" w:color="CCEEFF"/>
            </w:tcBorders>
            <w:gridSpan w:val="4"/>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r>
      <w:tr>
        <w:trPr>
          <w:trHeight w:val="243"/>
        </w:trPr>
        <w:tc>
          <w:tcPr>
            <w:tcW w:w="7760" w:type="dxa"/>
            <w:vAlign w:val="bottom"/>
            <w:gridSpan w:val="2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PROPOSAL 1 – ELECTION OF CLASS II DIRECTORS</w:t>
              </w:r>
            </w:hyperlink>
          </w:p>
        </w:tc>
        <w:tc>
          <w:tcPr>
            <w:tcW w:w="4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48"/>
        </w:trPr>
        <w:tc>
          <w:tcPr>
            <w:tcW w:w="1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r>
      <w:tr>
        <w:trPr>
          <w:trHeight w:val="304"/>
        </w:trPr>
        <w:tc>
          <w:tcPr>
            <w:tcW w:w="464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8"/>
              </w:rPr>
            </w:pPr>
            <w:hyperlink w:anchor="page23">
              <w:r>
                <w:rPr>
                  <w:rFonts w:ascii="Arial" w:cs="Arial" w:eastAsia="Arial" w:hAnsi="Arial"/>
                  <w:sz w:val="18"/>
                  <w:szCs w:val="18"/>
                  <w:color w:val="0000EE"/>
                  <w:w w:val="98"/>
                </w:rPr>
                <w:t>CORPORATE GOVERNANCE AND RELATED MATTERS</w:t>
              </w:r>
            </w:hyperlink>
          </w:p>
        </w:tc>
        <w:tc>
          <w:tcPr>
            <w:tcW w:w="3120" w:type="dxa"/>
            <w:vAlign w:val="bottom"/>
            <w:tcBorders>
              <w:bottom w:val="single" w:sz="8" w:color="CCEEFF"/>
            </w:tcBorders>
            <w:gridSpan w:val="8"/>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19</w:t>
              </w:r>
            </w:hyperlink>
          </w:p>
        </w:tc>
      </w:tr>
      <w:tr>
        <w:trPr>
          <w:trHeight w:val="256"/>
        </w:trPr>
        <w:tc>
          <w:tcPr>
            <w:tcW w:w="7760" w:type="dxa"/>
            <w:vAlign w:val="bottom"/>
            <w:gridSpan w:val="2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EXECUTIVE OFFICERS</w:t>
              </w:r>
            </w:hyperlink>
          </w:p>
        </w:tc>
        <w:tc>
          <w:tcPr>
            <w:tcW w:w="44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r>
      <w:tr>
        <w:trPr>
          <w:trHeight w:val="48"/>
        </w:trPr>
        <w:tc>
          <w:tcPr>
            <w:tcW w:w="1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r>
      <w:tr>
        <w:trPr>
          <w:trHeight w:val="257"/>
        </w:trPr>
        <w:tc>
          <w:tcPr>
            <w:tcW w:w="7760" w:type="dxa"/>
            <w:vAlign w:val="bottom"/>
            <w:gridSpan w:val="21"/>
            <w:shd w:val="clear" w:color="auto" w:fill="CCEEFF"/>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EXECUTIVE COMPENSATION</w:t>
              </w:r>
            </w:hyperlink>
          </w:p>
        </w:tc>
        <w:tc>
          <w:tcPr>
            <w:tcW w:w="440" w:type="dxa"/>
            <w:vAlign w:val="bottom"/>
            <w:gridSpan w:val="3"/>
            <w:shd w:val="clear" w:color="auto" w:fill="CCEEFF"/>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r>
      <w:tr>
        <w:trPr>
          <w:trHeight w:val="48"/>
        </w:trPr>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r>
      <w:tr>
        <w:trPr>
          <w:trHeight w:val="257"/>
        </w:trPr>
        <w:tc>
          <w:tcPr>
            <w:tcW w:w="7760" w:type="dxa"/>
            <w:vAlign w:val="bottom"/>
            <w:gridSpan w:val="21"/>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SECURITY OWNERSHIP OF CERTAIN BENEFICIAL OWNERS AND MANAGEMENT</w:t>
              </w:r>
            </w:hyperlink>
          </w:p>
        </w:tc>
        <w:tc>
          <w:tcPr>
            <w:tcW w:w="440" w:type="dxa"/>
            <w:vAlign w:val="bottom"/>
            <w:gridSpan w:val="3"/>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r>
      <w:tr>
        <w:trPr>
          <w:trHeight w:val="48"/>
        </w:trPr>
        <w:tc>
          <w:tcPr>
            <w:tcW w:w="1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r>
      <w:tr>
        <w:trPr>
          <w:trHeight w:val="257"/>
        </w:trPr>
        <w:tc>
          <w:tcPr>
            <w:tcW w:w="7760" w:type="dxa"/>
            <w:vAlign w:val="bottom"/>
            <w:gridSpan w:val="21"/>
            <w:shd w:val="clear" w:color="auto" w:fill="CCEEFF"/>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EQUITY COMPENSATION PLAN INFORMATION TABLE</w:t>
              </w:r>
            </w:hyperlink>
          </w:p>
        </w:tc>
        <w:tc>
          <w:tcPr>
            <w:tcW w:w="440" w:type="dxa"/>
            <w:vAlign w:val="bottom"/>
            <w:gridSpan w:val="3"/>
            <w:shd w:val="clear" w:color="auto" w:fill="CCEEFF"/>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63</w:t>
              </w:r>
            </w:hyperlink>
          </w:p>
        </w:tc>
      </w:tr>
      <w:tr>
        <w:trPr>
          <w:trHeight w:val="48"/>
        </w:trPr>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r>
      <w:tr>
        <w:trPr>
          <w:trHeight w:val="256"/>
        </w:trPr>
        <w:tc>
          <w:tcPr>
            <w:tcW w:w="7760" w:type="dxa"/>
            <w:vAlign w:val="bottom"/>
            <w:gridSpan w:val="21"/>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CERTAIN RELATIONSHIPS AND RELATED TRANSACTIONS</w:t>
              </w:r>
            </w:hyperlink>
          </w:p>
        </w:tc>
        <w:tc>
          <w:tcPr>
            <w:tcW w:w="440" w:type="dxa"/>
            <w:vAlign w:val="bottom"/>
            <w:gridSpan w:val="3"/>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64</w:t>
              </w:r>
            </w:hyperlink>
          </w:p>
        </w:tc>
      </w:tr>
      <w:tr>
        <w:trPr>
          <w:trHeight w:val="48"/>
        </w:trPr>
        <w:tc>
          <w:tcPr>
            <w:tcW w:w="1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r>
      <w:tr>
        <w:trPr>
          <w:trHeight w:val="257"/>
        </w:trPr>
        <w:tc>
          <w:tcPr>
            <w:tcW w:w="7760" w:type="dxa"/>
            <w:vAlign w:val="bottom"/>
            <w:gridSpan w:val="21"/>
            <w:shd w:val="clear" w:color="auto" w:fill="CCEEFF"/>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REPORT OF THE AUDIT COMMITTEE</w:t>
              </w:r>
            </w:hyperlink>
          </w:p>
        </w:tc>
        <w:tc>
          <w:tcPr>
            <w:tcW w:w="440" w:type="dxa"/>
            <w:vAlign w:val="bottom"/>
            <w:gridSpan w:val="3"/>
            <w:shd w:val="clear" w:color="auto" w:fill="CCEEFF"/>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r>
      <w:tr>
        <w:trPr>
          <w:trHeight w:val="48"/>
        </w:trPr>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r>
      <w:tr>
        <w:trPr>
          <w:trHeight w:val="257"/>
        </w:trPr>
        <w:tc>
          <w:tcPr>
            <w:tcW w:w="7760" w:type="dxa"/>
            <w:vAlign w:val="bottom"/>
            <w:gridSpan w:val="21"/>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PRINCIPAL ACCOUNTANT FEES AND SERVICES</w:t>
              </w:r>
            </w:hyperlink>
          </w:p>
        </w:tc>
        <w:tc>
          <w:tcPr>
            <w:tcW w:w="440" w:type="dxa"/>
            <w:vAlign w:val="bottom"/>
            <w:gridSpan w:val="3"/>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70</w:t>
              </w:r>
            </w:hyperlink>
          </w:p>
        </w:tc>
      </w:tr>
      <w:tr>
        <w:trPr>
          <w:trHeight w:val="48"/>
        </w:trPr>
        <w:tc>
          <w:tcPr>
            <w:tcW w:w="1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r>
      <w:tr>
        <w:trPr>
          <w:trHeight w:val="243"/>
        </w:trPr>
        <w:tc>
          <w:tcPr>
            <w:tcW w:w="7760" w:type="dxa"/>
            <w:vAlign w:val="bottom"/>
            <w:tcBorders>
              <w:bottom w:val="single" w:sz="8" w:color="0000EE"/>
            </w:tcBorders>
            <w:gridSpan w:val="21"/>
            <w:shd w:val="clear" w:color="auto" w:fill="CCEEFF"/>
          </w:tcPr>
          <w:p>
            <w:pPr>
              <w:spacing w:after="0"/>
              <w:rPr>
                <w:rFonts w:ascii="Arial" w:cs="Arial" w:eastAsia="Arial" w:hAnsi="Arial"/>
                <w:sz w:val="18"/>
                <w:szCs w:val="18"/>
                <w:color w:val="0000EE"/>
                <w:w w:val="99"/>
              </w:rPr>
            </w:pPr>
            <w:hyperlink w:anchor="page75">
              <w:r>
                <w:rPr>
                  <w:rFonts w:ascii="Arial" w:cs="Arial" w:eastAsia="Arial" w:hAnsi="Arial"/>
                  <w:sz w:val="18"/>
                  <w:szCs w:val="18"/>
                  <w:color w:val="0000EE"/>
                  <w:w w:val="99"/>
                </w:rPr>
                <w:t>PROPOSAL 2 – RATIFICATION OF APPOINTMENT OF INDEPENDENT REGISTERED PUBLIC</w:t>
              </w:r>
            </w:hyperlink>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180" w:type="dxa"/>
            <w:vAlign w:val="bottom"/>
            <w:shd w:val="clear" w:color="auto" w:fill="CCEEFF"/>
          </w:tcPr>
          <w:p>
            <w:pPr>
              <w:spacing w:after="0"/>
              <w:rPr>
                <w:sz w:val="17"/>
                <w:szCs w:val="17"/>
                <w:color w:val="auto"/>
              </w:rPr>
            </w:pPr>
          </w:p>
        </w:tc>
        <w:tc>
          <w:tcPr>
            <w:tcW w:w="7580" w:type="dxa"/>
            <w:vAlign w:val="bottom"/>
            <w:gridSpan w:val="20"/>
            <w:shd w:val="clear" w:color="auto" w:fill="CCEEFF"/>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ACCOUNTING FIRM</w:t>
              </w:r>
            </w:hyperlink>
          </w:p>
        </w:tc>
        <w:tc>
          <w:tcPr>
            <w:tcW w:w="44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r>
      <w:tr>
        <w:trPr>
          <w:trHeight w:val="243"/>
        </w:trPr>
        <w:tc>
          <w:tcPr>
            <w:tcW w:w="7760" w:type="dxa"/>
            <w:vAlign w:val="bottom"/>
            <w:gridSpan w:val="2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PROPOSAL 3 – ADVISORY VOTE TO APPROVE OUR 2021 NAMED EXECUTIVE OFFICER</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COMPENSATION</w:t>
              </w:r>
            </w:hyperlink>
          </w:p>
        </w:tc>
        <w:tc>
          <w:tcPr>
            <w:tcW w:w="300" w:type="dxa"/>
            <w:vAlign w:val="bottom"/>
          </w:tcPr>
          <w:p>
            <w:pPr>
              <w:spacing w:after="0"/>
              <w:rPr>
                <w:sz w:val="17"/>
                <w:szCs w:val="17"/>
                <w:color w:val="auto"/>
              </w:rPr>
            </w:pPr>
          </w:p>
        </w:tc>
        <w:tc>
          <w:tcPr>
            <w:tcW w:w="440" w:type="dxa"/>
            <w:vAlign w:val="bottom"/>
            <w:gridSpan w:val="3"/>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r>
      <w:tr>
        <w:trPr>
          <w:trHeight w:val="61"/>
        </w:trPr>
        <w:tc>
          <w:tcPr>
            <w:tcW w:w="180" w:type="dxa"/>
            <w:vAlign w:val="bottom"/>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r>
      <w:tr>
        <w:trPr>
          <w:trHeight w:val="304"/>
        </w:trPr>
        <w:tc>
          <w:tcPr>
            <w:tcW w:w="440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8"/>
              </w:rPr>
            </w:pPr>
            <w:hyperlink w:anchor="page77">
              <w:r>
                <w:rPr>
                  <w:rFonts w:ascii="Arial" w:cs="Arial" w:eastAsia="Arial" w:hAnsi="Arial"/>
                  <w:sz w:val="18"/>
                  <w:szCs w:val="18"/>
                  <w:color w:val="0000EE"/>
                  <w:w w:val="98"/>
                </w:rPr>
                <w:t>OTHER MATTERS FOR THE PAA ANNUAL MEETING</w:t>
              </w:r>
            </w:hyperlink>
          </w:p>
        </w:tc>
        <w:tc>
          <w:tcPr>
            <w:tcW w:w="3360" w:type="dxa"/>
            <w:vAlign w:val="bottom"/>
            <w:tcBorders>
              <w:bottom w:val="single" w:sz="8" w:color="CCEEFF"/>
            </w:tcBorders>
            <w:gridSpan w:val="10"/>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73</w:t>
              </w:r>
            </w:hyperlink>
          </w:p>
        </w:tc>
      </w:tr>
      <w:tr>
        <w:trPr>
          <w:trHeight w:val="257"/>
        </w:trPr>
        <w:tc>
          <w:tcPr>
            <w:tcW w:w="7760" w:type="dxa"/>
            <w:vAlign w:val="bottom"/>
            <w:gridSpan w:val="2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UNITHOLDER PROPOSALS FOR THE 2023 ANNUAL MEETING</w:t>
              </w:r>
            </w:hyperlink>
          </w:p>
        </w:tc>
        <w:tc>
          <w:tcPr>
            <w:tcW w:w="440" w:type="dxa"/>
            <w:vAlign w:val="bottom"/>
            <w:gridSpan w:val="3"/>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73</w:t>
              </w:r>
            </w:hyperlink>
          </w:p>
        </w:tc>
      </w:tr>
      <w:tr>
        <w:trPr>
          <w:trHeight w:val="48"/>
        </w:trPr>
        <w:tc>
          <w:tcPr>
            <w:tcW w:w="1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r>
      <w:tr>
        <w:trPr>
          <w:trHeight w:val="256"/>
        </w:trPr>
        <w:tc>
          <w:tcPr>
            <w:tcW w:w="7760" w:type="dxa"/>
            <w:vAlign w:val="bottom"/>
            <w:gridSpan w:val="21"/>
            <w:shd w:val="clear" w:color="auto" w:fill="CCEEFF"/>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HOUSEHOLDING MATTERS</w:t>
              </w:r>
            </w:hyperlink>
          </w:p>
        </w:tc>
        <w:tc>
          <w:tcPr>
            <w:tcW w:w="440" w:type="dxa"/>
            <w:vAlign w:val="bottom"/>
            <w:gridSpan w:val="3"/>
            <w:shd w:val="clear" w:color="auto" w:fill="CCEEFF"/>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73</w:t>
              </w:r>
            </w:hyperlink>
          </w:p>
        </w:tc>
      </w:tr>
      <w:tr>
        <w:trPr>
          <w:trHeight w:val="48"/>
        </w:trPr>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840"/>
        <w:spacing w:after="0"/>
        <w:rPr>
          <w:sz w:val="20"/>
          <w:szCs w:val="20"/>
          <w:color w:val="auto"/>
        </w:rPr>
      </w:pPr>
      <w:r>
        <w:rPr>
          <w:rFonts w:ascii="Arial" w:cs="Arial" w:eastAsia="Arial" w:hAnsi="Arial"/>
          <w:sz w:val="22"/>
          <w:szCs w:val="22"/>
          <w:b w:val="1"/>
          <w:bCs w:val="1"/>
          <w:color w:val="auto"/>
        </w:rPr>
        <w:t>PLAINS ALL AMERICAN PIPELINE, L.P.</w:t>
      </w:r>
    </w:p>
    <w:p>
      <w:pPr>
        <w:spacing w:after="0" w:line="216"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w:t>
      </w:r>
    </w:p>
    <w:p>
      <w:pPr>
        <w:spacing w:after="0" w:line="31"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2022 Annual Meeting of Unitholders To Be Held On May 25, 2022</w:t>
      </w:r>
    </w:p>
    <w:p>
      <w:pPr>
        <w:spacing w:after="0" w:line="20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GENERAL INFORMATION ABOUT THE PLAINS ALL AMERICAN PIPELINE, L.P.</w:t>
      </w:r>
    </w:p>
    <w:p>
      <w:pPr>
        <w:spacing w:after="0" w:line="3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MEETING</w:t>
      </w:r>
    </w:p>
    <w:p>
      <w:pPr>
        <w:spacing w:after="0" w:line="144"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The board of directors (the “Board”) of PAA GP Holdings LLC (“PAGP GP” or our “general partner”), the general partner of Plains GP Holdings, L.P. (“PAGP”), the sole member of Plains All American GP LLC (“GP LLC”), the general partner of Plains AAP, L.P. (“AAP”), the sole member of PAA GP LLC, the general partner of Plains All American Pipeline, L.P. (“PAA”), is soliciting proxies to be voted on behalf of holders of our common units and holders of our Series A Convertible Preferred Units (“Series A preferred units”) (holders of our common units and our Series A preferred units are collectively referred to as our “Unitholders”) at the 2022 annual meeting of Unitholders (the “PAA Annual Meeting”). This proxy statement is being furnished to you in connection with the solicitation of proxies by and on behalf of the Board for use at the PAA Annual Meeting and includes information about the matters to be voted upon at the PAA Annual Meeting. The PAA Annual Meeting will be held on May 25, 2022, at 10:00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References to “PAA,” “we,” “us,” “our,” “ours” and similar terms refer to Plains All American Pipeline, L.P.</w:t>
      </w:r>
    </w:p>
    <w:p>
      <w:pPr>
        <w:spacing w:after="0" w:line="152" w:lineRule="exact"/>
        <w:rPr>
          <w:sz w:val="20"/>
          <w:szCs w:val="20"/>
          <w:color w:val="auto"/>
        </w:rPr>
      </w:pPr>
    </w:p>
    <w:p>
      <w:pPr>
        <w:jc w:val="both"/>
        <w:ind w:left="1260" w:right="579" w:firstLine="360"/>
        <w:spacing w:after="0" w:line="256" w:lineRule="auto"/>
        <w:rPr>
          <w:sz w:val="20"/>
          <w:szCs w:val="20"/>
          <w:color w:val="auto"/>
        </w:rPr>
      </w:pPr>
      <w:r>
        <w:rPr>
          <w:rFonts w:ascii="Arial" w:cs="Arial" w:eastAsia="Arial" w:hAnsi="Arial"/>
          <w:sz w:val="18"/>
          <w:szCs w:val="18"/>
          <w:color w:val="auto"/>
        </w:rPr>
        <w:t>Proxy materials, including the Notice of Annual Meeting, this proxy statement, proxy card and our Annual Report on Form 10-K for the year ended December 31, 2021 (our “2021 Annual Report”), are being mailed to Unitholders beginning on or about April 14, 2022.</w:t>
      </w:r>
    </w:p>
    <w:p>
      <w:pPr>
        <w:spacing w:after="0" w:line="112"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b w:val="1"/>
          <w:bCs w:val="1"/>
          <w:color w:val="auto"/>
        </w:rPr>
        <w:t>We will furnish additional copies of our 2021 Annual Report without charge upon the written request of any record or beneficial owner of our common units or Series A preferred units whose proxy we are soliciting in connection with the PAA Annual Meeting. Please address requests for additional copies of the 2021 Annual Report to the Investor Relations Department, Plains All American, 333 Clay Street, Suite 1600, Houston, Texas 77002, or email your request to plainsIR@paalp.com.</w:t>
      </w:r>
    </w:p>
    <w:p>
      <w:pPr>
        <w:spacing w:after="0" w:line="18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INFORMATION ABOUT THE PAGP AND PAA ANNUAL MEETINGS</w:t>
      </w:r>
    </w:p>
    <w:p>
      <w:pPr>
        <w:spacing w:after="0" w:line="166"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8"/>
          <w:szCs w:val="18"/>
          <w:color w:val="auto"/>
        </w:rPr>
        <w:t>PAGP will hold an annual meeting of its Class A, Class B and Class C shareholders (the “PAGP Annual Meeting”) immediately following the PAA Annual Meeting. At the PAGP Annual Meeting, PAGP shareholders will be asked to approve proposals 1, 2 and 3, which are described in the table below. Each PAGP shareholder of record will be entitled to one vote for each Class A, Class B and Class C share owned for Proposals 1, 2 and 3. On March 28, 2022, 194,192,777 Class A shares, 46,850,538 Class B shares and 532,273,469 Class C shares were issued and outstanding. PAA owns all of the issued and outstanding Class C shares and will vote (or refrain from voting) such shares on a pass-through basis on behalf of and according to the direction of PAA’s unitholders (excluding AAP) with respect to proposals 1, 2 and 3.</w:t>
      </w:r>
    </w:p>
    <w:p>
      <w:pPr>
        <w:spacing w:after="0" w:line="144"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At the PAA Annual Meeting, PAA Unitholders (excluding AAP) will vote on a pass-through basis on proposals 1, 2 and 3 described below by instructing PAA how to vote the PAGP Class C shares that it owns on such proposals at the PAGP Annual Meeting.</w:t>
      </w:r>
    </w:p>
    <w:p>
      <w:pPr>
        <w:spacing w:after="0" w:line="13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certain information with respect to the proposals to be voted on at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PAGP Annual Meeting: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2740" w:type="dxa"/>
            <w:vAlign w:val="bottom"/>
            <w:tcBorders>
              <w:top w:val="single" w:sz="8" w:color="auto"/>
              <w:left w:val="single" w:sz="8" w:color="auto"/>
              <w:right w:val="single" w:sz="8" w:color="auto"/>
            </w:tcBorders>
          </w:tcPr>
          <w:p>
            <w:pPr>
              <w:spacing w:after="0"/>
              <w:rPr>
                <w:sz w:val="21"/>
                <w:szCs w:val="21"/>
                <w:color w:val="auto"/>
              </w:rPr>
            </w:pPr>
          </w:p>
        </w:tc>
        <w:tc>
          <w:tcPr>
            <w:tcW w:w="2740" w:type="dxa"/>
            <w:vAlign w:val="bottom"/>
            <w:tcBorders>
              <w:top w:val="single" w:sz="8" w:color="auto"/>
              <w:right w:val="single" w:sz="8" w:color="auto"/>
            </w:tcBorders>
          </w:tcPr>
          <w:p>
            <w:pPr>
              <w:spacing w:after="0"/>
              <w:rPr>
                <w:sz w:val="21"/>
                <w:szCs w:val="21"/>
                <w:color w:val="auto"/>
              </w:rPr>
            </w:pP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Vote Required for Approval of</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274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Proposal at the</w:t>
            </w:r>
          </w:p>
        </w:tc>
      </w:tr>
      <w:tr>
        <w:trPr>
          <w:trHeight w:val="196"/>
        </w:trPr>
        <w:tc>
          <w:tcPr>
            <w:tcW w:w="2740" w:type="dxa"/>
            <w:vAlign w:val="bottom"/>
            <w:tcBorders>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4"/>
                <w:szCs w:val="14"/>
                <w:b w:val="1"/>
                <w:bCs w:val="1"/>
                <w:color w:val="auto"/>
              </w:rPr>
              <w:t>Proposal</w:t>
            </w:r>
          </w:p>
        </w:tc>
        <w:tc>
          <w:tcPr>
            <w:tcW w:w="274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4"/>
                <w:szCs w:val="14"/>
                <w:b w:val="1"/>
                <w:bCs w:val="1"/>
                <w:color w:val="auto"/>
              </w:rPr>
              <w:t>Voting Options</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PAGP Annual Meeting</w:t>
            </w:r>
          </w:p>
        </w:tc>
      </w:tr>
      <w:tr>
        <w:trPr>
          <w:trHeight w:val="204"/>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1.  The election of four Class II</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You may vote “FOR”, or you may</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Directors will be elected by a</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directors to serve on the Board</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“WITHHOLD” authority to vote for,</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plurality of the votes cast, in person</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until the 2025 annual meeting.</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all, some or none of the nominees</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or by proxy, by the holders of the</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 director.</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Class A, Class B and Class C</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shares present and entitled to vote,</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voting as a single class. Broker</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non-votes are not considered votes</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cast and will have no effect on the</w:t>
            </w:r>
          </w:p>
        </w:tc>
      </w:tr>
      <w:tr>
        <w:trPr>
          <w:trHeight w:val="208"/>
        </w:trPr>
        <w:tc>
          <w:tcPr>
            <w:tcW w:w="2740" w:type="dxa"/>
            <w:vAlign w:val="bottom"/>
            <w:tcBorders>
              <w:left w:val="single" w:sz="8" w:color="auto"/>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election of directors.</w:t>
            </w:r>
          </w:p>
        </w:tc>
      </w:tr>
      <w:tr>
        <w:trPr>
          <w:trHeight w:val="204"/>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2.  The ratification of the</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You may vote “FOR” or “AGAINST”</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This proposal must receive a</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appointment of</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proposal, or you may</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majority of the votes cast, in person</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PricewaterhouseCoopers LLP</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“ABSTAIN” from voting.</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or by proxy, by the holders of the</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as PAGP’s and PAA’s</w:t>
            </w: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Class A, Class B and Class C</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independent registered public</w:t>
            </w: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shares present and entitled to vote,</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accounting firm for the fiscal</w:t>
            </w: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voting as a single class.</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year ending December 31,</w:t>
            </w: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Abstentions will be counted as</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2022.</w:t>
            </w: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votes present and entitled to vote</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and will have the same effect as</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votes “AGAINST” this proposal. We</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do not expect there to be any</w:t>
            </w:r>
          </w:p>
        </w:tc>
      </w:tr>
      <w:tr>
        <w:trPr>
          <w:trHeight w:val="208"/>
        </w:trPr>
        <w:tc>
          <w:tcPr>
            <w:tcW w:w="2740" w:type="dxa"/>
            <w:vAlign w:val="bottom"/>
            <w:tcBorders>
              <w:left w:val="single" w:sz="8" w:color="auto"/>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broker non-votes for this proposal.</w:t>
            </w:r>
          </w:p>
        </w:tc>
      </w:tr>
      <w:tr>
        <w:trPr>
          <w:trHeight w:val="204"/>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3.  The approval, on a non-</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You may vote “FOR” or “AGAINST”</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This proposal must receive a</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binding advisory basis, of our</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proposal, or you may</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majority of the votes cast, in person</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2021 named executive officer</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“ABSTAIN” from voting.</w:t>
            </w: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or by proxy, by the holders of the</w:t>
            </w:r>
          </w:p>
        </w:tc>
      </w:tr>
      <w:tr>
        <w:trPr>
          <w:trHeight w:val="189"/>
        </w:trPr>
        <w:tc>
          <w:tcPr>
            <w:tcW w:w="27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compensation.</w:t>
            </w: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Class A, Class B and Class C</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shares present and entitled to vote,</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voting as a single class.</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Abstentions will be counted as</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votes present and entitled to vote</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and will have the same effect as</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votes “AGAINST” this proposal.</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Broker non-votes are not</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considered votes cast and will have</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no effect on the outcome of this</w:t>
            </w:r>
          </w:p>
        </w:tc>
      </w:tr>
      <w:tr>
        <w:trPr>
          <w:trHeight w:val="208"/>
        </w:trPr>
        <w:tc>
          <w:tcPr>
            <w:tcW w:w="2740" w:type="dxa"/>
            <w:vAlign w:val="bottom"/>
            <w:tcBorders>
              <w:left w:val="single" w:sz="8" w:color="auto"/>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proposal.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QUESTIONS AND ANSWERS ABOUT THE PAA ANNUAL MEETING</w:t>
      </w:r>
    </w:p>
    <w:p>
      <w:pPr>
        <w:spacing w:after="0" w:line="166"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The following questions and answers are intended to address briefly some commonly asked questions regarding the PAA Annual Meeting. These questions and answers may not address all questions that may be important to you as a Unitholder. Please refer to the additional information contained elsewhere in this proxy statement and the documents referred to in this proxy statement.</w:t>
      </w:r>
    </w:p>
    <w:p>
      <w:pPr>
        <w:spacing w:after="0" w:line="10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purpose of these proxy materials?</w:t>
      </w:r>
    </w:p>
    <w:p>
      <w:pPr>
        <w:spacing w:after="0" w:line="180" w:lineRule="exact"/>
        <w:rPr>
          <w:sz w:val="20"/>
          <w:szCs w:val="20"/>
          <w:color w:val="auto"/>
        </w:rPr>
      </w:pPr>
    </w:p>
    <w:p>
      <w:pPr>
        <w:ind w:left="1620" w:right="419" w:hanging="360"/>
        <w:spacing w:after="0" w:line="268" w:lineRule="auto"/>
        <w:tabs>
          <w:tab w:leader="none" w:pos="1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Board is soliciting your proxy to vote at the PAA Annual Meeting because you were a Unitholder at the close of business on March 28, 2022, the record date for the PAA Annual Meeting (the “Record Date”), and are therefore entitled to receive notice regarding the PAA Annual Meeting, and to attend and vote at the PAA Annual Meeting. This proxy statement summarizes the information that you need to know in order to cast your vote at the PAA Annual Meeting. As a Unitholder, your vote is very important and the Board strongly encourages you to exercise your right to vote. You do not need to attend the PAA Annual Meeting to vote your units, and we encourage you to vote even if you are unable to attend the PAA Annual Meeting in person. If you are unable to attend the PAA Annual Meeting, you may vote by Internet, by telephone or by signing and returning the attached proxy card in the envelope provided. See “How do I vote?” below.</w:t>
      </w:r>
    </w:p>
    <w:p>
      <w:pPr>
        <w:spacing w:after="0" w:line="10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recommendation of the Board?</w:t>
      </w:r>
    </w:p>
    <w:p>
      <w:pPr>
        <w:spacing w:after="0" w:line="180" w:lineRule="exact"/>
        <w:rPr>
          <w:sz w:val="20"/>
          <w:szCs w:val="20"/>
          <w:color w:val="auto"/>
        </w:rPr>
      </w:pPr>
    </w:p>
    <w:p>
      <w:pPr>
        <w:ind w:left="1620" w:hanging="36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unanimously recommends that you vote in the following manner:</w:t>
      </w:r>
    </w:p>
    <w:p>
      <w:pPr>
        <w:spacing w:after="0" w:line="95" w:lineRule="exact"/>
        <w:rPr>
          <w:rFonts w:ascii="Arial" w:cs="Arial" w:eastAsia="Arial" w:hAnsi="Arial"/>
          <w:sz w:val="18"/>
          <w:szCs w:val="18"/>
          <w:color w:val="auto"/>
        </w:rPr>
      </w:pPr>
    </w:p>
    <w:p>
      <w:pPr>
        <w:ind w:left="1800" w:right="979" w:hanging="180"/>
        <w:spacing w:after="0" w:line="287"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Victor Burk, Kevin S. McCarthy, Harry N. Pefanis and Gary R.</w:t>
      </w:r>
      <w:r>
        <w:rPr>
          <w:rFonts w:ascii="Arial" w:cs="Arial" w:eastAsia="Arial" w:hAnsi="Arial"/>
          <w:sz w:val="18"/>
          <w:szCs w:val="18"/>
          <w:b w:val="1"/>
          <w:bCs w:val="1"/>
          <w:color w:val="auto"/>
        </w:rPr>
        <w:t xml:space="preserve"> </w:t>
      </w:r>
      <w:r>
        <w:rPr>
          <w:rFonts w:ascii="Arial" w:cs="Arial" w:eastAsia="Arial" w:hAnsi="Arial"/>
          <w:sz w:val="18"/>
          <w:szCs w:val="18"/>
          <w:color w:val="auto"/>
        </w:rPr>
        <w:t>Petersen as a Class II director of the Board to serve until the 2025 annual meeting;</w:t>
      </w:r>
    </w:p>
    <w:p>
      <w:pPr>
        <w:spacing w:after="0" w:line="58" w:lineRule="exact"/>
        <w:rPr>
          <w:rFonts w:ascii="Arial" w:cs="Arial" w:eastAsia="Arial" w:hAnsi="Arial"/>
          <w:sz w:val="18"/>
          <w:szCs w:val="18"/>
          <w:color w:val="auto"/>
        </w:rPr>
      </w:pPr>
    </w:p>
    <w:p>
      <w:pPr>
        <w:ind w:left="1800" w:right="799" w:hanging="180"/>
        <w:spacing w:after="0" w:line="318" w:lineRule="auto"/>
        <w:tabs>
          <w:tab w:leader="none" w:pos="1800" w:val="left"/>
        </w:tabs>
        <w:numPr>
          <w:ilvl w:val="1"/>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appointment of PricewaterhouseCoopers LLP as our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public accounting firm for the fiscal year ending December 31, 2022; and</w:t>
      </w:r>
    </w:p>
    <w:p>
      <w:pPr>
        <w:spacing w:after="0" w:line="21" w:lineRule="exact"/>
        <w:rPr>
          <w:rFonts w:ascii="Arial" w:cs="Arial" w:eastAsia="Arial" w:hAnsi="Arial"/>
          <w:sz w:val="17"/>
          <w:szCs w:val="17"/>
          <w:color w:val="auto"/>
        </w:rPr>
      </w:pPr>
    </w:p>
    <w:p>
      <w:pPr>
        <w:ind w:left="1800" w:right="1099" w:hanging="180"/>
        <w:spacing w:after="0" w:line="287"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 non-binding advisory basis, of our 2021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w:t>
      </w:r>
    </w:p>
    <w:p>
      <w:pPr>
        <w:spacing w:after="0" w:line="8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When and where is the PAA Annual Meeting?</w:t>
      </w:r>
    </w:p>
    <w:p>
      <w:pPr>
        <w:spacing w:after="0" w:line="180" w:lineRule="exact"/>
        <w:rPr>
          <w:sz w:val="20"/>
          <w:szCs w:val="20"/>
          <w:color w:val="auto"/>
        </w:rPr>
      </w:pPr>
    </w:p>
    <w:p>
      <w:pPr>
        <w:ind w:left="1620" w:right="419" w:hanging="360"/>
        <w:spacing w:after="0" w:line="241"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PAA Annual Meeting will be held on May 25, 2022, at 10:00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Only Unitholders of record as of March 28, 2022 are entitled to vote and ask questions at the PAA Annual Meeting. If you are not a Unitholder of record but hold units in “street name” through a brokerage firm, bank, dealer or other similar organization, trustee, or nominee (generally referred to in this proxy statement as a “broker”), you may attend the PAA Annual Meeting as a guest. Please note that if you hold units in “street name” through a broker and desire to vote your units or ask questions during the PAA Annual Meeting, you must request and obtain a valid “legal proxy” from your broker and register to attend the PAA Annual Meeting as a Unitholder with American Stock Transfer &amp; Trust Company, LLC (“AST”).</w:t>
      </w:r>
    </w:p>
    <w:p>
      <w:pPr>
        <w:spacing w:after="0" w:line="137" w:lineRule="exact"/>
        <w:rPr>
          <w:rFonts w:ascii="Arial" w:cs="Arial" w:eastAsia="Arial" w:hAnsi="Arial"/>
          <w:sz w:val="18"/>
          <w:szCs w:val="18"/>
          <w:color w:val="auto"/>
        </w:rPr>
      </w:pPr>
    </w:p>
    <w:p>
      <w:pPr>
        <w:ind w:left="1620" w:right="959"/>
        <w:spacing w:after="0" w:line="261" w:lineRule="auto"/>
        <w:rPr>
          <w:rFonts w:ascii="Arial" w:cs="Arial" w:eastAsia="Arial" w:hAnsi="Arial"/>
          <w:sz w:val="18"/>
          <w:szCs w:val="18"/>
          <w:color w:val="auto"/>
        </w:rPr>
      </w:pPr>
      <w:r>
        <w:rPr>
          <w:rFonts w:ascii="Arial" w:cs="Arial" w:eastAsia="Arial" w:hAnsi="Arial"/>
          <w:sz w:val="18"/>
          <w:szCs w:val="18"/>
          <w:color w:val="auto"/>
        </w:rPr>
        <w:t>Information on who can vote and ask questions during the PAA Annual Meeting is discussed immediately below.</w:t>
      </w:r>
    </w:p>
    <w:p>
      <w:pPr>
        <w:spacing w:after="0" w:line="10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can vote and ask questions at the PAA Annual Meeting?</w:t>
      </w:r>
    </w:p>
    <w:p>
      <w:pPr>
        <w:spacing w:after="0" w:line="180" w:lineRule="exact"/>
        <w:rPr>
          <w:sz w:val="20"/>
          <w:szCs w:val="20"/>
          <w:color w:val="auto"/>
        </w:rPr>
      </w:pPr>
    </w:p>
    <w:p>
      <w:pPr>
        <w:jc w:val="both"/>
        <w:ind w:left="1620" w:right="639" w:hanging="360"/>
        <w:spacing w:after="0" w:line="291" w:lineRule="auto"/>
        <w:tabs>
          <w:tab w:leader="none" w:pos="1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You are entitled to vote and ask questions at the PAA Annual Meeting if you were a Unitholder of record as the close of business on March 28, 2022, the record date for the PAA Annual Meeting.</w:t>
      </w:r>
    </w:p>
    <w:p>
      <w:pPr>
        <w:spacing w:after="0" w:line="88" w:lineRule="exact"/>
        <w:rPr>
          <w:rFonts w:ascii="Arial" w:cs="Arial" w:eastAsia="Arial" w:hAnsi="Arial"/>
          <w:sz w:val="17"/>
          <w:szCs w:val="17"/>
          <w:color w:val="auto"/>
        </w:rPr>
      </w:pPr>
    </w:p>
    <w:p>
      <w:pPr>
        <w:ind w:left="1620" w:right="439"/>
        <w:spacing w:after="0" w:line="256" w:lineRule="auto"/>
        <w:rPr>
          <w:rFonts w:ascii="Arial" w:cs="Arial" w:eastAsia="Arial" w:hAnsi="Arial"/>
          <w:sz w:val="17"/>
          <w:szCs w:val="17"/>
          <w:color w:val="auto"/>
        </w:rPr>
      </w:pPr>
      <w:r>
        <w:rPr>
          <w:rFonts w:ascii="Arial" w:cs="Arial" w:eastAsia="Arial" w:hAnsi="Arial"/>
          <w:sz w:val="18"/>
          <w:szCs w:val="18"/>
          <w:i w:val="1"/>
          <w:iCs w:val="1"/>
          <w:color w:val="auto"/>
        </w:rPr>
        <w:t xml:space="preserve">Unitholder of Record: Units Registered in Your Name. </w:t>
      </w:r>
      <w:r>
        <w:rPr>
          <w:rFonts w:ascii="Arial" w:cs="Arial" w:eastAsia="Arial" w:hAnsi="Arial"/>
          <w:sz w:val="18"/>
          <w:szCs w:val="18"/>
          <w:color w:val="auto"/>
        </w:rPr>
        <w:t>You are a Unitholder of record if your units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were registered directly in your name with our transfer agent, AST, at the close of business on March 28, 2022. As a Unitholder of record, you may vote and ask questions during the PAA Annual Meeting. Whether or not you plan to attend the PAA Annual Meeting, we urge you to submit a proxy to ensure your vote is counted. </w:t>
      </w:r>
      <w:r>
        <w:rPr>
          <w:rFonts w:ascii="Arial" w:cs="Arial" w:eastAsia="Arial" w:hAnsi="Arial"/>
          <w:sz w:val="18"/>
          <w:szCs w:val="18"/>
          <w:b w:val="1"/>
          <w:bCs w:val="1"/>
          <w:i w:val="1"/>
          <w:iCs w:val="1"/>
          <w:color w:val="auto"/>
        </w:rPr>
        <w:t>See page 5 for detailed instructions on how to vote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your units.</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right="419"/>
        <w:spacing w:after="0" w:line="254" w:lineRule="auto"/>
        <w:rPr>
          <w:sz w:val="20"/>
          <w:szCs w:val="20"/>
          <w:color w:val="auto"/>
        </w:rPr>
      </w:pPr>
      <w:r>
        <w:rPr>
          <w:rFonts w:ascii="Arial" w:cs="Arial" w:eastAsia="Arial" w:hAnsi="Arial"/>
          <w:sz w:val="18"/>
          <w:szCs w:val="18"/>
          <w:i w:val="1"/>
          <w:iCs w:val="1"/>
          <w:color w:val="auto"/>
        </w:rPr>
        <w:t xml:space="preserve">Beneficial Owner: Units Registered in the Name of Broker. </w:t>
      </w:r>
      <w:r>
        <w:rPr>
          <w:rFonts w:ascii="Arial" w:cs="Arial" w:eastAsia="Arial" w:hAnsi="Arial"/>
          <w:sz w:val="18"/>
          <w:szCs w:val="18"/>
          <w:color w:val="auto"/>
        </w:rPr>
        <w:t>If your units were held in an account at</w:t>
      </w:r>
      <w:r>
        <w:rPr>
          <w:rFonts w:ascii="Arial" w:cs="Arial" w:eastAsia="Arial" w:hAnsi="Arial"/>
          <w:sz w:val="18"/>
          <w:szCs w:val="18"/>
          <w:i w:val="1"/>
          <w:iCs w:val="1"/>
          <w:color w:val="auto"/>
        </w:rPr>
        <w:t xml:space="preserve"> </w:t>
      </w:r>
      <w:r>
        <w:rPr>
          <w:rFonts w:ascii="Arial" w:cs="Arial" w:eastAsia="Arial" w:hAnsi="Arial"/>
          <w:sz w:val="18"/>
          <w:szCs w:val="18"/>
          <w:color w:val="auto"/>
        </w:rPr>
        <w:t>a broker at the close of business on March 28, 2022, then you are the beneficial owner of units held in “street name” and the broker holding your account is considered to be the Unitholder of record for purposes of voting at the PAA Annual Meeting. As a beneficial owner, you have the right to direct your broker regarding how to vote the units in your account. You are also invited to attend the PAA Annual Meeting as a guest. Because you are not the Unitholder of record, you may not vote your units or ask questions at the PAA Annual Meeting unless you request and obtain a valid legal proxy from the organization that holds your units giving you the right to vote the units at the PAA Annual Meeting. Follow the instructions from your broker or bank included with these proxy materials, or contact your broker or bank to request a legal proxy form.</w:t>
      </w:r>
    </w:p>
    <w:p>
      <w:pPr>
        <w:spacing w:after="0" w:line="122" w:lineRule="exact"/>
        <w:rPr>
          <w:sz w:val="20"/>
          <w:szCs w:val="20"/>
          <w:color w:val="auto"/>
        </w:rPr>
      </w:pPr>
    </w:p>
    <w:p>
      <w:pPr>
        <w:ind w:left="1620" w:right="579"/>
        <w:spacing w:after="0" w:line="253" w:lineRule="auto"/>
        <w:rPr>
          <w:sz w:val="20"/>
          <w:szCs w:val="20"/>
          <w:color w:val="auto"/>
        </w:rPr>
      </w:pPr>
      <w:r>
        <w:rPr>
          <w:rFonts w:ascii="Arial" w:cs="Arial" w:eastAsia="Arial" w:hAnsi="Arial"/>
          <w:sz w:val="18"/>
          <w:szCs w:val="18"/>
          <w:color w:val="auto"/>
        </w:rPr>
        <w:t>After obtaining a valid legal proxy from your broker, bank or other agent, to then register to attend the PAA Annual Meeting as a Unitholder, you must submit proof of your legal proxy reflecting the number of your units along with your name and email address to AST. Requests for registration should be directed to proxy@astfinancial.com or to facsimile number 718-765-8730. Written requests can be mailed to:</w:t>
      </w:r>
    </w:p>
    <w:p>
      <w:pPr>
        <w:spacing w:after="0" w:line="13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American Stock Transfer &amp; Trust Company,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Attn: Proxy Tabulation Department</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6201 15th Avenue | Brooklyn, NY 11219</w:t>
      </w:r>
    </w:p>
    <w:p>
      <w:pPr>
        <w:spacing w:after="0" w:line="158" w:lineRule="exact"/>
        <w:rPr>
          <w:sz w:val="20"/>
          <w:szCs w:val="20"/>
          <w:color w:val="auto"/>
        </w:rPr>
      </w:pPr>
    </w:p>
    <w:p>
      <w:pPr>
        <w:ind w:left="1620" w:right="439"/>
        <w:spacing w:after="0" w:line="261" w:lineRule="auto"/>
        <w:rPr>
          <w:sz w:val="20"/>
          <w:szCs w:val="20"/>
          <w:color w:val="auto"/>
        </w:rPr>
      </w:pPr>
      <w:r>
        <w:rPr>
          <w:rFonts w:ascii="Arial" w:cs="Arial" w:eastAsia="Arial" w:hAnsi="Arial"/>
          <w:sz w:val="18"/>
          <w:szCs w:val="18"/>
          <w:color w:val="auto"/>
        </w:rPr>
        <w:t>Requests for registration must be labeled as “Legal Proxy” and be received no later than 5:00 p.m., Eastern Time, on May 18, 2022.</w:t>
      </w:r>
    </w:p>
    <w:p>
      <w:pPr>
        <w:spacing w:after="0" w:line="117" w:lineRule="exact"/>
        <w:rPr>
          <w:sz w:val="20"/>
          <w:szCs w:val="20"/>
          <w:color w:val="auto"/>
        </w:rPr>
      </w:pPr>
    </w:p>
    <w:p>
      <w:pPr>
        <w:ind w:left="1620" w:right="679"/>
        <w:spacing w:after="0" w:line="256" w:lineRule="auto"/>
        <w:rPr>
          <w:sz w:val="20"/>
          <w:szCs w:val="20"/>
          <w:color w:val="auto"/>
        </w:rPr>
      </w:pPr>
      <w:r>
        <w:rPr>
          <w:rFonts w:ascii="Arial" w:cs="Arial" w:eastAsia="Arial" w:hAnsi="Arial"/>
          <w:sz w:val="18"/>
          <w:szCs w:val="18"/>
          <w:color w:val="auto"/>
        </w:rPr>
        <w:t>You will receive a confirmation of your registration by email after we receive your registration materials. Once registered, you may attend the PAA Annual Meeting, submit questions and vote your units during the meeting.</w:t>
      </w:r>
    </w:p>
    <w:p>
      <w:pPr>
        <w:spacing w:after="0" w:line="11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is soliciting my proxy?</w:t>
      </w:r>
    </w:p>
    <w:p>
      <w:pPr>
        <w:spacing w:after="0" w:line="180" w:lineRule="exact"/>
        <w:rPr>
          <w:sz w:val="20"/>
          <w:szCs w:val="20"/>
          <w:color w:val="auto"/>
        </w:rPr>
      </w:pPr>
    </w:p>
    <w:p>
      <w:pPr>
        <w:ind w:left="1620" w:right="499" w:hanging="360"/>
        <w:spacing w:after="0" w:line="261"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is sending or otherwise providing you access to this proxy statement in connection with its solicitation of proxies for use at the PAA Annual Meeting.</w:t>
      </w:r>
    </w:p>
    <w:p>
      <w:pPr>
        <w:spacing w:after="0" w:line="9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is entitled to vote at the PAA Annual Meeting?</w:t>
      </w:r>
    </w:p>
    <w:p>
      <w:pPr>
        <w:spacing w:after="0" w:line="180" w:lineRule="exact"/>
        <w:rPr>
          <w:sz w:val="20"/>
          <w:szCs w:val="20"/>
          <w:color w:val="auto"/>
        </w:rPr>
      </w:pPr>
    </w:p>
    <w:p>
      <w:pPr>
        <w:ind w:left="1620" w:right="659" w:hanging="360"/>
        <w:spacing w:after="0" w:line="254"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holders of our common units and Series A preferred units at the close of business on the Record Date are entitled to receive notice of the PAA Annual Meeting and to vote the common units and Series A preferred units that they held on the Record Date at the PAA Annual Meeting as described below.</w:t>
      </w:r>
    </w:p>
    <w:p>
      <w:pPr>
        <w:spacing w:after="0" w:line="136" w:lineRule="exact"/>
        <w:rPr>
          <w:rFonts w:ascii="Arial" w:cs="Arial" w:eastAsia="Arial" w:hAnsi="Arial"/>
          <w:sz w:val="18"/>
          <w:szCs w:val="18"/>
          <w:color w:val="auto"/>
        </w:rPr>
      </w:pPr>
    </w:p>
    <w:p>
      <w:pPr>
        <w:ind w:left="1620" w:right="479"/>
        <w:spacing w:after="0" w:line="265" w:lineRule="auto"/>
        <w:rPr>
          <w:rFonts w:ascii="Arial" w:cs="Arial" w:eastAsia="Arial" w:hAnsi="Arial"/>
          <w:sz w:val="18"/>
          <w:szCs w:val="18"/>
          <w:color w:val="auto"/>
        </w:rPr>
      </w:pPr>
      <w:r>
        <w:rPr>
          <w:rFonts w:ascii="Arial" w:cs="Arial" w:eastAsia="Arial" w:hAnsi="Arial"/>
          <w:sz w:val="17"/>
          <w:szCs w:val="17"/>
          <w:color w:val="auto"/>
        </w:rPr>
        <w:t>Each common unitholder (excluding AAP with respect to proposals 1, 2 and 3) is entitled to one vote for each common unit owned on all matters to be considered at the PAA Annual Meeting. The Series A preferred unitholders will vote on an as-converted basis, with each Series A preferred unit entitled to one vote on all matters to be considered at the PAA Annual Meeting. As of March 28, 2022, 702,668,178 common units and 71,090,468 Series A preferred units were issued and outstanding. AAP owns 241,485,177 common units, and, as noted above, it is not entitled to vote such common units on proposals 1, 2 or 3. The following table provides the number of</w:t>
      </w:r>
    </w:p>
    <w:p>
      <w:pPr>
        <w:spacing w:after="0" w:line="1"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common units entitled to vote on each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64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Common Units Entitled to Vote</w:t>
            </w: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(including Series A Preferred</w:t>
            </w: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96"/>
        </w:trPr>
        <w:tc>
          <w:tcPr>
            <w:tcW w:w="250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Proposal</w:t>
            </w:r>
          </w:p>
        </w:tc>
        <w:tc>
          <w:tcPr>
            <w:tcW w:w="140" w:type="dxa"/>
            <w:vAlign w:val="bottom"/>
          </w:tcPr>
          <w:p>
            <w:pPr>
              <w:spacing w:after="0"/>
              <w:rPr>
                <w:sz w:val="17"/>
                <w:szCs w:val="17"/>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Units on an as-converted basis)</w:t>
            </w:r>
          </w:p>
        </w:tc>
        <w:tc>
          <w:tcPr>
            <w:tcW w:w="120" w:type="dxa"/>
            <w:vAlign w:val="bottom"/>
          </w:tcPr>
          <w:p>
            <w:pPr>
              <w:spacing w:after="0"/>
              <w:rPr>
                <w:sz w:val="17"/>
                <w:szCs w:val="17"/>
                <w:color w:val="auto"/>
              </w:rPr>
            </w:pPr>
          </w:p>
        </w:tc>
        <w:tc>
          <w:tcPr>
            <w:tcW w:w="25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Explanation</w:t>
            </w:r>
          </w:p>
        </w:tc>
      </w:tr>
      <w:tr>
        <w:trPr>
          <w:trHeight w:val="242"/>
        </w:trPr>
        <w:tc>
          <w:tcPr>
            <w:tcW w:w="2640" w:type="dxa"/>
            <w:vAlign w:val="bottom"/>
            <w:gridSpan w:val="2"/>
          </w:tcPr>
          <w:p>
            <w:pPr>
              <w:spacing w:after="0"/>
              <w:rPr>
                <w:sz w:val="20"/>
                <w:szCs w:val="20"/>
                <w:color w:val="auto"/>
              </w:rPr>
            </w:pPr>
            <w:r>
              <w:rPr>
                <w:rFonts w:ascii="Arial" w:cs="Arial" w:eastAsia="Arial" w:hAnsi="Arial"/>
                <w:sz w:val="18"/>
                <w:szCs w:val="18"/>
                <w:color w:val="auto"/>
              </w:rPr>
              <w:t>Proposals 1, 2 and 3</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532,273,469</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Excludes common units held</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by AAP. The number of</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common units owned by AAP</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is, by design, equivalent to the</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number of outstanding PAGP</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Class A and Class B shares</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and unvested Class B units of</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AAP. PAGP Class A and</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Class B shareholders will vote</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w w:val="99"/>
              </w:rPr>
              <w:t>on proposals 1, 2 and 3 directly</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at the PAGP Annual Meeting.</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Therefore, excluding</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common units held by AAP</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from the “pass-through” vote</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prevents double voting on</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these proposals within the</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overall capital structure of</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PAGP, AAP and PAA.</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Common units held by AAP in</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respect of unvested Class B</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units of AAP are non-</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voting units until such Class B</w:t>
            </w:r>
          </w:p>
        </w:tc>
      </w:tr>
      <w:tr>
        <w:trPr>
          <w:trHeight w:val="216"/>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units vest and are converted to</w:t>
            </w:r>
          </w:p>
        </w:tc>
      </w:tr>
      <w:tr>
        <w:trPr>
          <w:trHeight w:val="217"/>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Class A units of AAP.</w:t>
            </w:r>
          </w:p>
        </w:tc>
      </w:tr>
    </w:tbl>
    <w:p>
      <w:pPr>
        <w:spacing w:after="0" w:line="23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How do I vote?</w:t>
      </w:r>
    </w:p>
    <w:p>
      <w:pPr>
        <w:spacing w:after="0" w:line="166" w:lineRule="exact"/>
        <w:rPr>
          <w:sz w:val="20"/>
          <w:szCs w:val="20"/>
          <w:color w:val="auto"/>
        </w:rPr>
      </w:pPr>
    </w:p>
    <w:p>
      <w:pPr>
        <w:ind w:left="1620" w:right="1059" w:hanging="360"/>
        <w:spacing w:after="0" w:line="261"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 are a Unitholder of record at the close of business on the Record Date, you may vote your units by any of the following methods:</w:t>
      </w:r>
    </w:p>
    <w:p>
      <w:pPr>
        <w:spacing w:after="0" w:line="58" w:lineRule="exact"/>
        <w:rPr>
          <w:rFonts w:ascii="Arial" w:cs="Arial" w:eastAsia="Arial" w:hAnsi="Arial"/>
          <w:sz w:val="18"/>
          <w:szCs w:val="18"/>
          <w:color w:val="auto"/>
        </w:rPr>
      </w:pPr>
    </w:p>
    <w:p>
      <w:pPr>
        <w:ind w:left="1800" w:right="499" w:hanging="180"/>
        <w:spacing w:after="0" w:line="261"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Voting online before the meeting. </w:t>
      </w:r>
      <w:r>
        <w:rPr>
          <w:rFonts w:ascii="Arial" w:cs="Arial" w:eastAsia="Arial" w:hAnsi="Arial"/>
          <w:sz w:val="18"/>
          <w:szCs w:val="18"/>
          <w:color w:val="auto"/>
        </w:rPr>
        <w:t>You may vote online by visiting the Internet address listed on</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card. Internet voting procedures have been established to verify your identity and to confirm your voting instructions. Please have your proxy card available when you visit the Internet address.</w:t>
      </w:r>
    </w:p>
    <w:p>
      <w:pPr>
        <w:spacing w:after="0" w:line="71" w:lineRule="exact"/>
        <w:rPr>
          <w:rFonts w:ascii="Arial" w:cs="Arial" w:eastAsia="Arial" w:hAnsi="Arial"/>
          <w:sz w:val="18"/>
          <w:szCs w:val="18"/>
          <w:color w:val="auto"/>
        </w:rPr>
      </w:pPr>
    </w:p>
    <w:p>
      <w:pPr>
        <w:ind w:left="1800" w:right="559" w:hanging="180"/>
        <w:spacing w:after="0" w:line="261"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Voting by telephone before the meeting. </w:t>
      </w:r>
      <w:r>
        <w:rPr>
          <w:rFonts w:ascii="Arial" w:cs="Arial" w:eastAsia="Arial" w:hAnsi="Arial"/>
          <w:sz w:val="18"/>
          <w:szCs w:val="18"/>
          <w:color w:val="auto"/>
        </w:rPr>
        <w:t>You may vote by telephone by calling the toll-free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listed on your proxy card. Telephone voting procedures have been established to verify your identity, to allow you to provide proxy voting instructions and to confirm that your instructions were accurately recorded. Please have your proxy card available when you call.</w:t>
      </w:r>
    </w:p>
    <w:p>
      <w:pPr>
        <w:spacing w:after="0" w:line="71" w:lineRule="exact"/>
        <w:rPr>
          <w:rFonts w:ascii="Arial" w:cs="Arial" w:eastAsia="Arial" w:hAnsi="Arial"/>
          <w:sz w:val="18"/>
          <w:szCs w:val="18"/>
          <w:color w:val="auto"/>
        </w:rPr>
      </w:pPr>
    </w:p>
    <w:p>
      <w:pPr>
        <w:ind w:left="1800" w:right="519" w:hanging="180"/>
        <w:spacing w:after="0" w:line="261"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Voting by mail before the meeting. </w:t>
      </w:r>
      <w:r>
        <w:rPr>
          <w:rFonts w:ascii="Arial" w:cs="Arial" w:eastAsia="Arial" w:hAnsi="Arial"/>
          <w:sz w:val="18"/>
          <w:szCs w:val="18"/>
          <w:color w:val="auto"/>
        </w:rPr>
        <w:t>You may vote by mail by returning your completed, signed</w:t>
      </w:r>
      <w:r>
        <w:rPr>
          <w:rFonts w:ascii="Arial" w:cs="Arial" w:eastAsia="Arial" w:hAnsi="Arial"/>
          <w:sz w:val="18"/>
          <w:szCs w:val="18"/>
          <w:i w:val="1"/>
          <w:iCs w:val="1"/>
          <w:color w:val="auto"/>
        </w:rPr>
        <w:t xml:space="preserve"> </w:t>
      </w:r>
      <w:r>
        <w:rPr>
          <w:rFonts w:ascii="Arial" w:cs="Arial" w:eastAsia="Arial" w:hAnsi="Arial"/>
          <w:sz w:val="18"/>
          <w:szCs w:val="18"/>
          <w:color w:val="auto"/>
        </w:rPr>
        <w:t>and dated proxy card in the enclosed postage-paid return envelope.However, in order to ensure that your vote is received in a timely manner, we recommend that you vote online or by telephone as described above.</w:t>
      </w:r>
    </w:p>
    <w:p>
      <w:pPr>
        <w:spacing w:after="0" w:line="71" w:lineRule="exact"/>
        <w:rPr>
          <w:rFonts w:ascii="Arial" w:cs="Arial" w:eastAsia="Arial" w:hAnsi="Arial"/>
          <w:sz w:val="18"/>
          <w:szCs w:val="18"/>
          <w:color w:val="auto"/>
        </w:rPr>
      </w:pPr>
    </w:p>
    <w:p>
      <w:pPr>
        <w:ind w:left="1800" w:right="439" w:hanging="180"/>
        <w:spacing w:after="0" w:line="255"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Voting during the meeting</w:t>
      </w:r>
      <w:r>
        <w:rPr>
          <w:rFonts w:ascii="Arial" w:cs="Arial" w:eastAsia="Arial" w:hAnsi="Arial"/>
          <w:sz w:val="18"/>
          <w:szCs w:val="18"/>
          <w:color w:val="auto"/>
        </w:rPr>
        <w:t>. If you are a Unitholder of record, you may attend the PAA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ask questions and vote during the meeting. If you are a beneficial owner of units held in street name, you must be registered to attend the PAA Annual Meeting as a Unitholder and must have a valid legal proxy in order to vote during the meeting. Please read the “Beneficial Owner: Units Registered in the Name of Broker” answer under the question “Who can vote and ask questions at the PAA Annual Meeting?” above for instructions on how to register to attend the PAA Annual Meeting and obtain a legal proxy.</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Internet and telephone voting will be available to Unitholders of record 24 hours a day until</w:t>
      </w:r>
    </w:p>
    <w:p>
      <w:pPr>
        <w:ind w:left="1620" w:right="419"/>
        <w:spacing w:after="0" w:line="246" w:lineRule="auto"/>
        <w:rPr>
          <w:sz w:val="20"/>
          <w:szCs w:val="20"/>
          <w:color w:val="auto"/>
        </w:rPr>
      </w:pPr>
      <w:r>
        <w:rPr>
          <w:rFonts w:ascii="Arial" w:cs="Arial" w:eastAsia="Arial" w:hAnsi="Arial"/>
          <w:sz w:val="18"/>
          <w:szCs w:val="18"/>
          <w:color w:val="auto"/>
        </w:rPr>
        <w:t>11:59 p.m. Eastern Time on May 24, 2022, the night before the PAA Annual Meeting. If you use the Internet or the toll-free telephone number to provide your proxy voting instructions, you do not</w:t>
      </w:r>
    </w:p>
    <w:p>
      <w:pPr>
        <w:sectPr>
          <w:pgSz w:w="11900" w:h="16838" w:orient="portrait"/>
          <w:cols w:equalWidth="0" w:num="1">
            <w:col w:w="9879"/>
          </w:cols>
          <w:pgMar w:left="580" w:top="131" w:right="1440" w:bottom="1440" w:gutter="0" w:footer="0" w:header="0"/>
        </w:sectPr>
      </w:pPr>
    </w:p>
    <w:p>
      <w:pPr>
        <w:spacing w:after="0" w:line="38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39"/>
        <w:spacing w:after="0" w:line="261" w:lineRule="auto"/>
        <w:rPr>
          <w:sz w:val="20"/>
          <w:szCs w:val="20"/>
          <w:color w:val="auto"/>
        </w:rPr>
      </w:pPr>
      <w:r>
        <w:rPr>
          <w:rFonts w:ascii="Arial" w:cs="Arial" w:eastAsia="Arial" w:hAnsi="Arial"/>
          <w:sz w:val="18"/>
          <w:szCs w:val="18"/>
          <w:color w:val="auto"/>
        </w:rPr>
        <w:t>need to mail in your proxy card. If you mail in your proxy card, it must be received by PAA before the voting polls close at the PAA Annual Meeting.</w:t>
      </w:r>
    </w:p>
    <w:p>
      <w:pPr>
        <w:spacing w:after="0" w:line="117" w:lineRule="exact"/>
        <w:rPr>
          <w:sz w:val="20"/>
          <w:szCs w:val="20"/>
          <w:color w:val="auto"/>
        </w:rPr>
      </w:pPr>
    </w:p>
    <w:p>
      <w:pPr>
        <w:ind w:left="1620" w:right="479"/>
        <w:spacing w:after="0" w:line="254" w:lineRule="auto"/>
        <w:rPr>
          <w:sz w:val="20"/>
          <w:szCs w:val="20"/>
          <w:color w:val="auto"/>
        </w:rPr>
      </w:pPr>
      <w:r>
        <w:rPr>
          <w:rFonts w:ascii="Arial" w:cs="Arial" w:eastAsia="Arial" w:hAnsi="Arial"/>
          <w:sz w:val="18"/>
          <w:szCs w:val="18"/>
          <w:color w:val="auto"/>
        </w:rPr>
        <w:t>Even if you plan to attend the PAA Annual Meeting, please vote your units by proxy in advance of the PAA Annual Meeting (either online, by telephone or by mail as described above) as soon as possible so that your units will be represented at the PAA Annual Meeting if for any reason you are unable to attend.</w:t>
      </w:r>
    </w:p>
    <w:p>
      <w:pPr>
        <w:spacing w:after="0" w:line="11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do I do if I want to change my vote after I have already voted by proxy?</w:t>
      </w:r>
    </w:p>
    <w:p>
      <w:pPr>
        <w:spacing w:after="0" w:line="180" w:lineRule="exact"/>
        <w:rPr>
          <w:sz w:val="20"/>
          <w:szCs w:val="20"/>
          <w:color w:val="auto"/>
        </w:rPr>
      </w:pPr>
    </w:p>
    <w:p>
      <w:pPr>
        <w:ind w:left="1620" w:right="419" w:hanging="360"/>
        <w:spacing w:after="0" w:line="261"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Unitholder of record at the close of business on the Record Date, you may change your vote at any time before the voting polls close at the PAA Annual Meeting by:</w:t>
      </w:r>
    </w:p>
    <w:p>
      <w:pPr>
        <w:spacing w:after="0" w:line="89" w:lineRule="exact"/>
        <w:rPr>
          <w:rFonts w:ascii="Arial" w:cs="Arial" w:eastAsia="Arial" w:hAnsi="Arial"/>
          <w:sz w:val="18"/>
          <w:szCs w:val="18"/>
          <w:color w:val="auto"/>
        </w:rPr>
      </w:pPr>
    </w:p>
    <w:p>
      <w:pPr>
        <w:ind w:left="1800" w:right="699" w:hanging="180"/>
        <w:spacing w:after="0" w:line="256"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submitting a proxy with new voting instructions using the Internet or telephone voting system (please note that the deadline for voting online or by telephone is 11:59 p.m. Eastern Time on May 24, 2022);</w:t>
      </w:r>
    </w:p>
    <w:p>
      <w:pPr>
        <w:spacing w:after="0" w:line="93" w:lineRule="exact"/>
        <w:rPr>
          <w:rFonts w:ascii="Arial" w:cs="Arial" w:eastAsia="Arial" w:hAnsi="Arial"/>
          <w:sz w:val="18"/>
          <w:szCs w:val="18"/>
          <w:color w:val="auto"/>
        </w:rPr>
      </w:pPr>
    </w:p>
    <w:p>
      <w:pPr>
        <w:ind w:left="1800" w:right="439" w:hanging="180"/>
        <w:spacing w:after="0" w:line="261"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delivering a later-dated, executed proxy card to American Stock Transfer &amp; Trust Company, LLC, 6201 15th Avenue, Brooklyn, New York 11219;</w:t>
      </w:r>
    </w:p>
    <w:p>
      <w:pPr>
        <w:spacing w:after="0" w:line="89" w:lineRule="exact"/>
        <w:rPr>
          <w:rFonts w:ascii="Arial" w:cs="Arial" w:eastAsia="Arial" w:hAnsi="Arial"/>
          <w:sz w:val="18"/>
          <w:szCs w:val="18"/>
          <w:color w:val="auto"/>
        </w:rPr>
      </w:pPr>
    </w:p>
    <w:p>
      <w:pPr>
        <w:ind w:left="1800" w:right="1079" w:hanging="180"/>
        <w:spacing w:after="0" w:line="261"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delivering a written notice of revocation of your proxy to American Stock Transfer &amp; Trust Company, LLC, 6201 15th Avenue, Brooklyn, New York 11219; or</w:t>
      </w:r>
    </w:p>
    <w:p>
      <w:pPr>
        <w:spacing w:after="0" w:line="89" w:lineRule="exact"/>
        <w:rPr>
          <w:rFonts w:ascii="Arial" w:cs="Arial" w:eastAsia="Arial" w:hAnsi="Arial"/>
          <w:sz w:val="18"/>
          <w:szCs w:val="18"/>
          <w:color w:val="auto"/>
        </w:rPr>
      </w:pPr>
    </w:p>
    <w:p>
      <w:pPr>
        <w:ind w:left="1800" w:right="479" w:hanging="180"/>
        <w:spacing w:after="0" w:line="256"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attending the PAA Annual Meeting and voting during the PAA Annual Meeting pursuant to the instructions above. Please note that attendance at the PAA Annual Meeting will not by itself (i.e., without also voting) revoke a previously granted proxy.</w:t>
      </w:r>
    </w:p>
    <w:p>
      <w:pPr>
        <w:spacing w:after="0" w:line="134" w:lineRule="exact"/>
        <w:rPr>
          <w:sz w:val="20"/>
          <w:szCs w:val="20"/>
          <w:color w:val="auto"/>
        </w:rPr>
      </w:pPr>
    </w:p>
    <w:p>
      <w:pPr>
        <w:ind w:left="1620" w:right="459"/>
        <w:spacing w:after="0" w:line="253" w:lineRule="auto"/>
        <w:rPr>
          <w:sz w:val="20"/>
          <w:szCs w:val="20"/>
          <w:color w:val="auto"/>
        </w:rPr>
      </w:pPr>
      <w:r>
        <w:rPr>
          <w:rFonts w:ascii="Arial" w:cs="Arial" w:eastAsia="Arial" w:hAnsi="Arial"/>
          <w:sz w:val="18"/>
          <w:szCs w:val="18"/>
          <w:color w:val="auto"/>
        </w:rPr>
        <w:t>If you are a beneficial owner of common units or Series A preferred units held in street name and you have instructed your broker or other nominee to vote your units, you must follow the procedure your broker or other nominee provides to change those instructions. You may also vote during the PAA Annual Meeting if you obtain a legal proxy from your broker or other nominee and register to attend the PAA Annual Meeting pursuant to the instructions above.</w:t>
      </w:r>
    </w:p>
    <w:p>
      <w:pPr>
        <w:spacing w:after="0" w:line="10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a broker non-vote?</w:t>
      </w:r>
    </w:p>
    <w:p>
      <w:pPr>
        <w:spacing w:after="0" w:line="180" w:lineRule="exact"/>
        <w:rPr>
          <w:sz w:val="20"/>
          <w:szCs w:val="20"/>
          <w:color w:val="auto"/>
        </w:rPr>
      </w:pPr>
    </w:p>
    <w:p>
      <w:pPr>
        <w:ind w:left="1620" w:right="499" w:hanging="360"/>
        <w:spacing w:after="0" w:line="267" w:lineRule="auto"/>
        <w:tabs>
          <w:tab w:leader="none" w:pos="1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broker non-vote occurs when units held by a broker, bank or other nominee on behalf of a beneficial owner are not voted with respect to a particular matter because the broker lacks discretionary authority to vote the units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 owners who have not provided voting instructions. The election of directors (Proposal 1) and the advisory vote to approve our 2021 named executive officer compensation (Proposal 3) are non-routine matters. If a broker returns a proxy with a voting choice selected for a routine proposal but with no voting choice selected for a non-routine proposal, the result is a broker non-vote. Broker non-votes are counted as present and entitled to vote for purposes of determining a quorum at the meeting, but are not considered votes cast and will have no impact on non-routine matters. Accordingly, we do not expect there to be any broker non-votes for Proposal 2 and broker non-votes will not be counted as votes either “FOR” or “AGAINST” Proposals 1 and 3.</w:t>
      </w:r>
    </w:p>
    <w:p>
      <w:pPr>
        <w:spacing w:after="0" w:line="10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constitutes a quorum?</w:t>
      </w:r>
    </w:p>
    <w:p>
      <w:pPr>
        <w:spacing w:after="0" w:line="166" w:lineRule="exact"/>
        <w:rPr>
          <w:sz w:val="20"/>
          <w:szCs w:val="20"/>
          <w:color w:val="auto"/>
        </w:rPr>
      </w:pPr>
    </w:p>
    <w:p>
      <w:pPr>
        <w:ind w:left="1620" w:right="419" w:hanging="360"/>
        <w:spacing w:after="0" w:line="256"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holders of a majority of the outstanding common units and Series A preferred units (on an as-converted basis) entitled to vote and represented in person or by proxy shall constitute a quorum at the PAA Annual Meeting. Your units will be counted as present at the PAA Annual Meeting if:</w:t>
      </w:r>
    </w:p>
    <w:p>
      <w:pPr>
        <w:spacing w:after="0" w:line="93" w:lineRule="exact"/>
        <w:rPr>
          <w:rFonts w:ascii="Arial" w:cs="Arial" w:eastAsia="Arial" w:hAnsi="Arial"/>
          <w:sz w:val="18"/>
          <w:szCs w:val="18"/>
          <w:color w:val="auto"/>
        </w:rPr>
      </w:pPr>
    </w:p>
    <w:p>
      <w:pPr>
        <w:ind w:left="1800" w:hanging="180"/>
        <w:spacing w:after="0"/>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you are present and vote at the meeting; or</w:t>
      </w:r>
    </w:p>
    <w:p>
      <w:pPr>
        <w:spacing w:after="0" w:line="117" w:lineRule="exact"/>
        <w:rPr>
          <w:rFonts w:ascii="Arial" w:cs="Arial" w:eastAsia="Arial" w:hAnsi="Arial"/>
          <w:sz w:val="18"/>
          <w:szCs w:val="18"/>
          <w:color w:val="auto"/>
        </w:rPr>
      </w:pPr>
    </w:p>
    <w:p>
      <w:pPr>
        <w:ind w:left="1800" w:right="639" w:hanging="180"/>
        <w:spacing w:after="0" w:line="261"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you, or your broker if you are a beneficial owner of units held in street name, have submitted a properly executed proxy.</w:t>
      </w:r>
    </w:p>
    <w:p>
      <w:pPr>
        <w:sectPr>
          <w:pgSz w:w="11900" w:h="16838" w:orient="portrait"/>
          <w:cols w:equalWidth="0" w:num="1">
            <w:col w:w="9879"/>
          </w:cols>
          <w:pgMar w:left="580" w:top="132" w:right="1440" w:bottom="1440" w:gutter="0" w:footer="0" w:header="0"/>
        </w:sectPr>
      </w:pPr>
    </w:p>
    <w:p>
      <w:pPr>
        <w:spacing w:after="0" w:line="38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99"/>
        <w:spacing w:after="0" w:line="261" w:lineRule="auto"/>
        <w:rPr>
          <w:sz w:val="20"/>
          <w:szCs w:val="20"/>
          <w:color w:val="auto"/>
        </w:rPr>
      </w:pPr>
      <w:r>
        <w:rPr>
          <w:rFonts w:ascii="Arial" w:cs="Arial" w:eastAsia="Arial" w:hAnsi="Arial"/>
          <w:sz w:val="18"/>
          <w:szCs w:val="18"/>
          <w:color w:val="auto"/>
        </w:rPr>
        <w:t>Executed proxies received but marked as abstentions and broker non-votes will be counted as present for purposes of determining the presence of a quorum.</w:t>
      </w:r>
    </w:p>
    <w:p>
      <w:pPr>
        <w:spacing w:after="0" w:line="9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will I be voting on?</w:t>
      </w:r>
    </w:p>
    <w:p>
      <w:pPr>
        <w:spacing w:after="0" w:line="180" w:lineRule="exact"/>
        <w:rPr>
          <w:sz w:val="20"/>
          <w:szCs w:val="20"/>
          <w:color w:val="auto"/>
        </w:rPr>
      </w:pPr>
    </w:p>
    <w:p>
      <w:pPr>
        <w:ind w:left="1620" w:right="579" w:hanging="360"/>
        <w:spacing w:after="0" w:line="252"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Unitholders (excluding AAP) will be casting a “pass-through” vote on Proposals 1, 2 and 3 by instructing PAA how to vote its PAGP Class C shares on those proposals at PAGP’s annual meeting. PAA will vote (or refrain from voting) its Class C shares on each matter submitted to PAGP’s shareholders in the same proportion as the votes received from or withheld by the Unitholders with respect to such matter. The proposals that will be voted on and the required vote for approval of such proposals is set forth above under “Information About the PAGP and PAA Annual Meetings.”</w:t>
      </w:r>
    </w:p>
    <w:p>
      <w:pPr>
        <w:spacing w:after="0" w:line="11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covers the expense of the proxy solicitation?</w:t>
      </w:r>
    </w:p>
    <w:p>
      <w:pPr>
        <w:spacing w:after="0" w:line="166" w:lineRule="exact"/>
        <w:rPr>
          <w:sz w:val="20"/>
          <w:szCs w:val="20"/>
          <w:color w:val="auto"/>
        </w:rPr>
      </w:pPr>
    </w:p>
    <w:p>
      <w:pPr>
        <w:ind w:left="1620" w:right="499" w:hanging="360"/>
        <w:spacing w:after="0" w:line="251"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expense of preparing, printing and mailing this proxy statement and the proxies solicited hereby will be borne by us. In addition to the use of the mail, proxies may be solicited by PAGP GP’s directors and officers, as well as by employees of GP LLC, without additional remuneration, by mail, phone, fax or in person. We will also request brokerage firms, banks, nominees, custodians and fiduciaries to forward proxy materials to the beneficial owners of our units as of the Record Date and will provide reimbursement for the cost of forwarding the proxy materials in accordance with customary practice. Your cooperation in promptly voting your units electronically, via the Internet or by telephone, or by signing and returning the enclosed proxy card will help to avoid additional expenses. We have hired Georgeson LLC to solicit proxies for a fee of $10,000 plus reasonable expenses for additional services.</w:t>
      </w:r>
    </w:p>
    <w:p>
      <w:pPr>
        <w:spacing w:after="0" w:line="12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if I do not mark a voting choice for some of the matters listed on my proxy card?</w:t>
      </w:r>
    </w:p>
    <w:p>
      <w:pPr>
        <w:spacing w:after="0" w:line="180" w:lineRule="exact"/>
        <w:rPr>
          <w:sz w:val="20"/>
          <w:szCs w:val="20"/>
          <w:color w:val="auto"/>
        </w:rPr>
      </w:pPr>
    </w:p>
    <w:p>
      <w:pPr>
        <w:ind w:left="1620" w:right="679" w:hanging="360"/>
        <w:spacing w:after="0" w:line="256"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you return a signed proxy card without indicating your voting choice, your units will be voted in accordance with the Board’s recommendation for each proposal with respect to which a voting choice is not indicated.</w:t>
      </w:r>
    </w:p>
    <w:p>
      <w:pPr>
        <w:spacing w:after="0" w:line="9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will tabulate and certify the vote?</w:t>
      </w:r>
    </w:p>
    <w:p>
      <w:pPr>
        <w:spacing w:after="0" w:line="180" w:lineRule="exact"/>
        <w:rPr>
          <w:sz w:val="20"/>
          <w:szCs w:val="20"/>
          <w:color w:val="auto"/>
        </w:rPr>
      </w:pPr>
    </w:p>
    <w:p>
      <w:pPr>
        <w:ind w:left="1620" w:right="879" w:hanging="360"/>
        <w:spacing w:after="0" w:line="261"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AST will tabulate and certify the vote, and a representative of AST will act as the independent inspector of elections for the PAA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1 — ELECTION OF CLASS II DIRECTORS</w:t>
      </w:r>
    </w:p>
    <w:p>
      <w:pPr>
        <w:spacing w:after="0" w:line="225" w:lineRule="exact"/>
        <w:rPr>
          <w:sz w:val="20"/>
          <w:szCs w:val="20"/>
          <w:color w:val="auto"/>
        </w:rPr>
      </w:pPr>
    </w:p>
    <w:p>
      <w:pPr>
        <w:jc w:val="center"/>
        <w:ind w:left="1860"/>
        <w:spacing w:after="0" w:line="247" w:lineRule="auto"/>
        <w:rPr>
          <w:sz w:val="20"/>
          <w:szCs w:val="20"/>
          <w:color w:val="auto"/>
        </w:rPr>
      </w:pPr>
      <w:r>
        <w:rPr>
          <w:rFonts w:ascii="Arial" w:cs="Arial" w:eastAsia="Arial" w:hAnsi="Arial"/>
          <w:sz w:val="18"/>
          <w:szCs w:val="18"/>
          <w:b w:val="1"/>
          <w:bCs w:val="1"/>
          <w:color w:val="auto"/>
        </w:rPr>
        <w:t>THE BOARD OF DIRECTORS UNANIMOUSLY RECOMMENDS THAT YOU VOTE “FOR” THE ELECTION OF EACH OF VICTOR BURK, KEVIN S. MCCARTHY, HARRY N. PEFANIS AND GARY R. PETERSEN TO SERVE AS A CLASS II DIRECTOR ON OUR GENERAL PARTNER’S BOARD OF DIRECTORS UNTIL THE 2025 ANNUAL MEETING.</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and Governance Structure</w:t>
      </w:r>
    </w:p>
    <w:p>
      <w:pPr>
        <w:spacing w:after="0" w:line="148" w:lineRule="exact"/>
        <w:rPr>
          <w:sz w:val="20"/>
          <w:szCs w:val="20"/>
          <w:color w:val="auto"/>
        </w:rPr>
      </w:pPr>
    </w:p>
    <w:p>
      <w:pPr>
        <w:ind w:left="1260" w:right="819" w:firstLine="360"/>
        <w:spacing w:after="0" w:line="245" w:lineRule="auto"/>
        <w:rPr>
          <w:sz w:val="20"/>
          <w:szCs w:val="20"/>
          <w:color w:val="auto"/>
        </w:rPr>
      </w:pPr>
      <w:r>
        <w:rPr>
          <w:rFonts w:ascii="Arial" w:cs="Arial" w:eastAsia="Arial" w:hAnsi="Arial"/>
          <w:sz w:val="18"/>
          <w:szCs w:val="18"/>
          <w:i w:val="1"/>
          <w:iCs w:val="1"/>
          <w:color w:val="auto"/>
        </w:rPr>
        <w:t xml:space="preserve">Summary of Recent Changes. </w:t>
      </w:r>
      <w:r>
        <w:rPr>
          <w:rFonts w:ascii="Arial" w:cs="Arial" w:eastAsia="Arial" w:hAnsi="Arial"/>
          <w:sz w:val="18"/>
          <w:szCs w:val="18"/>
          <w:color w:val="auto"/>
        </w:rPr>
        <w:t>Investors have voiced a preference for certain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and over the course of the last several years, our board and governance structure has evolved and changed in ways that we believe are meaningfully beneficial to investors. Highlights of some of the key changes are as follows:</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2016</w:t>
      </w:r>
    </w:p>
    <w:p>
      <w:pPr>
        <w:spacing w:after="0" w:line="117" w:lineRule="exact"/>
        <w:rPr>
          <w:sz w:val="20"/>
          <w:szCs w:val="20"/>
          <w:color w:val="auto"/>
        </w:rPr>
      </w:pPr>
    </w:p>
    <w:p>
      <w:pPr>
        <w:ind w:left="1800" w:right="659" w:hanging="180"/>
        <w:spacing w:after="0" w:line="291"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Replaced our dual board structure for PAA and PAGP with a unified governance structure that resulted in the Board being solely responsible for the governance of PAA, AAP and PAGP;</w:t>
      </w:r>
    </w:p>
    <w:p>
      <w:pPr>
        <w:spacing w:after="0" w:line="52" w:lineRule="exact"/>
        <w:rPr>
          <w:rFonts w:ascii="Arial" w:cs="Arial" w:eastAsia="Arial" w:hAnsi="Arial"/>
          <w:sz w:val="17"/>
          <w:szCs w:val="17"/>
          <w:color w:val="auto"/>
        </w:rPr>
      </w:pPr>
    </w:p>
    <w:p>
      <w:pPr>
        <w:ind w:left="1800" w:right="839" w:hanging="180"/>
        <w:spacing w:after="0" w:line="278"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Amended our governing documents to enfranchise all shareholders of PAGP and all public common unitholders and Series A preferred unitholders of PAA by providing for shareholder elections of directors commencing in 2018 (on a staggered three year rolling basis);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2017</w:t>
      </w:r>
    </w:p>
    <w:p>
      <w:pPr>
        <w:spacing w:after="0" w:line="117" w:lineRule="exact"/>
        <w:rPr>
          <w:sz w:val="20"/>
          <w:szCs w:val="20"/>
          <w:color w:val="auto"/>
        </w:rPr>
      </w:pPr>
    </w:p>
    <w:p>
      <w:pPr>
        <w:ind w:left="1800" w:right="699" w:hanging="180"/>
        <w:spacing w:after="0" w:line="261"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Added Asian American director to the Board (subsequently became Chairman of the Board in January 2020);</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2018</w:t>
      </w:r>
    </w:p>
    <w:p>
      <w:pPr>
        <w:spacing w:after="0" w:line="117" w:lineRule="exact"/>
        <w:rPr>
          <w:sz w:val="20"/>
          <w:szCs w:val="20"/>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Held first annual meeting for the election of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Added new independent female director to the Board;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2019</w:t>
      </w:r>
    </w:p>
    <w:p>
      <w:pPr>
        <w:spacing w:after="0" w:line="104" w:lineRule="exact"/>
        <w:rPr>
          <w:sz w:val="20"/>
          <w:szCs w:val="20"/>
          <w:color w:val="auto"/>
        </w:rPr>
      </w:pPr>
    </w:p>
    <w:p>
      <w:pPr>
        <w:ind w:left="1800" w:right="419" w:hanging="180"/>
        <w:spacing w:after="0" w:line="254"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Amended our governing documents to require that a majority of our Board satisfy applicable stock exchange independence requirements, despite the fact that as a limited partnership we are exempt from such requirements (eight out of 11 (73%) of our current Board members have been assessed by the Board and determined to be independent);</w:t>
      </w:r>
    </w:p>
    <w:p>
      <w:pPr>
        <w:spacing w:after="0" w:line="95" w:lineRule="exact"/>
        <w:rPr>
          <w:rFonts w:ascii="Arial" w:cs="Arial" w:eastAsia="Arial" w:hAnsi="Arial"/>
          <w:sz w:val="18"/>
          <w:szCs w:val="18"/>
          <w:color w:val="auto"/>
        </w:rPr>
      </w:pPr>
    </w:p>
    <w:p>
      <w:pPr>
        <w:ind w:left="1800" w:right="779" w:hanging="180"/>
        <w:spacing w:after="0" w:line="256"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Amended our governing documents to create a strong lead independent director role in connection with the retirement of our former Chairman and the re-combination of the roles of Chairman and CEO;</w:t>
      </w:r>
    </w:p>
    <w:p>
      <w:pPr>
        <w:spacing w:after="0" w:line="93"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the assistance of our governance committee, initiated a comprehensive board assessment, refreshment and succession planning process that includes a periodic skills and needs assessment, the development and maintenance of a formal board succession plan and annual director performance evaluations;</w:t>
      </w:r>
    </w:p>
    <w:p>
      <w:pPr>
        <w:spacing w:after="0" w:line="12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2020</w:t>
      </w:r>
    </w:p>
    <w:p>
      <w:pPr>
        <w:spacing w:after="0" w:line="117" w:lineRule="exact"/>
        <w:rPr>
          <w:sz w:val="20"/>
          <w:szCs w:val="20"/>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Added new independent director to the Board;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Appointed independent chairman to compensation committee;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Adopted Equity Ownership Guidelines and Clawback Policy;</w:t>
      </w:r>
    </w:p>
    <w:p>
      <w:pPr>
        <w:spacing w:after="0" w:line="144"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u w:val="single" w:color="auto"/>
          <w:color w:val="auto"/>
        </w:rPr>
        <w:t>2021</w:t>
      </w:r>
    </w:p>
    <w:p>
      <w:pPr>
        <w:spacing w:after="0" w:line="117" w:lineRule="exact"/>
        <w:rPr>
          <w:rFonts w:ascii="Arial" w:cs="Arial" w:eastAsia="Arial" w:hAnsi="Arial"/>
          <w:sz w:val="18"/>
          <w:szCs w:val="18"/>
          <w:color w:val="auto"/>
        </w:rPr>
      </w:pPr>
    </w:p>
    <w:p>
      <w:pPr>
        <w:ind w:left="1800" w:right="539" w:hanging="180"/>
        <w:spacing w:after="0" w:line="256"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Established a new committee, the Health, Safety, Environmental and Sustainability (“HSES”) Committee, to assist the Board in its oversight of various HSES matters and facilitate the efforts of management to further strengthen our focus on sustainability and ESG matters;</w:t>
      </w:r>
    </w:p>
    <w:p>
      <w:pPr>
        <w:spacing w:after="0" w:line="93"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Mandated that the members of all Board committees be independent;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439" w:hanging="180"/>
        <w:spacing w:after="0" w:line="261"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Amended our governing documents to increase the number of directors subject to public election by adding the three directors who are current or former members of management; and</w:t>
      </w:r>
    </w:p>
    <w:p>
      <w:pPr>
        <w:spacing w:after="0" w:line="89" w:lineRule="exact"/>
        <w:rPr>
          <w:rFonts w:ascii="Arial" w:cs="Arial" w:eastAsia="Arial" w:hAnsi="Arial"/>
          <w:sz w:val="18"/>
          <w:szCs w:val="18"/>
          <w:color w:val="auto"/>
        </w:rPr>
      </w:pPr>
    </w:p>
    <w:p>
      <w:pPr>
        <w:ind w:left="1800" w:right="579" w:hanging="180"/>
        <w:spacing w:after="0" w:line="278"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Amended our governing documents to eliminate the lone remaining legacy director designation right, resulting in all Board members being subject to public election, and all non-management directors serving on the same basis in terms of rights, duties and obligations of directors.</w:t>
      </w:r>
    </w:p>
    <w:p>
      <w:pPr>
        <w:spacing w:after="0" w:line="86"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i w:val="1"/>
          <w:iCs w:val="1"/>
          <w:color w:val="auto"/>
        </w:rPr>
        <w:t xml:space="preserve">General Overview and Board Makeup. </w:t>
      </w:r>
      <w:r>
        <w:rPr>
          <w:rFonts w:ascii="Arial" w:cs="Arial" w:eastAsia="Arial" w:hAnsi="Arial"/>
          <w:sz w:val="17"/>
          <w:szCs w:val="17"/>
          <w:color w:val="auto"/>
        </w:rPr>
        <w:t>Our Board has responsibility for managing the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and affairs of PAGP, PAA and AAP. The Board currently has 11 members, including the CEO, who currently serves as Chairman of the Board. As contemplated by our governing documents, because the roles of CEO and Chairman of the Board are held by the same person, the Board has designated one of our independent directors (Bobby Shackouls) to serve as Lead Director. Our governing documents also require that at least a majority of directors must meet the independence requirements of the national securities exchange on which the securities of PAA and PAGP are listed (currently Nasdaq).</w:t>
      </w:r>
    </w:p>
    <w:p>
      <w:pPr>
        <w:spacing w:after="0" w:line="12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The Board is divided into three staggered classes such that the terms for the directors within each class expire on a rotating three-year basis, as set forth below. The Board (excluding directors whose terms are expiring) and, subject to certain ownership and notice requirements, holders of common units have the right to nominate individuals to stand for election at an annual meeting. Individuals elected at an annual meeting will serve for a term of three years, subject to a director’s earlier resignation, death or removal. If an individual is elected to the Board to fill a vacancy, that director will have the same remaining term as his or her predecessor. All directors standing for election at the 2022 annual meeting were nominated by the Board (excluding the vote of the directors whose terms are expiring); no nominations were received from eligible holders of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109220</wp:posOffset>
            </wp:positionV>
            <wp:extent cx="5212080" cy="3977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3977640"/>
                    </a:xfrm>
                    <a:prstGeom prst="rect">
                      <a:avLst/>
                    </a:prstGeom>
                    <a:noFill/>
                  </pic:spPr>
                </pic:pic>
              </a:graphicData>
            </a:graphic>
          </wp:anchor>
        </w:drawing>
      </w:r>
    </w:p>
    <w:p>
      <w:pPr>
        <w:spacing w:after="0" w:line="233"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FFFFFF"/>
        </w:rPr>
        <w:t>Chairman</w:t>
      </w:r>
    </w:p>
    <w:p>
      <w:pPr>
        <w:spacing w:after="0" w:line="19" w:lineRule="exact"/>
        <w:rPr>
          <w:sz w:val="20"/>
          <w:szCs w:val="20"/>
          <w:color w:val="auto"/>
        </w:rPr>
      </w:pPr>
    </w:p>
    <w:p>
      <w:pPr>
        <w:ind w:left="4380"/>
        <w:spacing w:after="0"/>
        <w:tabs>
          <w:tab w:leader="none" w:pos="5040" w:val="left"/>
          <w:tab w:leader="none" w:pos="6180" w:val="left"/>
          <w:tab w:leader="none" w:pos="7300" w:val="left"/>
          <w:tab w:leader="none" w:pos="8140" w:val="left"/>
          <w:tab w:leader="none" w:pos="8900" w:val="left"/>
        </w:tabs>
        <w:rPr>
          <w:sz w:val="20"/>
          <w:szCs w:val="20"/>
          <w:color w:val="auto"/>
        </w:rPr>
      </w:pPr>
      <w:r>
        <w:rPr>
          <w:rFonts w:ascii="Arial" w:cs="Arial" w:eastAsia="Arial" w:hAnsi="Arial"/>
          <w:sz w:val="14"/>
          <w:szCs w:val="14"/>
          <w:b w:val="1"/>
          <w:bCs w:val="1"/>
          <w:color w:val="FFFFFF"/>
        </w:rPr>
        <w:t>Audit</w:t>
      </w:r>
      <w:r>
        <w:rPr>
          <w:sz w:val="20"/>
          <w:szCs w:val="20"/>
          <w:color w:val="auto"/>
        </w:rPr>
        <w:tab/>
      </w:r>
      <w:r>
        <w:rPr>
          <w:rFonts w:ascii="Arial" w:cs="Arial" w:eastAsia="Arial" w:hAnsi="Arial"/>
          <w:sz w:val="14"/>
          <w:szCs w:val="14"/>
          <w:b w:val="1"/>
          <w:bCs w:val="1"/>
          <w:color w:val="FFFFFF"/>
        </w:rPr>
        <w:t>Compensation</w:t>
        <w:tab/>
        <w:t>Governance</w:t>
      </w:r>
      <w:r>
        <w:rPr>
          <w:sz w:val="20"/>
          <w:szCs w:val="20"/>
          <w:color w:val="auto"/>
        </w:rPr>
        <w:tab/>
      </w:r>
      <w:r>
        <w:rPr>
          <w:rFonts w:ascii="Arial" w:cs="Arial" w:eastAsia="Arial" w:hAnsi="Arial"/>
          <w:sz w:val="14"/>
          <w:szCs w:val="14"/>
          <w:b w:val="1"/>
          <w:bCs w:val="1"/>
          <w:color w:val="FFFFFF"/>
        </w:rPr>
        <w:t>HSES</w:t>
      </w:r>
      <w:r>
        <w:rPr>
          <w:sz w:val="20"/>
          <w:szCs w:val="20"/>
          <w:color w:val="auto"/>
        </w:rPr>
        <w:tab/>
      </w:r>
      <w:r>
        <w:rPr>
          <w:rFonts w:ascii="Arial" w:cs="Arial" w:eastAsia="Arial" w:hAnsi="Arial"/>
          <w:sz w:val="14"/>
          <w:szCs w:val="14"/>
          <w:b w:val="1"/>
          <w:bCs w:val="1"/>
          <w:color w:val="FFFFFF"/>
        </w:rPr>
        <w:t>of the</w:t>
      </w:r>
      <w:r>
        <w:rPr>
          <w:sz w:val="20"/>
          <w:szCs w:val="20"/>
          <w:color w:val="auto"/>
        </w:rPr>
        <w:tab/>
      </w:r>
      <w:r>
        <w:rPr>
          <w:rFonts w:ascii="Arial" w:cs="Arial" w:eastAsia="Arial" w:hAnsi="Arial"/>
          <w:sz w:val="14"/>
          <w:szCs w:val="14"/>
          <w:b w:val="1"/>
          <w:bCs w:val="1"/>
          <w:color w:val="FFFFFF"/>
        </w:rPr>
        <w:t>Lead</w:t>
      </w:r>
    </w:p>
    <w:p>
      <w:pPr>
        <w:spacing w:after="0" w:line="1" w:lineRule="exact"/>
        <w:rPr>
          <w:sz w:val="20"/>
          <w:szCs w:val="20"/>
          <w:color w:val="auto"/>
        </w:rPr>
      </w:pPr>
    </w:p>
    <w:p>
      <w:pPr>
        <w:ind w:left="3260"/>
        <w:spacing w:after="0"/>
        <w:tabs>
          <w:tab w:leader="none" w:pos="5180" w:val="left"/>
          <w:tab w:leader="none" w:pos="6240" w:val="left"/>
          <w:tab w:leader="none" w:pos="7160" w:val="left"/>
          <w:tab w:leader="none" w:pos="8140" w:val="left"/>
          <w:tab w:leader="none" w:pos="8820" w:val="left"/>
        </w:tabs>
        <w:rPr>
          <w:sz w:val="20"/>
          <w:szCs w:val="20"/>
          <w:color w:val="auto"/>
        </w:rPr>
      </w:pPr>
      <w:r>
        <w:rPr>
          <w:rFonts w:ascii="Arial" w:cs="Arial" w:eastAsia="Arial" w:hAnsi="Arial"/>
          <w:sz w:val="14"/>
          <w:szCs w:val="14"/>
          <w:b w:val="1"/>
          <w:bCs w:val="1"/>
          <w:color w:val="FFFFFF"/>
        </w:rPr>
        <w:t>Independent Committee</w:t>
        <w:tab/>
        <w:t>Committee</w:t>
      </w:r>
      <w:r>
        <w:rPr>
          <w:sz w:val="20"/>
          <w:szCs w:val="20"/>
          <w:color w:val="auto"/>
        </w:rPr>
        <w:tab/>
      </w:r>
      <w:r>
        <w:rPr>
          <w:rFonts w:ascii="Arial" w:cs="Arial" w:eastAsia="Arial" w:hAnsi="Arial"/>
          <w:sz w:val="14"/>
          <w:szCs w:val="14"/>
          <w:b w:val="1"/>
          <w:bCs w:val="1"/>
          <w:color w:val="FFFFFF"/>
        </w:rPr>
        <w:t>Committee</w:t>
        <w:tab/>
        <w:t>Committee</w:t>
        <w:tab/>
        <w:t>Board</w:t>
      </w:r>
      <w:r>
        <w:rPr>
          <w:sz w:val="20"/>
          <w:szCs w:val="20"/>
          <w:color w:val="auto"/>
        </w:rPr>
        <w:tab/>
      </w:r>
      <w:r>
        <w:rPr>
          <w:rFonts w:ascii="Arial" w:cs="Arial" w:eastAsia="Arial" w:hAnsi="Arial"/>
          <w:sz w:val="14"/>
          <w:szCs w:val="14"/>
          <w:b w:val="1"/>
          <w:bCs w:val="1"/>
          <w:color w:val="FFFFFF"/>
        </w:rPr>
        <w:t>Director</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Class I Directors</w:t>
      </w:r>
    </w:p>
    <w:p>
      <w:pPr>
        <w:spacing w:after="0" w:line="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(Term expires 2023)</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Willie Chiang,</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Chairman of the</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Board and CEO</w:t>
      </w:r>
    </w:p>
    <w:p>
      <w:pPr>
        <w:spacing w:after="0" w:line="8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Alexandra D. Pruner</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Lawrence M. Ziemba</w:t>
      </w:r>
    </w:p>
    <w:p>
      <w:pPr>
        <w:spacing w:after="0" w:line="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Class II Directors</w:t>
      </w:r>
    </w:p>
    <w:p>
      <w:pPr>
        <w:spacing w:after="0" w:line="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(Term expires 2022)</w:t>
      </w:r>
    </w:p>
    <w:p>
      <w:pPr>
        <w:spacing w:after="0" w:line="7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Victor Burk*</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Kevin S. McCarthy*</w:t>
      </w:r>
    </w:p>
    <w:p>
      <w:pPr>
        <w:spacing w:after="0" w:line="7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Harry N. Pefanis,</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President*</w:t>
      </w:r>
    </w:p>
    <w:p>
      <w:pPr>
        <w:spacing w:after="0" w:line="8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Gary R. Petersen*</w:t>
      </w:r>
    </w:p>
    <w:p>
      <w:pPr>
        <w:spacing w:after="0" w:line="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Class III Directors</w:t>
      </w:r>
    </w:p>
    <w:p>
      <w:pPr>
        <w:spacing w:after="0" w:line="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(Term expires 2024)</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Greg L. Armstrong,</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Senior Advisor to the</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CEO (former</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Chairman of the</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Board and CEO)</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John T. Raymond</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Bobby S. Shackouls</w:t>
      </w:r>
    </w:p>
    <w:p>
      <w:pPr>
        <w:spacing w:after="0" w:line="14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Christopher M. Temple</w:t>
      </w:r>
    </w:p>
    <w:p>
      <w:pPr>
        <w:spacing w:after="0" w:line="218" w:lineRule="exact"/>
        <w:rPr>
          <w:sz w:val="20"/>
          <w:szCs w:val="20"/>
          <w:color w:val="auto"/>
        </w:rPr>
      </w:pPr>
    </w:p>
    <w:p>
      <w:pPr>
        <w:ind w:left="1700" w:hanging="440"/>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Nominated by the Board for re-election at the 2022 Annual Meeting.</w:t>
      </w:r>
    </w:p>
    <w:p>
      <w:pPr>
        <w:spacing w:after="0" w:line="3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Determined by the Board to be independent under applicable Nasdaq and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93980"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Company Employee — independence has not been assessed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93980"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pacing w:after="0" w:line="7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93980" cy="77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Committee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76835" cy="774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6858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-121920</wp:posOffset>
            </wp:positionV>
            <wp:extent cx="6858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367"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As described in the summary above, since 2016, the Board has taken numerous meaningful steps to provide PAGP shareholders and PAA unitholders the right to vote for members of the Board. At a special meeting of PAGP shareholders called by the Board and held in November 2016 in connection with our simplification transaction (the “Simplification Transaction”), PAGP shareholders overwhelmingly approved the following changes to our governing documents, among others:</w:t>
      </w:r>
    </w:p>
    <w:p>
      <w:pPr>
        <w:spacing w:after="0" w:line="81" w:lineRule="exact"/>
        <w:rPr>
          <w:sz w:val="20"/>
          <w:szCs w:val="20"/>
          <w:color w:val="auto"/>
        </w:rPr>
      </w:pPr>
    </w:p>
    <w:p>
      <w:pPr>
        <w:ind w:left="1800" w:right="859" w:hanging="180"/>
        <w:spacing w:after="0" w:line="261"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for PAA and PAGP that resulted in the Board being solely responsible for the governance of PAGP, AAP and PAA; and</w:t>
      </w:r>
    </w:p>
    <w:p>
      <w:pPr>
        <w:spacing w:after="0" w:line="89" w:lineRule="exact"/>
        <w:rPr>
          <w:rFonts w:ascii="Arial" w:cs="Arial" w:eastAsia="Arial" w:hAnsi="Arial"/>
          <w:sz w:val="18"/>
          <w:szCs w:val="18"/>
          <w:color w:val="auto"/>
        </w:rPr>
      </w:pPr>
    </w:p>
    <w:p>
      <w:pPr>
        <w:ind w:left="1800" w:right="459" w:hanging="180"/>
        <w:spacing w:after="0" w:line="278"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division of the Board into three classes and the commencement of shareholder elections of directors by class starting in 2018, with the participation and enfranchisement of all shareholders of PAGP and all public common unitholders and Series A preferred unitholders of PAA.</w:t>
      </w:r>
    </w:p>
    <w:p>
      <w:pPr>
        <w:spacing w:after="0" w:line="117"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These features distinguish PAGP and PAA from many of their midstream master limited partnership peers. Together with the alignment of interests among investors that was created through the elimination of PAA’s incentive distribution rights in connection with the Simplification Transaction, the Board has put in place an overall governance structure that vastly improves the governance rights of our investors and which we believe is regarded by many as a structure that, together with other factors, produces a degree of alignment with our investors that places us at the top of our master limited partnership peers for the midstream sector regarding governance structure and voting rights. The Board believes that the continued implementation of the modified governance structure as approved by PAGP’s shareholders, together with the governance enhancements made in recent years, is consistent with the will and expectations of investors in PAA and PAGP.</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and Nominee Experience and Qualifications</w:t>
      </w:r>
    </w:p>
    <w:p>
      <w:pPr>
        <w:spacing w:after="0" w:line="166"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With respect to any director nominations made by the Board in connection with annual director elections or in the event of a vacancy on the Board, in each case to the extent requested by the Chairman of the Board, the governance committee assists in identifying and screening potential candidates. The governance committee makes its recommendations based on an assessment of the skills, experience and characteristics of the candidate in the context of the needs of the Board. It is the policy and practice of the governance committee and the Board to consider diversity (including diversity of gender, race and ethnicity) in connection with the process of identifying and assessing potential Board candidates.</w:t>
      </w:r>
    </w:p>
    <w:p>
      <w:pPr>
        <w:spacing w:after="0" w:line="140"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During 2019, with the assistance of the governance committee, the Board initiated a board assessment, refreshment and succession planning process. This process includes (i) the periodic assessment of the skills, background and experience of our directors, which is used to identify potential enhancement areas relative to the ideal mix of skills, background and experience for our board, (ii) the development and maintenance of a board succession plan that identifies near and longer-term actions and includes succession plans for each board committee, and (iii) the annual evaluation by each director of the performance of every other director in a variety of categories that directly impact overall board performance and effectiveness. Board succession planning efforts and director evaluations are updated on a regular basis. The governance committee also oversees the Board’s annual self-assessment process as well as the process by which the Board assesses the effectiveness of its various committees.</w:t>
      </w:r>
    </w:p>
    <w:p>
      <w:pPr>
        <w:spacing w:after="0" w:line="137"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In evaluating director nominees and in reviewing the qualifications and experience of the directors continuing in office, the governance committee and Board consider a variety of factors, including independence, financial literacy, personal and professional accomplishments, diversity and experience in light of the needs of the company. For incumbent directors, factors also include past performance on the Board. The Board has determined that it is beneficial to have individuals on the Board with the</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280"/>
        <w:spacing w:after="0" w:line="261" w:lineRule="auto"/>
        <w:rPr>
          <w:sz w:val="20"/>
          <w:szCs w:val="20"/>
          <w:color w:val="auto"/>
        </w:rPr>
      </w:pPr>
      <w:r>
        <w:rPr>
          <w:rFonts w:ascii="Arial" w:cs="Arial" w:eastAsia="Arial" w:hAnsi="Arial"/>
          <w:sz w:val="18"/>
          <w:szCs w:val="18"/>
          <w:color w:val="auto"/>
        </w:rPr>
        <w:t>following skills, experiences, and characteristics (See the Director Skills Matrix below for an overview of the skills, experiences and characteristics of our current Board members):</w:t>
      </w:r>
    </w:p>
    <w:p>
      <w:pPr>
        <w:spacing w:after="0" w:line="138" w:lineRule="exact"/>
        <w:rPr>
          <w:sz w:val="20"/>
          <w:szCs w:val="20"/>
          <w:color w:val="auto"/>
        </w:rPr>
      </w:pPr>
    </w:p>
    <w:tbl>
      <w:tblPr>
        <w:tblLayout w:type="fixed"/>
        <w:tblInd w:w="1270" w:type="dxa"/>
        <w:tblCellMar>
          <w:top w:w="0" w:type="dxa"/>
          <w:left w:w="0" w:type="dxa"/>
          <w:bottom w:w="0" w:type="dxa"/>
          <w:right w:w="0" w:type="dxa"/>
        </w:tblCellMar>
      </w:tblPr>
      <w:tr>
        <w:trPr>
          <w:trHeight w:val="305"/>
        </w:trPr>
        <w:tc>
          <w:tcPr>
            <w:tcW w:w="36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 Public Company Experience (Officer/Director)</w:t>
            </w:r>
          </w:p>
        </w:tc>
        <w:tc>
          <w:tcPr>
            <w:tcW w:w="1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Industry Experience (Upstream/Midstream/Downstream)</w:t>
            </w:r>
          </w:p>
        </w:tc>
      </w:tr>
      <w:tr>
        <w:trPr>
          <w:trHeight w:val="216"/>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Finance/Accounting</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Private Equity</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Business Development/Strategy/Commercial</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Diversity (Gender/Race/Ethnicity)</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Legal/Governance/Government Relations</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International</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Operations/Engineering/Construction</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Cybersecurity/IT</w:t>
            </w:r>
          </w:p>
        </w:tc>
      </w:tr>
      <w:tr>
        <w:trPr>
          <w:trHeight w:val="141"/>
        </w:trPr>
        <w:tc>
          <w:tcPr>
            <w:tcW w:w="160" w:type="dxa"/>
            <w:vAlign w:val="bottom"/>
            <w:tcBorders>
              <w:left w:val="single" w:sz="8" w:color="auto"/>
              <w:bottom w:val="single" w:sz="8" w:color="auto"/>
            </w:tcBorders>
          </w:tcPr>
          <w:p>
            <w:pPr>
              <w:spacing w:after="0"/>
              <w:rPr>
                <w:sz w:val="12"/>
                <w:szCs w:val="12"/>
                <w:color w:val="auto"/>
              </w:rPr>
            </w:pPr>
          </w:p>
        </w:tc>
        <w:tc>
          <w:tcPr>
            <w:tcW w:w="346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20" w:type="dxa"/>
            <w:vAlign w:val="bottom"/>
            <w:tcBorders>
              <w:bottom w:val="single" w:sz="8" w:color="auto"/>
              <w:right w:val="single" w:sz="8" w:color="auto"/>
            </w:tcBorders>
          </w:tcPr>
          <w:p>
            <w:pPr>
              <w:spacing w:after="0"/>
              <w:rPr>
                <w:sz w:val="12"/>
                <w:szCs w:val="12"/>
                <w:color w:val="auto"/>
              </w:rPr>
            </w:pPr>
          </w:p>
        </w:tc>
      </w:tr>
    </w:tbl>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Skills Matrix</w:t>
      </w:r>
    </w:p>
    <w:p>
      <w:pPr>
        <w:spacing w:after="0" w:line="187" w:lineRule="exact"/>
        <w:rPr>
          <w:sz w:val="20"/>
          <w:szCs w:val="20"/>
          <w:color w:val="auto"/>
        </w:rPr>
      </w:pPr>
    </w:p>
    <w:tbl>
      <w:tblPr>
        <w:tblLayout w:type="fixed"/>
        <w:tblInd w:w="1270" w:type="dxa"/>
        <w:tblCellMar>
          <w:top w:w="0" w:type="dxa"/>
          <w:left w:w="0" w:type="dxa"/>
          <w:bottom w:w="0" w:type="dxa"/>
          <w:right w:w="0" w:type="dxa"/>
        </w:tblCellMar>
      </w:tblPr>
      <w:tr>
        <w:trPr>
          <w:trHeight w:val="289"/>
        </w:trPr>
        <w:tc>
          <w:tcPr>
            <w:tcW w:w="1820" w:type="dxa"/>
            <w:vAlign w:val="bottom"/>
            <w:tcBorders>
              <w:top w:val="single" w:sz="8" w:color="auto"/>
              <w:left w:val="single" w:sz="8" w:color="auto"/>
              <w:bottom w:val="single" w:sz="8" w:color="434F69"/>
              <w:right w:val="single" w:sz="8" w:color="auto"/>
            </w:tcBorders>
            <w:shd w:val="clear" w:color="auto" w:fill="434F69"/>
          </w:tcPr>
          <w:p>
            <w:pPr>
              <w:spacing w:after="0"/>
              <w:rPr>
                <w:sz w:val="24"/>
                <w:szCs w:val="24"/>
                <w:color w:val="auto"/>
              </w:rPr>
            </w:pPr>
          </w:p>
        </w:tc>
        <w:tc>
          <w:tcPr>
            <w:tcW w:w="72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6"/>
              </w:rPr>
              <w:t>Armstrong</w:t>
            </w:r>
          </w:p>
        </w:tc>
        <w:tc>
          <w:tcPr>
            <w:tcW w:w="38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4"/>
              </w:rPr>
              <w:t>Burk</w:t>
            </w:r>
          </w:p>
        </w:tc>
        <w:tc>
          <w:tcPr>
            <w:tcW w:w="52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5"/>
              </w:rPr>
              <w:t>Chiang</w:t>
            </w:r>
          </w:p>
        </w:tc>
        <w:tc>
          <w:tcPr>
            <w:tcW w:w="68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4"/>
              </w:rPr>
              <w:t>McCarthy</w:t>
            </w:r>
          </w:p>
        </w:tc>
        <w:tc>
          <w:tcPr>
            <w:tcW w:w="56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5"/>
              </w:rPr>
              <w:t>Pefanis</w:t>
            </w:r>
          </w:p>
        </w:tc>
        <w:tc>
          <w:tcPr>
            <w:tcW w:w="64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8"/>
              </w:rPr>
              <w:t>Petersen</w:t>
            </w:r>
          </w:p>
        </w:tc>
        <w:tc>
          <w:tcPr>
            <w:tcW w:w="52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rPr>
              <w:t>Pruner</w:t>
            </w:r>
          </w:p>
        </w:tc>
        <w:tc>
          <w:tcPr>
            <w:tcW w:w="70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4"/>
              </w:rPr>
              <w:t>Raymond</w:t>
            </w:r>
          </w:p>
        </w:tc>
        <w:tc>
          <w:tcPr>
            <w:tcW w:w="76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5"/>
              </w:rPr>
              <w:t>Shackouls</w:t>
            </w:r>
          </w:p>
        </w:tc>
        <w:tc>
          <w:tcPr>
            <w:tcW w:w="54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2"/>
              </w:rPr>
              <w:t>Temple</w:t>
            </w:r>
          </w:p>
        </w:tc>
        <w:tc>
          <w:tcPr>
            <w:tcW w:w="580" w:type="dxa"/>
            <w:vAlign w:val="bottom"/>
            <w:tcBorders>
              <w:top w:val="single" w:sz="8" w:color="auto"/>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6"/>
              </w:rPr>
              <w:t>Ziemba</w:t>
            </w:r>
          </w:p>
        </w:tc>
        <w:tc>
          <w:tcPr>
            <w:tcW w:w="0" w:type="dxa"/>
            <w:vAlign w:val="bottom"/>
          </w:tcPr>
          <w:p>
            <w:pPr>
              <w:spacing w:after="0"/>
              <w:rPr>
                <w:sz w:val="1"/>
                <w:szCs w:val="1"/>
                <w:color w:val="auto"/>
              </w:rPr>
            </w:pPr>
          </w:p>
        </w:tc>
      </w:tr>
      <w:tr>
        <w:trPr>
          <w:trHeight w:val="174"/>
        </w:trPr>
        <w:tc>
          <w:tcPr>
            <w:tcW w:w="1820" w:type="dxa"/>
            <w:vAlign w:val="bottom"/>
            <w:tcBorders>
              <w:top w:val="single" w:sz="8" w:color="auto"/>
              <w:left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4"/>
                <w:szCs w:val="14"/>
                <w:color w:val="auto"/>
              </w:rPr>
              <w:t>Public Company</w:t>
            </w:r>
          </w:p>
        </w:tc>
        <w:tc>
          <w:tcPr>
            <w:tcW w:w="72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Borders>
              <w:top w:val="single" w:sz="8" w:color="auto"/>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4"/>
        </w:trPr>
        <w:tc>
          <w:tcPr>
            <w:tcW w:w="1820" w:type="dxa"/>
            <w:vAlign w:val="bottom"/>
            <w:tcBorders>
              <w:left w:val="single" w:sz="8" w:color="auto"/>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4"/>
                <w:szCs w:val="14"/>
                <w:color w:val="auto"/>
              </w:rPr>
              <w:t>Experience</w:t>
            </w:r>
          </w:p>
        </w:tc>
        <w:tc>
          <w:tcPr>
            <w:tcW w:w="72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38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2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68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6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64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2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70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76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4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8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Finance/Accounting</w:t>
            </w:r>
          </w:p>
        </w:tc>
        <w:tc>
          <w:tcPr>
            <w:tcW w:w="7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4"/>
        </w:trPr>
        <w:tc>
          <w:tcPr>
            <w:tcW w:w="1820" w:type="dxa"/>
            <w:vAlign w:val="bottom"/>
            <w:tcBorders>
              <w:left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4"/>
                <w:szCs w:val="14"/>
                <w:color w:val="auto"/>
              </w:rPr>
              <w:t>Business Development/</w:t>
            </w:r>
          </w:p>
        </w:tc>
        <w:tc>
          <w:tcPr>
            <w:tcW w:w="7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4"/>
        </w:trPr>
        <w:tc>
          <w:tcPr>
            <w:tcW w:w="1820" w:type="dxa"/>
            <w:vAlign w:val="bottom"/>
            <w:tcBorders>
              <w:left w:val="single" w:sz="8" w:color="auto"/>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4"/>
                <w:szCs w:val="14"/>
                <w:color w:val="auto"/>
              </w:rPr>
              <w:t>Strategy/Commercial</w:t>
            </w:r>
          </w:p>
        </w:tc>
        <w:tc>
          <w:tcPr>
            <w:tcW w:w="72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38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2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68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6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64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2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70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76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4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8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Legal/Governance/</w:t>
            </w:r>
          </w:p>
        </w:tc>
        <w:tc>
          <w:tcPr>
            <w:tcW w:w="72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4"/>
        </w:trPr>
        <w:tc>
          <w:tcPr>
            <w:tcW w:w="18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Government Relations</w:t>
            </w: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380" w:type="dxa"/>
            <w:vAlign w:val="bottom"/>
            <w:tcBorders>
              <w:bottom w:val="single" w:sz="8" w:color="auto"/>
              <w:right w:val="single" w:sz="8" w:color="auto"/>
            </w:tcBorders>
            <w:vMerge w:val="continue"/>
          </w:tcPr>
          <w:p>
            <w:pPr>
              <w:spacing w:after="0"/>
              <w:rPr>
                <w:sz w:val="16"/>
                <w:szCs w:val="16"/>
                <w:color w:val="auto"/>
              </w:rPr>
            </w:pPr>
          </w:p>
        </w:tc>
        <w:tc>
          <w:tcPr>
            <w:tcW w:w="5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56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52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vMerge w:val="continue"/>
          </w:tcPr>
          <w:p>
            <w:pPr>
              <w:spacing w:after="0"/>
              <w:rPr>
                <w:sz w:val="16"/>
                <w:szCs w:val="16"/>
                <w:color w:val="auto"/>
              </w:rPr>
            </w:pP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820" w:type="dxa"/>
            <w:vAlign w:val="bottom"/>
            <w:tcBorders>
              <w:left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4"/>
                <w:szCs w:val="14"/>
                <w:color w:val="auto"/>
              </w:rPr>
              <w:t>Operations/Engineering/</w:t>
            </w:r>
          </w:p>
        </w:tc>
        <w:tc>
          <w:tcPr>
            <w:tcW w:w="7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tcBorders>
              <w:right w:val="single" w:sz="8" w:color="auto"/>
            </w:tcBorders>
            <w:shd w:val="clear" w:color="auto" w:fill="D9DCE1"/>
          </w:tcPr>
          <w:p>
            <w:pPr>
              <w:spacing w:after="0"/>
              <w:rPr>
                <w:sz w:val="15"/>
                <w:szCs w:val="15"/>
                <w:color w:val="auto"/>
              </w:rPr>
            </w:pPr>
          </w:p>
        </w:tc>
        <w:tc>
          <w:tcPr>
            <w:tcW w:w="5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right w:val="single" w:sz="8" w:color="auto"/>
            </w:tcBorders>
            <w:shd w:val="clear" w:color="auto" w:fill="D9DCE1"/>
          </w:tcPr>
          <w:p>
            <w:pPr>
              <w:spacing w:after="0"/>
              <w:rPr>
                <w:sz w:val="15"/>
                <w:szCs w:val="15"/>
                <w:color w:val="auto"/>
              </w:rPr>
            </w:pPr>
          </w:p>
        </w:tc>
        <w:tc>
          <w:tcPr>
            <w:tcW w:w="56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Borders>
              <w:right w:val="single" w:sz="8" w:color="auto"/>
            </w:tcBorders>
            <w:shd w:val="clear" w:color="auto" w:fill="D9DCE1"/>
          </w:tcPr>
          <w:p>
            <w:pPr>
              <w:spacing w:after="0"/>
              <w:rPr>
                <w:sz w:val="15"/>
                <w:szCs w:val="15"/>
                <w:color w:val="auto"/>
              </w:rPr>
            </w:pPr>
          </w:p>
        </w:tc>
        <w:tc>
          <w:tcPr>
            <w:tcW w:w="520" w:type="dxa"/>
            <w:vAlign w:val="bottom"/>
            <w:tcBorders>
              <w:right w:val="single" w:sz="8" w:color="auto"/>
            </w:tcBorders>
            <w:shd w:val="clear" w:color="auto" w:fill="D9DCE1"/>
          </w:tcPr>
          <w:p>
            <w:pPr>
              <w:spacing w:after="0"/>
              <w:rPr>
                <w:sz w:val="15"/>
                <w:szCs w:val="15"/>
                <w:color w:val="auto"/>
              </w:rPr>
            </w:pPr>
          </w:p>
        </w:tc>
        <w:tc>
          <w:tcPr>
            <w:tcW w:w="70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right w:val="single" w:sz="8" w:color="auto"/>
            </w:tcBorders>
            <w:shd w:val="clear" w:color="auto" w:fill="D9DCE1"/>
          </w:tcPr>
          <w:p>
            <w:pPr>
              <w:spacing w:after="0"/>
              <w:rPr>
                <w:sz w:val="15"/>
                <w:szCs w:val="15"/>
                <w:color w:val="auto"/>
              </w:rPr>
            </w:pPr>
          </w:p>
        </w:tc>
        <w:tc>
          <w:tcPr>
            <w:tcW w:w="58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4"/>
        </w:trPr>
        <w:tc>
          <w:tcPr>
            <w:tcW w:w="1820" w:type="dxa"/>
            <w:vAlign w:val="bottom"/>
            <w:tcBorders>
              <w:left w:val="single" w:sz="8" w:color="auto"/>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4"/>
                <w:szCs w:val="14"/>
                <w:color w:val="auto"/>
              </w:rPr>
              <w:t>Construction</w:t>
            </w:r>
          </w:p>
        </w:tc>
        <w:tc>
          <w:tcPr>
            <w:tcW w:w="72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380" w:type="dxa"/>
            <w:vAlign w:val="bottom"/>
            <w:tcBorders>
              <w:bottom w:val="single" w:sz="8" w:color="auto"/>
              <w:right w:val="single" w:sz="8" w:color="auto"/>
            </w:tcBorders>
            <w:shd w:val="clear" w:color="auto" w:fill="D9DCE1"/>
          </w:tcPr>
          <w:p>
            <w:pPr>
              <w:spacing w:after="0"/>
              <w:rPr>
                <w:sz w:val="16"/>
                <w:szCs w:val="16"/>
                <w:color w:val="auto"/>
              </w:rPr>
            </w:pPr>
          </w:p>
        </w:tc>
        <w:tc>
          <w:tcPr>
            <w:tcW w:w="52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680" w:type="dxa"/>
            <w:vAlign w:val="bottom"/>
            <w:tcBorders>
              <w:bottom w:val="single" w:sz="8" w:color="auto"/>
              <w:right w:val="single" w:sz="8" w:color="auto"/>
            </w:tcBorders>
            <w:shd w:val="clear" w:color="auto" w:fill="D9DCE1"/>
          </w:tcPr>
          <w:p>
            <w:pPr>
              <w:spacing w:after="0"/>
              <w:rPr>
                <w:sz w:val="16"/>
                <w:szCs w:val="16"/>
                <w:color w:val="auto"/>
              </w:rPr>
            </w:pPr>
          </w:p>
        </w:tc>
        <w:tc>
          <w:tcPr>
            <w:tcW w:w="56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640" w:type="dxa"/>
            <w:vAlign w:val="bottom"/>
            <w:tcBorders>
              <w:bottom w:val="single" w:sz="8" w:color="auto"/>
              <w:right w:val="single" w:sz="8" w:color="auto"/>
            </w:tcBorders>
            <w:shd w:val="clear" w:color="auto" w:fill="D9DCE1"/>
          </w:tcPr>
          <w:p>
            <w:pPr>
              <w:spacing w:after="0"/>
              <w:rPr>
                <w:sz w:val="16"/>
                <w:szCs w:val="16"/>
                <w:color w:val="auto"/>
              </w:rPr>
            </w:pPr>
          </w:p>
        </w:tc>
        <w:tc>
          <w:tcPr>
            <w:tcW w:w="520" w:type="dxa"/>
            <w:vAlign w:val="bottom"/>
            <w:tcBorders>
              <w:bottom w:val="single" w:sz="8" w:color="auto"/>
              <w:right w:val="single" w:sz="8" w:color="auto"/>
            </w:tcBorders>
            <w:shd w:val="clear" w:color="auto" w:fill="D9DCE1"/>
          </w:tcPr>
          <w:p>
            <w:pPr>
              <w:spacing w:after="0"/>
              <w:rPr>
                <w:sz w:val="16"/>
                <w:szCs w:val="16"/>
                <w:color w:val="auto"/>
              </w:rPr>
            </w:pPr>
          </w:p>
        </w:tc>
        <w:tc>
          <w:tcPr>
            <w:tcW w:w="70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76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40" w:type="dxa"/>
            <w:vAlign w:val="bottom"/>
            <w:tcBorders>
              <w:bottom w:val="single" w:sz="8" w:color="auto"/>
              <w:right w:val="single" w:sz="8" w:color="auto"/>
            </w:tcBorders>
            <w:shd w:val="clear" w:color="auto" w:fill="D9DCE1"/>
          </w:tcPr>
          <w:p>
            <w:pPr>
              <w:spacing w:after="0"/>
              <w:rPr>
                <w:sz w:val="16"/>
                <w:szCs w:val="16"/>
                <w:color w:val="auto"/>
              </w:rPr>
            </w:pPr>
          </w:p>
        </w:tc>
        <w:tc>
          <w:tcPr>
            <w:tcW w:w="58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Industry Experience</w:t>
            </w:r>
          </w:p>
        </w:tc>
        <w:tc>
          <w:tcPr>
            <w:tcW w:w="7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10"/>
        </w:trPr>
        <w:tc>
          <w:tcPr>
            <w:tcW w:w="1820" w:type="dxa"/>
            <w:vAlign w:val="bottom"/>
            <w:tcBorders>
              <w:left w:val="single" w:sz="8" w:color="auto"/>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4"/>
                <w:szCs w:val="14"/>
                <w:color w:val="auto"/>
              </w:rPr>
              <w:t>Private Equity</w:t>
            </w:r>
          </w:p>
        </w:tc>
        <w:tc>
          <w:tcPr>
            <w:tcW w:w="720" w:type="dxa"/>
            <w:vAlign w:val="bottom"/>
            <w:tcBorders>
              <w:bottom w:val="single" w:sz="8" w:color="auto"/>
              <w:right w:val="single" w:sz="8" w:color="auto"/>
            </w:tcBorders>
            <w:shd w:val="clear" w:color="auto" w:fill="D9DCE1"/>
          </w:tcPr>
          <w:p>
            <w:pPr>
              <w:spacing w:after="0"/>
              <w:rPr>
                <w:sz w:val="18"/>
                <w:szCs w:val="18"/>
                <w:color w:val="auto"/>
              </w:rPr>
            </w:pPr>
          </w:p>
        </w:tc>
        <w:tc>
          <w:tcPr>
            <w:tcW w:w="380" w:type="dxa"/>
            <w:vAlign w:val="bottom"/>
            <w:tcBorders>
              <w:bottom w:val="single" w:sz="8" w:color="auto"/>
              <w:right w:val="single" w:sz="8" w:color="auto"/>
            </w:tcBorders>
            <w:shd w:val="clear" w:color="auto" w:fill="D9DCE1"/>
          </w:tcPr>
          <w:p>
            <w:pPr>
              <w:spacing w:after="0"/>
              <w:rPr>
                <w:sz w:val="18"/>
                <w:szCs w:val="18"/>
                <w:color w:val="auto"/>
              </w:rPr>
            </w:pPr>
          </w:p>
        </w:tc>
        <w:tc>
          <w:tcPr>
            <w:tcW w:w="520" w:type="dxa"/>
            <w:vAlign w:val="bottom"/>
            <w:tcBorders>
              <w:bottom w:val="single" w:sz="8" w:color="auto"/>
              <w:right w:val="single" w:sz="8" w:color="auto"/>
            </w:tcBorders>
            <w:shd w:val="clear" w:color="auto" w:fill="D9DCE1"/>
          </w:tcPr>
          <w:p>
            <w:pPr>
              <w:spacing w:after="0"/>
              <w:rPr>
                <w:sz w:val="18"/>
                <w:szCs w:val="18"/>
                <w:color w:val="auto"/>
              </w:rPr>
            </w:pPr>
          </w:p>
        </w:tc>
        <w:tc>
          <w:tcPr>
            <w:tcW w:w="68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Borders>
              <w:bottom w:val="single" w:sz="8" w:color="auto"/>
              <w:right w:val="single" w:sz="8" w:color="auto"/>
            </w:tcBorders>
            <w:shd w:val="clear" w:color="auto" w:fill="D9DCE1"/>
          </w:tcPr>
          <w:p>
            <w:pPr>
              <w:spacing w:after="0"/>
              <w:rPr>
                <w:sz w:val="18"/>
                <w:szCs w:val="18"/>
                <w:color w:val="auto"/>
              </w:rPr>
            </w:pPr>
          </w:p>
        </w:tc>
        <w:tc>
          <w:tcPr>
            <w:tcW w:w="64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shd w:val="clear" w:color="auto" w:fill="D9DCE1"/>
          </w:tcPr>
          <w:p>
            <w:pPr>
              <w:spacing w:after="0"/>
              <w:rPr>
                <w:sz w:val="18"/>
                <w:szCs w:val="18"/>
                <w:color w:val="auto"/>
              </w:rPr>
            </w:pPr>
          </w:p>
        </w:tc>
        <w:tc>
          <w:tcPr>
            <w:tcW w:w="70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Borders>
              <w:bottom w:val="single" w:sz="8" w:color="auto"/>
              <w:right w:val="single" w:sz="8" w:color="auto"/>
            </w:tcBorders>
            <w:shd w:val="clear" w:color="auto" w:fill="D9DCE1"/>
          </w:tcPr>
          <w:p>
            <w:pPr>
              <w:spacing w:after="0"/>
              <w:rPr>
                <w:sz w:val="18"/>
                <w:szCs w:val="18"/>
                <w:color w:val="auto"/>
              </w:rPr>
            </w:pPr>
          </w:p>
        </w:tc>
        <w:tc>
          <w:tcPr>
            <w:tcW w:w="54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Borders>
              <w:bottom w:val="single" w:sz="8" w:color="auto"/>
              <w:right w:val="single" w:sz="8" w:color="auto"/>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Diversity</w:t>
            </w:r>
          </w:p>
        </w:tc>
        <w:tc>
          <w:tcPr>
            <w:tcW w:w="7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20" w:type="dxa"/>
            <w:vAlign w:val="bottom"/>
            <w:tcBorders>
              <w:left w:val="single" w:sz="8" w:color="auto"/>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4"/>
                <w:szCs w:val="14"/>
                <w:color w:val="auto"/>
              </w:rPr>
              <w:t>International</w:t>
            </w:r>
          </w:p>
        </w:tc>
        <w:tc>
          <w:tcPr>
            <w:tcW w:w="72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shd w:val="clear" w:color="auto" w:fill="D9DCE1"/>
          </w:tcPr>
          <w:p>
            <w:pPr>
              <w:spacing w:after="0"/>
              <w:rPr>
                <w:sz w:val="18"/>
                <w:szCs w:val="18"/>
                <w:color w:val="auto"/>
              </w:rPr>
            </w:pPr>
          </w:p>
        </w:tc>
        <w:tc>
          <w:tcPr>
            <w:tcW w:w="56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shd w:val="clear" w:color="auto" w:fill="D9DCE1"/>
          </w:tcPr>
          <w:p>
            <w:pPr>
              <w:spacing w:after="0"/>
              <w:rPr>
                <w:sz w:val="18"/>
                <w:szCs w:val="18"/>
                <w:color w:val="auto"/>
              </w:rPr>
            </w:pPr>
          </w:p>
        </w:tc>
        <w:tc>
          <w:tcPr>
            <w:tcW w:w="58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10"/>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Cybersecurity/IT</w:t>
            </w:r>
          </w:p>
        </w:tc>
        <w:tc>
          <w:tcPr>
            <w:tcW w:w="7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Diversity Matrix</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information is provided pursuant to Nasdaq Listing Rule 5605(f) and 5606: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117475</wp:posOffset>
            </wp:positionV>
            <wp:extent cx="5212080" cy="2888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2888615"/>
                    </a:xfrm>
                    <a:prstGeom prst="rect">
                      <a:avLst/>
                    </a:prstGeom>
                    <a:noFill/>
                  </pic:spPr>
                </pic:pic>
              </a:graphicData>
            </a:graphic>
          </wp:anchor>
        </w:drawing>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Diversity Matrix (As of March 28, 2022)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260" w:type="dxa"/>
            <w:vAlign w:val="bottom"/>
          </w:tcPr>
          <w:p>
            <w:pPr>
              <w:spacing w:after="0"/>
              <w:rPr>
                <w:sz w:val="22"/>
                <w:szCs w:val="22"/>
                <w:color w:val="auto"/>
              </w:rPr>
            </w:pPr>
          </w:p>
        </w:tc>
        <w:tc>
          <w:tcPr>
            <w:tcW w:w="33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Total Number of Directors</w:t>
            </w:r>
          </w:p>
        </w:tc>
        <w:tc>
          <w:tcPr>
            <w:tcW w:w="1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gridSpan w:val="2"/>
          </w:tcPr>
          <w:p>
            <w:pPr>
              <w:jc w:val="right"/>
              <w:ind w:right="1010"/>
              <w:spacing w:after="0"/>
              <w:rPr>
                <w:sz w:val="20"/>
                <w:szCs w:val="20"/>
                <w:color w:val="auto"/>
              </w:rPr>
            </w:pPr>
            <w:r>
              <w:rPr>
                <w:rFonts w:ascii="Arial" w:cs="Arial" w:eastAsia="Arial" w:hAnsi="Arial"/>
                <w:sz w:val="18"/>
                <w:szCs w:val="18"/>
                <w:color w:val="auto"/>
              </w:rPr>
              <w:t>11</w:t>
            </w:r>
          </w:p>
        </w:tc>
        <w:tc>
          <w:tcPr>
            <w:tcW w:w="1200" w:type="dxa"/>
            <w:vAlign w:val="bottom"/>
            <w:tcBorders>
              <w:top w:val="single" w:sz="8" w:color="auto"/>
              <w:bottom w:val="single" w:sz="8" w:color="auto"/>
            </w:tcBorders>
          </w:tcPr>
          <w:p>
            <w:pPr>
              <w:spacing w:after="0"/>
              <w:rPr>
                <w:sz w:val="22"/>
                <w:szCs w:val="22"/>
                <w:color w:val="auto"/>
              </w:rPr>
            </w:pPr>
          </w:p>
        </w:tc>
        <w:tc>
          <w:tcPr>
            <w:tcW w:w="1280" w:type="dxa"/>
            <w:vAlign w:val="bottom"/>
          </w:tcPr>
          <w:p>
            <w:pPr>
              <w:spacing w:after="0"/>
              <w:rPr>
                <w:sz w:val="22"/>
                <w:szCs w:val="22"/>
                <w:color w:val="auto"/>
              </w:rPr>
            </w:pPr>
          </w:p>
        </w:tc>
      </w:tr>
      <w:tr>
        <w:trPr>
          <w:trHeight w:val="207"/>
        </w:trPr>
        <w:tc>
          <w:tcPr>
            <w:tcW w:w="1260" w:type="dxa"/>
            <w:vAlign w:val="bottom"/>
          </w:tcPr>
          <w:p>
            <w:pPr>
              <w:spacing w:after="0"/>
              <w:rPr>
                <w:sz w:val="17"/>
                <w:szCs w:val="17"/>
                <w:color w:val="auto"/>
              </w:rPr>
            </w:pPr>
          </w:p>
        </w:tc>
        <w:tc>
          <w:tcPr>
            <w:tcW w:w="33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200" w:type="dxa"/>
            <w:vAlign w:val="bottom"/>
          </w:tcPr>
          <w:p>
            <w:pPr>
              <w:ind w:left="260"/>
              <w:spacing w:after="0"/>
              <w:rPr>
                <w:sz w:val="20"/>
                <w:szCs w:val="20"/>
                <w:color w:val="auto"/>
              </w:rPr>
            </w:pPr>
            <w:r>
              <w:rPr>
                <w:rFonts w:ascii="Arial" w:cs="Arial" w:eastAsia="Arial" w:hAnsi="Arial"/>
                <w:sz w:val="18"/>
                <w:szCs w:val="18"/>
                <w:b w:val="1"/>
                <w:bCs w:val="1"/>
                <w:color w:val="auto"/>
              </w:rPr>
              <w:t>Did Not</w:t>
            </w:r>
          </w:p>
        </w:tc>
        <w:tc>
          <w:tcPr>
            <w:tcW w:w="1280" w:type="dxa"/>
            <w:vAlign w:val="bottom"/>
          </w:tcPr>
          <w:p>
            <w:pPr>
              <w:spacing w:after="0"/>
              <w:rPr>
                <w:sz w:val="17"/>
                <w:szCs w:val="17"/>
                <w:color w:val="auto"/>
              </w:rPr>
            </w:pPr>
          </w:p>
        </w:tc>
      </w:tr>
      <w:tr>
        <w:trPr>
          <w:trHeight w:val="246"/>
        </w:trPr>
        <w:tc>
          <w:tcPr>
            <w:tcW w:w="1260" w:type="dxa"/>
            <w:vAlign w:val="bottom"/>
          </w:tcPr>
          <w:p>
            <w:pPr>
              <w:spacing w:after="0"/>
              <w:rPr>
                <w:sz w:val="21"/>
                <w:szCs w:val="21"/>
                <w:color w:val="auto"/>
              </w:rPr>
            </w:pPr>
          </w:p>
        </w:tc>
        <w:tc>
          <w:tcPr>
            <w:tcW w:w="338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Female</w:t>
            </w: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Male</w:t>
            </w:r>
          </w:p>
        </w:tc>
        <w:tc>
          <w:tcPr>
            <w:tcW w:w="26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Non-Binary</w:t>
            </w:r>
          </w:p>
        </w:tc>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Disclose</w:t>
            </w: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Part I: Gender Identity</w:t>
            </w:r>
          </w:p>
        </w:tc>
        <w:tc>
          <w:tcPr>
            <w:tcW w:w="1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Directors</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9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9"/>
              </w:rPr>
              <w:t>10</w:t>
            </w:r>
          </w:p>
        </w:tc>
        <w:tc>
          <w:tcPr>
            <w:tcW w:w="26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Part II: Demographic Background</w:t>
            </w:r>
          </w:p>
        </w:tc>
        <w:tc>
          <w:tcPr>
            <w:tcW w:w="1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African American or Black</w:t>
            </w:r>
          </w:p>
        </w:tc>
        <w:tc>
          <w:tcPr>
            <w:tcW w:w="12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Alaskan Native or Native American</w:t>
            </w:r>
          </w:p>
        </w:tc>
        <w:tc>
          <w:tcPr>
            <w:tcW w:w="12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Asian</w:t>
            </w:r>
          </w:p>
        </w:tc>
        <w:tc>
          <w:tcPr>
            <w:tcW w:w="12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1</w:t>
            </w:r>
          </w:p>
        </w:tc>
        <w:tc>
          <w:tcPr>
            <w:tcW w:w="26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Hispanic or Latinx</w:t>
            </w:r>
          </w:p>
        </w:tc>
        <w:tc>
          <w:tcPr>
            <w:tcW w:w="12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Native Hawaiian or Pacific Islander</w:t>
            </w:r>
          </w:p>
        </w:tc>
        <w:tc>
          <w:tcPr>
            <w:tcW w:w="12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White</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9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9</w:t>
            </w:r>
          </w:p>
        </w:tc>
        <w:tc>
          <w:tcPr>
            <w:tcW w:w="26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Two or More Races or Ethnicities</w:t>
            </w:r>
          </w:p>
        </w:tc>
        <w:tc>
          <w:tcPr>
            <w:tcW w:w="12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LGBTQ+</w:t>
            </w:r>
          </w:p>
        </w:tc>
        <w:tc>
          <w:tcPr>
            <w:tcW w:w="1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80" w:type="dxa"/>
            <w:vAlign w:val="bottom"/>
          </w:tcPr>
          <w:p>
            <w:pPr>
              <w:spacing w:after="0"/>
              <w:rPr>
                <w:sz w:val="21"/>
                <w:szCs w:val="21"/>
                <w:color w:val="auto"/>
              </w:rPr>
            </w:pPr>
          </w:p>
        </w:tc>
      </w:tr>
      <w:tr>
        <w:trPr>
          <w:trHeight w:val="229"/>
        </w:trPr>
        <w:tc>
          <w:tcPr>
            <w:tcW w:w="1260" w:type="dxa"/>
            <w:vAlign w:val="bottom"/>
          </w:tcPr>
          <w:p>
            <w:pPr>
              <w:spacing w:after="0"/>
              <w:rPr>
                <w:sz w:val="19"/>
                <w:szCs w:val="19"/>
                <w:color w:val="auto"/>
              </w:rPr>
            </w:pPr>
          </w:p>
        </w:tc>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Did Not Disclose Demographic</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7"/>
        </w:trPr>
        <w:tc>
          <w:tcPr>
            <w:tcW w:w="1260" w:type="dxa"/>
            <w:vAlign w:val="bottom"/>
          </w:tcPr>
          <w:p>
            <w:pPr>
              <w:spacing w:after="0"/>
              <w:rPr>
                <w:sz w:val="18"/>
                <w:szCs w:val="18"/>
                <w:color w:val="auto"/>
              </w:rPr>
            </w:pPr>
          </w:p>
        </w:tc>
        <w:tc>
          <w:tcPr>
            <w:tcW w:w="3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Background</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1"/>
        </w:trPr>
        <w:tc>
          <w:tcPr>
            <w:tcW w:w="1260" w:type="dxa"/>
            <w:vAlign w:val="bottom"/>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80" w:type="dxa"/>
            <w:vAlign w:val="bottom"/>
          </w:tcPr>
          <w:p>
            <w:pPr>
              <w:spacing w:after="0"/>
              <w:rPr>
                <w:sz w:val="3"/>
                <w:szCs w:val="3"/>
                <w:color w:val="auto"/>
              </w:rPr>
            </w:pPr>
          </w:p>
        </w:tc>
      </w:tr>
      <w:tr>
        <w:trPr>
          <w:trHeight w:val="614"/>
        </w:trPr>
        <w:tc>
          <w:tcPr>
            <w:tcW w:w="1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II Directors Standing for Election at the 2022 Annual Meeting</w:t>
      </w:r>
    </w:p>
    <w:p>
      <w:pPr>
        <w:spacing w:after="0" w:line="16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Board has nominated Messrs. Burk, McCarthy, Pefanis and Petersen, current Class II directors, for election at the 2022 annual meeting. Each nominee has consented to serve if elected and, if elected, will serve until the 2025 annual meeting, subject to their earlier resignation, death or removal. If any of the nominees becomes unavailable to serve as a director prior to the 2022 annual meeting, the Board may designate a substitute nominee, or the Board may decide to reduce the size of the Board. In the case of a substitute nominee, the persons named as proxies will vote for the substitute nominee designated by the Board.</w:t>
      </w:r>
    </w:p>
    <w:p>
      <w:pPr>
        <w:spacing w:after="0" w:line="161"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VICTOR BURK</w:t>
            </w:r>
          </w:p>
        </w:tc>
        <w:tc>
          <w:tcPr>
            <w:tcW w:w="4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Victor Burk, age 72, </w:t>
            </w:r>
            <w:r>
              <w:rPr>
                <w:rFonts w:ascii="Arial" w:cs="Arial" w:eastAsia="Arial" w:hAnsi="Arial"/>
                <w:sz w:val="16"/>
                <w:szCs w:val="16"/>
                <w:color w:val="auto"/>
              </w:rPr>
              <w:t>has served as a director of</w:t>
            </w:r>
          </w:p>
        </w:tc>
        <w:tc>
          <w:tcPr>
            <w:tcW w:w="100" w:type="dxa"/>
            <w:vAlign w:val="bottom"/>
            <w:tcBorders>
              <w:top w:val="single" w:sz="8" w:color="auto"/>
            </w:tcBorders>
          </w:tcPr>
          <w:p>
            <w:pPr>
              <w:spacing w:after="0"/>
              <w:rPr>
                <w:sz w:val="23"/>
                <w:szCs w:val="23"/>
                <w:color w:val="auto"/>
              </w:rPr>
            </w:pPr>
          </w:p>
        </w:tc>
        <w:tc>
          <w:tcPr>
            <w:tcW w:w="14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w w:val="98"/>
              </w:rPr>
              <w:t>Board Qualifications:</w:t>
            </w:r>
          </w:p>
        </w:tc>
        <w:tc>
          <w:tcPr>
            <w:tcW w:w="4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56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vMerge w:val="restart"/>
          </w:tcPr>
          <w:p>
            <w:pPr>
              <w:jc w:val="center"/>
              <w:ind w:right="459"/>
              <w:spacing w:after="0"/>
              <w:rPr>
                <w:sz w:val="20"/>
                <w:szCs w:val="20"/>
                <w:color w:val="auto"/>
              </w:rPr>
            </w:pPr>
            <w:r>
              <w:rPr>
                <w:rFonts w:ascii="Arial" w:cs="Arial" w:eastAsia="Arial" w:hAnsi="Arial"/>
                <w:sz w:val="16"/>
                <w:szCs w:val="16"/>
                <w:b w:val="1"/>
                <w:bCs w:val="1"/>
                <w:color w:val="auto"/>
              </w:rPr>
              <w:t>Independent</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since January 2014. He has been a</w:t>
            </w:r>
          </w:p>
        </w:tc>
        <w:tc>
          <w:tcPr>
            <w:tcW w:w="100" w:type="dxa"/>
            <w:vAlign w:val="bottom"/>
          </w:tcPr>
          <w:p>
            <w:pPr>
              <w:spacing w:after="0"/>
              <w:rPr>
                <w:sz w:val="18"/>
                <w:szCs w:val="18"/>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56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4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Managing Director for Alvarez and Marsal, a privately</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8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10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14"/>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owned professional services firm, since April 2009.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gridSpan w:val="3"/>
            <w:vMerge w:val="continue"/>
          </w:tcPr>
          <w:p>
            <w:pPr>
              <w:spacing w:after="0"/>
              <w:rPr>
                <w:sz w:val="6"/>
                <w:szCs w:val="6"/>
                <w:color w:val="auto"/>
              </w:rPr>
            </w:pPr>
          </w:p>
        </w:tc>
        <w:tc>
          <w:tcPr>
            <w:tcW w:w="410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tcPr>
          <w:p>
            <w:pPr>
              <w:jc w:val="center"/>
              <w:ind w:right="439"/>
              <w:spacing w:after="0"/>
              <w:rPr>
                <w:sz w:val="20"/>
                <w:szCs w:val="20"/>
                <w:color w:val="auto"/>
              </w:rPr>
            </w:pPr>
            <w:r>
              <w:rPr>
                <w:rFonts w:ascii="Arial" w:cs="Arial" w:eastAsia="Arial" w:hAnsi="Arial"/>
                <w:sz w:val="16"/>
                <w:szCs w:val="16"/>
                <w:b w:val="1"/>
                <w:bCs w:val="1"/>
                <w:i w:val="1"/>
                <w:iCs w:val="1"/>
                <w:color w:val="auto"/>
              </w:rPr>
              <w:t>since 2010</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2005 to 2009, Mr. Burk was the global energy</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8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b w:val="1"/>
                <w:bCs w:val="1"/>
                <w:color w:val="auto"/>
                <w:w w:val="74"/>
              </w:rPr>
              <w:t>:</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practice leader for Spencer Stuart, a privately owned</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w:t>
            </w:r>
          </w:p>
        </w:tc>
        <w:tc>
          <w:tcPr>
            <w:tcW w:w="0" w:type="dxa"/>
            <w:vAlign w:val="bottom"/>
          </w:tcPr>
          <w:p>
            <w:pPr>
              <w:spacing w:after="0"/>
              <w:rPr>
                <w:sz w:val="1"/>
                <w:szCs w:val="1"/>
                <w:color w:val="auto"/>
              </w:rPr>
            </w:pPr>
          </w:p>
        </w:tc>
      </w:tr>
      <w:tr>
        <w:trPr>
          <w:trHeight w:val="111"/>
        </w:trPr>
        <w:tc>
          <w:tcPr>
            <w:tcW w:w="560" w:type="dxa"/>
            <w:vAlign w:val="bottom"/>
            <w:tcBorders>
              <w:left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410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executive recruiting firm. Prior to joining Spencer</w:t>
            </w:r>
          </w:p>
        </w:tc>
        <w:tc>
          <w:tcPr>
            <w:tcW w:w="100" w:type="dxa"/>
            <w:vAlign w:val="bottom"/>
            <w:vMerge w:val="restart"/>
          </w:tcPr>
          <w:p>
            <w:pPr>
              <w:spacing w:after="0"/>
              <w:rPr>
                <w:sz w:val="9"/>
                <w:szCs w:val="9"/>
                <w:color w:val="auto"/>
              </w:rPr>
            </w:pPr>
          </w:p>
        </w:tc>
        <w:tc>
          <w:tcPr>
            <w:tcW w:w="100" w:type="dxa"/>
            <w:vAlign w:val="bottom"/>
            <w:vMerge w:val="continue"/>
          </w:tcPr>
          <w:p>
            <w:pPr>
              <w:spacing w:after="0"/>
              <w:rPr>
                <w:sz w:val="9"/>
                <w:szCs w:val="9"/>
                <w:color w:val="auto"/>
              </w:rPr>
            </w:pPr>
          </w:p>
        </w:tc>
        <w:tc>
          <w:tcPr>
            <w:tcW w:w="18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56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4100" w:type="dxa"/>
            <w:vAlign w:val="bottom"/>
            <w:tcBorders>
              <w:right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84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vMerge w:val="restart"/>
          </w:tcPr>
          <w:p>
            <w:pPr>
              <w:jc w:val="center"/>
              <w:ind w:right="439"/>
              <w:spacing w:after="0"/>
              <w:rPr>
                <w:sz w:val="20"/>
                <w:szCs w:val="20"/>
                <w:color w:val="auto"/>
              </w:rPr>
            </w:pPr>
            <w:r>
              <w:rPr>
                <w:rFonts w:ascii="Arial" w:cs="Arial" w:eastAsia="Arial" w:hAnsi="Arial"/>
                <w:sz w:val="16"/>
                <w:szCs w:val="16"/>
                <w:color w:val="auto"/>
                <w:w w:val="99"/>
              </w:rPr>
              <w:t>Audit (chair)</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Stuart, Mr. Burk served as managing partner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Development/</w:t>
            </w:r>
          </w:p>
        </w:tc>
        <w:tc>
          <w:tcPr>
            <w:tcW w:w="0" w:type="dxa"/>
            <w:vAlign w:val="bottom"/>
          </w:tcPr>
          <w:p>
            <w:pPr>
              <w:spacing w:after="0"/>
              <w:rPr>
                <w:sz w:val="1"/>
                <w:szCs w:val="1"/>
                <w:color w:val="auto"/>
              </w:rPr>
            </w:pPr>
          </w:p>
        </w:tc>
      </w:tr>
      <w:tr>
        <w:trPr>
          <w:trHeight w:val="73"/>
        </w:trPr>
        <w:tc>
          <w:tcPr>
            <w:tcW w:w="560" w:type="dxa"/>
            <w:vAlign w:val="bottom"/>
            <w:tcBorders>
              <w:left w:val="single" w:sz="8" w:color="auto"/>
            </w:tcBorders>
          </w:tcPr>
          <w:p>
            <w:pPr>
              <w:spacing w:after="0"/>
              <w:rPr>
                <w:sz w:val="6"/>
                <w:szCs w:val="6"/>
                <w:color w:val="auto"/>
              </w:rPr>
            </w:pPr>
          </w:p>
        </w:tc>
        <w:tc>
          <w:tcPr>
            <w:tcW w:w="1500" w:type="dxa"/>
            <w:vAlign w:val="bottom"/>
            <w:tcBorders>
              <w:right w:val="single" w:sz="8" w:color="auto"/>
            </w:tcBorders>
            <w:gridSpan w:val="2"/>
            <w:vMerge w:val="continue"/>
          </w:tcPr>
          <w:p>
            <w:pPr>
              <w:spacing w:after="0"/>
              <w:rPr>
                <w:sz w:val="6"/>
                <w:szCs w:val="6"/>
                <w:color w:val="auto"/>
              </w:rPr>
            </w:pPr>
          </w:p>
        </w:tc>
        <w:tc>
          <w:tcPr>
            <w:tcW w:w="4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Deloitte &amp; Touche’s global oil and natural gas group</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29"/>
        </w:trPr>
        <w:tc>
          <w:tcPr>
            <w:tcW w:w="56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10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2002 to 2005. He began his professional career</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22"/>
        </w:trPr>
        <w:tc>
          <w:tcPr>
            <w:tcW w:w="56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 1972 with Arthur Andersen and served as managing</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56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10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27"/>
        </w:trPr>
        <w:tc>
          <w:tcPr>
            <w:tcW w:w="56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partner of Arthur Andersen’s global oil and natural gas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56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10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group from 1989 until 2002. Mr. Burk served on the</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73"/>
        </w:trPr>
        <w:tc>
          <w:tcPr>
            <w:tcW w:w="56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4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board of directors and audit committee of EV Energy</w:t>
            </w: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56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10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Partners, L.P. from September 2006 until June 2018.</w:t>
            </w: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84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Burk served as a director and as chairman of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audit committee of PNGS GP LLC, the general partner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PAA Natural Gas Storage, L.P., from April 2010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through December 2013. Mr. Burk also serves as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member of the Sam Houston Area Council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Boy Scouts of America. He received a BBA 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Accounting from Stephen F. Austin State University,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graduating with highest honors. The Board has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determined that Mr. Burk is “independent” under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applicable Nasdaq and SEC rules and qualifies as an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“Audit Committee Financial Expert.” We believe that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Burk’s background, spanning over 30 years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extensive public accounting and consulting experience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 the energy industry, coupled with his demonstrated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leadership abilities, bring valuable experience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insight to the Board.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60" w:type="dxa"/>
            <w:vAlign w:val="bottom"/>
            <w:tcBorders>
              <w:left w:val="single" w:sz="8" w:color="auto"/>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410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KEVIN S. MCCARTHY</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Kevin S. McCarthy, age 62, </w:t>
            </w:r>
            <w:r>
              <w:rPr>
                <w:rFonts w:ascii="Arial" w:cs="Arial" w:eastAsia="Arial" w:hAnsi="Arial"/>
                <w:sz w:val="16"/>
                <w:szCs w:val="16"/>
                <w:color w:val="auto"/>
              </w:rPr>
              <w:t>has served as a director</w:t>
            </w:r>
          </w:p>
        </w:tc>
        <w:tc>
          <w:tcPr>
            <w:tcW w:w="1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Board Qualifications:</w:t>
            </w: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vMerge w:val="restart"/>
          </w:tcPr>
          <w:p>
            <w:pPr>
              <w:jc w:val="center"/>
              <w:ind w:right="459"/>
              <w:spacing w:after="0"/>
              <w:rPr>
                <w:sz w:val="20"/>
                <w:szCs w:val="20"/>
                <w:color w:val="auto"/>
              </w:rPr>
            </w:pPr>
            <w:r>
              <w:rPr>
                <w:rFonts w:ascii="Arial" w:cs="Arial" w:eastAsia="Arial" w:hAnsi="Arial"/>
                <w:sz w:val="16"/>
                <w:szCs w:val="16"/>
                <w:b w:val="1"/>
                <w:bCs w:val="1"/>
                <w:color w:val="auto"/>
              </w:rPr>
              <w:t>Independent</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PAGP GP since October 2020. He currently serves</w:t>
            </w:r>
          </w:p>
        </w:tc>
        <w:tc>
          <w:tcPr>
            <w:tcW w:w="100" w:type="dxa"/>
            <w:vAlign w:val="bottom"/>
          </w:tcPr>
          <w:p>
            <w:pPr>
              <w:spacing w:after="0"/>
              <w:rPr>
                <w:sz w:val="18"/>
                <w:szCs w:val="18"/>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56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4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Vice Chairman at Kayne Anderson, where he co-</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8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10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14"/>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founded the firm’s energy infrastructure securities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gridSpan w:val="3"/>
            <w:vMerge w:val="continue"/>
          </w:tcPr>
          <w:p>
            <w:pPr>
              <w:spacing w:after="0"/>
              <w:rPr>
                <w:sz w:val="6"/>
                <w:szCs w:val="6"/>
                <w:color w:val="auto"/>
              </w:rPr>
            </w:pPr>
          </w:p>
        </w:tc>
        <w:tc>
          <w:tcPr>
            <w:tcW w:w="410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tcPr>
          <w:p>
            <w:pPr>
              <w:jc w:val="center"/>
              <w:ind w:right="439"/>
              <w:spacing w:after="0"/>
              <w:rPr>
                <w:sz w:val="20"/>
                <w:szCs w:val="20"/>
                <w:color w:val="auto"/>
              </w:rPr>
            </w:pPr>
            <w:r>
              <w:rPr>
                <w:rFonts w:ascii="Arial" w:cs="Arial" w:eastAsia="Arial" w:hAnsi="Arial"/>
                <w:sz w:val="16"/>
                <w:szCs w:val="16"/>
                <w:b w:val="1"/>
                <w:bCs w:val="1"/>
                <w:i w:val="1"/>
                <w:iCs w:val="1"/>
                <w:color w:val="auto"/>
              </w:rPr>
              <w:t>since 2020</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activities, and served as CEO and Chairman of the</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8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b w:val="1"/>
                <w:bCs w:val="1"/>
                <w:color w:val="auto"/>
                <w:w w:val="74"/>
              </w:rPr>
              <w:t>:</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of Directors for Kayne Anderson’s closed-end</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w:t>
            </w:r>
          </w:p>
        </w:tc>
        <w:tc>
          <w:tcPr>
            <w:tcW w:w="0" w:type="dxa"/>
            <w:vAlign w:val="bottom"/>
          </w:tcPr>
          <w:p>
            <w:pPr>
              <w:spacing w:after="0"/>
              <w:rPr>
                <w:sz w:val="1"/>
                <w:szCs w:val="1"/>
                <w:color w:val="auto"/>
              </w:rPr>
            </w:pPr>
          </w:p>
        </w:tc>
      </w:tr>
      <w:tr>
        <w:trPr>
          <w:trHeight w:val="111"/>
        </w:trPr>
        <w:tc>
          <w:tcPr>
            <w:tcW w:w="560" w:type="dxa"/>
            <w:vAlign w:val="bottom"/>
            <w:tcBorders>
              <w:left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410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funds from 2004 through July 2019. Prior to joining</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8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56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410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84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vMerge w:val="restart"/>
          </w:tcPr>
          <w:p>
            <w:pPr>
              <w:jc w:val="center"/>
              <w:ind w:right="439"/>
              <w:spacing w:after="0"/>
              <w:rPr>
                <w:sz w:val="20"/>
                <w:szCs w:val="20"/>
                <w:color w:val="auto"/>
              </w:rPr>
            </w:pPr>
            <w:r>
              <w:rPr>
                <w:rFonts w:ascii="Arial" w:cs="Arial" w:eastAsia="Arial" w:hAnsi="Arial"/>
                <w:sz w:val="16"/>
                <w:szCs w:val="16"/>
                <w:color w:val="auto"/>
                <w:w w:val="99"/>
              </w:rPr>
              <w:t>None</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Kayne Anderson in 2004, Mr. McCarthy was global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Development/</w:t>
            </w:r>
          </w:p>
        </w:tc>
        <w:tc>
          <w:tcPr>
            <w:tcW w:w="0" w:type="dxa"/>
            <w:vAlign w:val="bottom"/>
          </w:tcPr>
          <w:p>
            <w:pPr>
              <w:spacing w:after="0"/>
              <w:rPr>
                <w:sz w:val="1"/>
                <w:szCs w:val="1"/>
                <w:color w:val="auto"/>
              </w:rPr>
            </w:pPr>
          </w:p>
        </w:tc>
      </w:tr>
      <w:tr>
        <w:trPr>
          <w:trHeight w:val="73"/>
        </w:trPr>
        <w:tc>
          <w:tcPr>
            <w:tcW w:w="560" w:type="dxa"/>
            <w:vAlign w:val="bottom"/>
            <w:tcBorders>
              <w:left w:val="single" w:sz="8" w:color="auto"/>
            </w:tcBorders>
          </w:tcPr>
          <w:p>
            <w:pPr>
              <w:spacing w:after="0"/>
              <w:rPr>
                <w:sz w:val="6"/>
                <w:szCs w:val="6"/>
                <w:color w:val="auto"/>
              </w:rPr>
            </w:pPr>
          </w:p>
        </w:tc>
        <w:tc>
          <w:tcPr>
            <w:tcW w:w="1500" w:type="dxa"/>
            <w:vAlign w:val="bottom"/>
            <w:tcBorders>
              <w:right w:val="single" w:sz="8" w:color="auto"/>
            </w:tcBorders>
            <w:gridSpan w:val="2"/>
            <w:vMerge w:val="continue"/>
          </w:tcPr>
          <w:p>
            <w:pPr>
              <w:spacing w:after="0"/>
              <w:rPr>
                <w:sz w:val="6"/>
                <w:szCs w:val="6"/>
                <w:color w:val="auto"/>
              </w:rPr>
            </w:pPr>
          </w:p>
        </w:tc>
        <w:tc>
          <w:tcPr>
            <w:tcW w:w="4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head of energy investment banking at UBS Securities</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29"/>
        </w:trPr>
        <w:tc>
          <w:tcPr>
            <w:tcW w:w="56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10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LLC and held similar positions at PaineWebber</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22"/>
        </w:trPr>
        <w:tc>
          <w:tcPr>
            <w:tcW w:w="56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Incorporated and Dean Witter Reynolds. Mr. McCarthy</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56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10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27"/>
        </w:trPr>
        <w:tc>
          <w:tcPr>
            <w:tcW w:w="56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serves as a director of Kinetik Holdings Inc. (formerly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56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10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Altus Midstream Company) and Whiting Petroleum</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73"/>
        </w:trPr>
        <w:tc>
          <w:tcPr>
            <w:tcW w:w="56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41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Corporation, and previously served as a director of</w:t>
            </w: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56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10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Range Resources Corporation, ONEOK, Inc., Emerge</w:t>
            </w: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84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Services LP and K-Sea Transportation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Partners L.P. He also sits on the board of directors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60" w:type="dxa"/>
            <w:vAlign w:val="bottom"/>
            <w:tcBorders>
              <w:left w:val="single" w:sz="8" w:color="auto"/>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Gladney Fund. Mr. McCarthy earned a BA in</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312"/>
        </w:trPr>
        <w:tc>
          <w:tcPr>
            <w:tcW w:w="540" w:type="dxa"/>
            <w:vAlign w:val="bottom"/>
            <w:tcBorders>
              <w:top w:val="single" w:sz="8" w:color="auto"/>
              <w:left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4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economics and geology from Amherst College and</w:t>
            </w: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 MBA in Finance from the Wharton School at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University of Pennsylvania. The Board has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determined that Mr. McCarthy is “independent” under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applicable Nasdaq and SEC rules. Mr. McCarthy’s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extensive investment management background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involvement in the energy sector, along with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breadth and depth of his market and industry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knowledge, brings substantial experience, insight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40" w:type="dxa"/>
            <w:vAlign w:val="bottom"/>
            <w:tcBorders>
              <w:left w:val="single" w:sz="8" w:color="auto"/>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4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skill to the Board.</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HARRY N. PEFANIS</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Harry N. Pefanis, age 64, </w:t>
            </w:r>
            <w:r>
              <w:rPr>
                <w:rFonts w:ascii="Arial" w:cs="Arial" w:eastAsia="Arial" w:hAnsi="Arial"/>
                <w:sz w:val="16"/>
                <w:szCs w:val="16"/>
                <w:color w:val="auto"/>
              </w:rPr>
              <w:t>has served as a director of</w:t>
            </w:r>
          </w:p>
        </w:tc>
        <w:tc>
          <w:tcPr>
            <w:tcW w:w="2160" w:type="dxa"/>
            <w:vAlign w:val="bottom"/>
            <w:tcBorders>
              <w:right w:val="single" w:sz="8" w:color="auto"/>
            </w:tcBorders>
            <w:gridSpan w:val="4"/>
          </w:tcPr>
          <w:p>
            <w:pPr>
              <w:ind w:left="100"/>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99"/>
              </w:rPr>
              <w:t>Not Independent</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PAGP GP since February 2017 and as President of</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40" w:type="dxa"/>
            <w:vAlign w:val="bottom"/>
            <w:tcBorders>
              <w:left w:val="single" w:sz="8" w:color="auto"/>
              <w:right w:val="single" w:sz="8" w:color="auto"/>
            </w:tcBorders>
            <w:gridSpan w:val="3"/>
            <w:vMerge w:val="continue"/>
          </w:tcPr>
          <w:p>
            <w:pPr>
              <w:spacing w:after="0"/>
              <w:rPr>
                <w:sz w:val="18"/>
                <w:szCs w:val="18"/>
                <w:color w:val="auto"/>
              </w:rPr>
            </w:pPr>
          </w:p>
        </w:tc>
        <w:tc>
          <w:tcPr>
            <w:tcW w:w="4020" w:type="dxa"/>
            <w:vAlign w:val="bottom"/>
            <w:tcBorders>
              <w:right w:val="single" w:sz="8" w:color="auto"/>
            </w:tcBorders>
            <w:vMerge w:val="continue"/>
          </w:tcPr>
          <w:p>
            <w:pPr>
              <w:spacing w:after="0"/>
              <w:rPr>
                <w:sz w:val="18"/>
                <w:szCs w:val="18"/>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3"/>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PAGP GP and GP LLC since March 2021. He</w:t>
            </w:r>
          </w:p>
        </w:tc>
        <w:tc>
          <w:tcPr>
            <w:tcW w:w="200" w:type="dxa"/>
            <w:vAlign w:val="bottom"/>
            <w:gridSpan w:val="2"/>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14"/>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previously served as President and Chief Commercial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gridSpan w:val="3"/>
            <w:vMerge w:val="continue"/>
          </w:tcPr>
          <w:p>
            <w:pPr>
              <w:spacing w:after="0"/>
              <w:rPr>
                <w:sz w:val="6"/>
                <w:szCs w:val="6"/>
                <w:color w:val="auto"/>
              </w:rPr>
            </w:pPr>
          </w:p>
        </w:tc>
        <w:tc>
          <w:tcPr>
            <w:tcW w:w="402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tcPr>
          <w:p>
            <w:pPr>
              <w:jc w:val="center"/>
              <w:ind w:right="439"/>
              <w:spacing w:after="0"/>
              <w:rPr>
                <w:sz w:val="20"/>
                <w:szCs w:val="20"/>
                <w:color w:val="auto"/>
              </w:rPr>
            </w:pPr>
            <w:r>
              <w:rPr>
                <w:rFonts w:ascii="Arial" w:cs="Arial" w:eastAsia="Arial" w:hAnsi="Arial"/>
                <w:sz w:val="16"/>
                <w:szCs w:val="16"/>
                <w:b w:val="1"/>
                <w:bCs w:val="1"/>
                <w:i w:val="1"/>
                <w:iCs w:val="1"/>
                <w:color w:val="auto"/>
              </w:rPr>
              <w:t>since 2017</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Officer of PAGP GP and GP LLC from January 2018</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vMerge w:val="restart"/>
          </w:tcPr>
          <w:p>
            <w:pPr>
              <w:jc w:val="center"/>
              <w:ind w:right="439"/>
              <w:spacing w:after="0"/>
              <w:rPr>
                <w:sz w:val="20"/>
                <w:szCs w:val="20"/>
                <w:color w:val="auto"/>
              </w:rPr>
            </w:pPr>
            <w:r>
              <w:rPr>
                <w:rFonts w:ascii="Arial" w:cs="Arial" w:eastAsia="Arial" w:hAnsi="Arial"/>
                <w:sz w:val="16"/>
                <w:szCs w:val="16"/>
                <w:b w:val="1"/>
                <w:bCs w:val="1"/>
                <w:i w:val="1"/>
                <w:iCs w:val="1"/>
                <w:color w:val="auto"/>
              </w:rPr>
              <w:t>President</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until March 2021. He served as President and Chief</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1500" w:type="dxa"/>
            <w:vAlign w:val="bottom"/>
            <w:tcBorders>
              <w:right w:val="single" w:sz="8" w:color="auto"/>
            </w:tcBorders>
            <w:gridSpan w:val="2"/>
            <w:vMerge w:val="continue"/>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Operating Officer of GP LLC from PAA’s formation in</w:t>
            </w:r>
          </w:p>
        </w:tc>
        <w:tc>
          <w:tcPr>
            <w:tcW w:w="200" w:type="dxa"/>
            <w:vAlign w:val="bottom"/>
            <w:gridSpan w:val="2"/>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1998 through December 2017, and as President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Chief Operating Officer of PAGP GP from July 2013</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22"/>
        </w:trPr>
        <w:tc>
          <w:tcPr>
            <w:tcW w:w="54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through December 2017. He was also a director of</w:t>
            </w:r>
          </w:p>
        </w:tc>
        <w:tc>
          <w:tcPr>
            <w:tcW w:w="200" w:type="dxa"/>
            <w:vAlign w:val="bottom"/>
            <w:gridSpan w:val="2"/>
            <w:vMerge w:val="continue"/>
          </w:tcPr>
          <w:p>
            <w:pPr>
              <w:spacing w:after="0"/>
              <w:rPr>
                <w:sz w:val="10"/>
                <w:szCs w:val="10"/>
                <w:color w:val="auto"/>
              </w:rPr>
            </w:pPr>
          </w:p>
        </w:tc>
        <w:tc>
          <w:tcPr>
            <w:tcW w:w="19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27"/>
        </w:trPr>
        <w:tc>
          <w:tcPr>
            <w:tcW w:w="54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PAA’s former general partner. In addition, he was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Vice President — Midstream of Plains</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Resources from May 1998 to May 2001. He</w:t>
            </w:r>
          </w:p>
        </w:tc>
        <w:tc>
          <w:tcPr>
            <w:tcW w:w="200" w:type="dxa"/>
            <w:vAlign w:val="bottom"/>
            <w:gridSpan w:val="2"/>
            <w:vMerge w:val="continue"/>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02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87"/>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previously served Plains Resources as: Senior Vice</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from February 1996 until May 1998; Vice</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 Products Marketing from 1988 to</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27"/>
        </w:trPr>
        <w:tc>
          <w:tcPr>
            <w:tcW w:w="54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February 1996; Manager of Products Marketing from</w:t>
            </w:r>
          </w:p>
        </w:tc>
        <w:tc>
          <w:tcPr>
            <w:tcW w:w="200" w:type="dxa"/>
            <w:vAlign w:val="bottom"/>
            <w:gridSpan w:val="2"/>
            <w:vMerge w:val="continue"/>
          </w:tcPr>
          <w:p>
            <w:pPr>
              <w:spacing w:after="0"/>
              <w:rPr>
                <w:sz w:val="11"/>
                <w:szCs w:val="11"/>
                <w:color w:val="auto"/>
              </w:rPr>
            </w:pPr>
          </w:p>
        </w:tc>
        <w:tc>
          <w:tcPr>
            <w:tcW w:w="19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1987 to 1988; and Special Assistant for Corporate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Planning from 1983 to 1987. Mr. Pefanis was also</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of several former midstream subsidiaries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Plains Resources prior to PAA’s formation.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Pefanis served as a director of Oasis Midstream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Partners, L.P. from July 2018 until February 2022. 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is also a director of the Memorial Hermann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Foundation. Mr. Pefanis’s involvement with PAA since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its formation and his considerable operational,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commercial, accounting and financial experience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brings important and valuable skills to the Board.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40" w:type="dxa"/>
            <w:vAlign w:val="bottom"/>
            <w:tcBorders>
              <w:left w:val="single" w:sz="8" w:color="auto"/>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40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GARY R. PETERSEN</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Gary R. Petersen, age 75, </w:t>
            </w:r>
            <w:r>
              <w:rPr>
                <w:rFonts w:ascii="Arial" w:cs="Arial" w:eastAsia="Arial" w:hAnsi="Arial"/>
                <w:sz w:val="16"/>
                <w:szCs w:val="16"/>
                <w:color w:val="auto"/>
              </w:rPr>
              <w:t>has served as a director of</w:t>
            </w:r>
          </w:p>
        </w:tc>
        <w:tc>
          <w:tcPr>
            <w:tcW w:w="2160" w:type="dxa"/>
            <w:vAlign w:val="bottom"/>
            <w:tcBorders>
              <w:right w:val="single" w:sz="8" w:color="auto"/>
            </w:tcBorders>
            <w:gridSpan w:val="4"/>
          </w:tcPr>
          <w:p>
            <w:pPr>
              <w:ind w:left="100"/>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1500" w:type="dxa"/>
            <w:vAlign w:val="bottom"/>
            <w:tcBorders>
              <w:right w:val="single" w:sz="8" w:color="auto"/>
            </w:tcBorders>
            <w:gridSpan w:val="2"/>
            <w:vMerge w:val="restart"/>
          </w:tcPr>
          <w:p>
            <w:pPr>
              <w:jc w:val="center"/>
              <w:ind w:right="459"/>
              <w:spacing w:after="0"/>
              <w:rPr>
                <w:sz w:val="20"/>
                <w:szCs w:val="20"/>
                <w:color w:val="auto"/>
              </w:rPr>
            </w:pPr>
            <w:r>
              <w:rPr>
                <w:rFonts w:ascii="Arial" w:cs="Arial" w:eastAsia="Arial" w:hAnsi="Arial"/>
                <w:sz w:val="16"/>
                <w:szCs w:val="16"/>
                <w:b w:val="1"/>
                <w:bCs w:val="1"/>
                <w:color w:val="auto"/>
              </w:rPr>
              <w:t>Independent</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PAGP GP since November 2016. He served as a</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vMerge w:val="continue"/>
          </w:tcPr>
          <w:p>
            <w:pPr>
              <w:spacing w:after="0"/>
              <w:rPr>
                <w:sz w:val="18"/>
                <w:szCs w:val="18"/>
                <w:color w:val="auto"/>
              </w:rPr>
            </w:pPr>
          </w:p>
        </w:tc>
        <w:tc>
          <w:tcPr>
            <w:tcW w:w="4020" w:type="dxa"/>
            <w:vAlign w:val="bottom"/>
            <w:tcBorders>
              <w:right w:val="single" w:sz="8" w:color="auto"/>
            </w:tcBorders>
            <w:vMerge w:val="continue"/>
          </w:tcPr>
          <w:p>
            <w:pPr>
              <w:spacing w:after="0"/>
              <w:rPr>
                <w:sz w:val="18"/>
                <w:szCs w:val="18"/>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PAA’s general partner from June 2001 until</w:t>
            </w:r>
          </w:p>
        </w:tc>
        <w:tc>
          <w:tcPr>
            <w:tcW w:w="200" w:type="dxa"/>
            <w:vAlign w:val="bottom"/>
            <w:gridSpan w:val="2"/>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14"/>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November 2016. Mr. Petersen is a Managing Partner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gridSpan w:val="3"/>
            <w:vMerge w:val="continue"/>
          </w:tcPr>
          <w:p>
            <w:pPr>
              <w:spacing w:after="0"/>
              <w:rPr>
                <w:sz w:val="6"/>
                <w:szCs w:val="6"/>
                <w:color w:val="auto"/>
              </w:rPr>
            </w:pPr>
          </w:p>
        </w:tc>
        <w:tc>
          <w:tcPr>
            <w:tcW w:w="402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tcPr>
          <w:p>
            <w:pPr>
              <w:jc w:val="center"/>
              <w:ind w:right="439"/>
              <w:spacing w:after="0"/>
              <w:rPr>
                <w:sz w:val="20"/>
                <w:szCs w:val="20"/>
                <w:color w:val="auto"/>
              </w:rPr>
            </w:pPr>
            <w:r>
              <w:rPr>
                <w:rFonts w:ascii="Arial" w:cs="Arial" w:eastAsia="Arial" w:hAnsi="Arial"/>
                <w:sz w:val="16"/>
                <w:szCs w:val="16"/>
                <w:b w:val="1"/>
                <w:bCs w:val="1"/>
                <w:i w:val="1"/>
                <w:iCs w:val="1"/>
                <w:color w:val="auto"/>
              </w:rPr>
              <w:t>since 2001</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EnCap Investments L.P., an investment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8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b w:val="1"/>
                <w:bCs w:val="1"/>
                <w:color w:val="auto"/>
                <w:w w:val="74"/>
              </w:rPr>
              <w:t>:</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management firm which he co-founded in 1988. He</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11"/>
        </w:trPr>
        <w:tc>
          <w:tcPr>
            <w:tcW w:w="540" w:type="dxa"/>
            <w:vAlign w:val="bottom"/>
            <w:tcBorders>
              <w:left w:val="single" w:sz="8" w:color="auto"/>
            </w:tcBorders>
            <w:vMerge w:val="restart"/>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also served as a director of EV Energy Partners, L.P.</w:t>
            </w:r>
          </w:p>
        </w:tc>
        <w:tc>
          <w:tcPr>
            <w:tcW w:w="200" w:type="dxa"/>
            <w:vAlign w:val="bottom"/>
            <w:gridSpan w:val="2"/>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540" w:type="dxa"/>
            <w:vAlign w:val="bottom"/>
            <w:tcBorders>
              <w:lef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4020" w:type="dxa"/>
            <w:vAlign w:val="bottom"/>
            <w:tcBorders>
              <w:right w:val="single" w:sz="8" w:color="auto"/>
            </w:tcBorders>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9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rPr>
              <w:t>Compensation</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September 2006 until June 2018. He had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0"/>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previously served as Senior Vice President and</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540" w:type="dxa"/>
            <w:vAlign w:val="bottom"/>
            <w:tcBorders>
              <w:left w:val="single" w:sz="8" w:color="auto"/>
            </w:tcBorders>
          </w:tcPr>
          <w:p>
            <w:pPr>
              <w:spacing w:after="0"/>
              <w:rPr>
                <w:sz w:val="11"/>
                <w:szCs w:val="11"/>
                <w:color w:val="auto"/>
              </w:rPr>
            </w:pPr>
          </w:p>
        </w:tc>
        <w:tc>
          <w:tcPr>
            <w:tcW w:w="1500" w:type="dxa"/>
            <w:vAlign w:val="bottom"/>
            <w:tcBorders>
              <w:right w:val="single" w:sz="8" w:color="auto"/>
            </w:tcBorders>
            <w:gridSpan w:val="2"/>
            <w:vMerge w:val="restart"/>
          </w:tcPr>
          <w:p>
            <w:pPr>
              <w:jc w:val="center"/>
              <w:ind w:right="459"/>
              <w:spacing w:after="0"/>
              <w:rPr>
                <w:sz w:val="20"/>
                <w:szCs w:val="20"/>
                <w:color w:val="auto"/>
              </w:rPr>
            </w:pPr>
            <w:r>
              <w:rPr>
                <w:rFonts w:ascii="Arial" w:cs="Arial" w:eastAsia="Arial" w:hAnsi="Arial"/>
                <w:sz w:val="16"/>
                <w:szCs w:val="16"/>
                <w:color w:val="auto"/>
              </w:rPr>
              <w:t>Governance</w:t>
            </w:r>
          </w:p>
        </w:tc>
        <w:tc>
          <w:tcPr>
            <w:tcW w:w="4020" w:type="dxa"/>
            <w:vAlign w:val="bottom"/>
            <w:tcBorders>
              <w:right w:val="single" w:sz="8" w:color="auto"/>
            </w:tcBorders>
            <w:vMerge w:val="continue"/>
          </w:tcPr>
          <w:p>
            <w:pPr>
              <w:spacing w:after="0"/>
              <w:rPr>
                <w:sz w:val="11"/>
                <w:szCs w:val="11"/>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47"/>
        </w:trPr>
        <w:tc>
          <w:tcPr>
            <w:tcW w:w="540" w:type="dxa"/>
            <w:vAlign w:val="bottom"/>
            <w:tcBorders>
              <w:left w:val="single" w:sz="8" w:color="auto"/>
            </w:tcBorders>
          </w:tcPr>
          <w:p>
            <w:pPr>
              <w:spacing w:after="0"/>
              <w:rPr>
                <w:sz w:val="12"/>
                <w:szCs w:val="12"/>
                <w:color w:val="auto"/>
              </w:rPr>
            </w:pPr>
          </w:p>
        </w:tc>
        <w:tc>
          <w:tcPr>
            <w:tcW w:w="1500" w:type="dxa"/>
            <w:vAlign w:val="bottom"/>
            <w:tcBorders>
              <w:right w:val="single" w:sz="8" w:color="auto"/>
            </w:tcBorders>
            <w:gridSpan w:val="2"/>
            <w:vMerge w:val="continue"/>
          </w:tcPr>
          <w:p>
            <w:pPr>
              <w:spacing w:after="0"/>
              <w:rPr>
                <w:sz w:val="12"/>
                <w:szCs w:val="12"/>
                <w:color w:val="auto"/>
              </w:rPr>
            </w:pPr>
          </w:p>
        </w:tc>
        <w:tc>
          <w:tcPr>
            <w:tcW w:w="4020" w:type="dxa"/>
            <w:vAlign w:val="bottom"/>
            <w:tcBorders>
              <w:right w:val="single" w:sz="8" w:color="auto"/>
            </w:tcBorders>
          </w:tcPr>
          <w:p>
            <w:pPr>
              <w:ind w:left="80"/>
              <w:spacing w:after="0" w:line="147" w:lineRule="exact"/>
              <w:rPr>
                <w:sz w:val="20"/>
                <w:szCs w:val="20"/>
                <w:color w:val="auto"/>
              </w:rPr>
            </w:pPr>
            <w:r>
              <w:rPr>
                <w:rFonts w:ascii="Arial" w:cs="Arial" w:eastAsia="Arial" w:hAnsi="Arial"/>
                <w:sz w:val="16"/>
                <w:szCs w:val="16"/>
                <w:color w:val="auto"/>
              </w:rPr>
              <w:t>Manager of the Corporate Finance Division of the</w:t>
            </w:r>
          </w:p>
        </w:tc>
        <w:tc>
          <w:tcPr>
            <w:tcW w:w="200" w:type="dxa"/>
            <w:vAlign w:val="bottom"/>
            <w:gridSpan w:val="2"/>
            <w:vMerge w:val="continue"/>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Energy Banking Group for RepublicBank Corporation.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42"/>
        </w:trPr>
        <w:tc>
          <w:tcPr>
            <w:tcW w:w="540" w:type="dxa"/>
            <w:vAlign w:val="bottom"/>
            <w:tcBorders>
              <w:lef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402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Prior to his position at RepublicBank, he was</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73"/>
        </w:trPr>
        <w:tc>
          <w:tcPr>
            <w:tcW w:w="54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Executive Vice President and a member of the Board</w:t>
            </w:r>
          </w:p>
        </w:tc>
        <w:tc>
          <w:tcPr>
            <w:tcW w:w="200" w:type="dxa"/>
            <w:vAlign w:val="bottom"/>
            <w:gridSpan w:val="2"/>
            <w:vMerge w:val="continue"/>
          </w:tcPr>
          <w:p>
            <w:pPr>
              <w:spacing w:after="0"/>
              <w:rPr>
                <w:sz w:val="6"/>
                <w:szCs w:val="6"/>
                <w:color w:val="auto"/>
              </w:rPr>
            </w:pPr>
          </w:p>
        </w:tc>
        <w:tc>
          <w:tcPr>
            <w:tcW w:w="19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54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Directors of Nicklos Oil &amp; Gas Company from 1979</w:t>
            </w:r>
          </w:p>
        </w:tc>
        <w:tc>
          <w:tcPr>
            <w:tcW w:w="200" w:type="dxa"/>
            <w:vAlign w:val="bottom"/>
            <w:gridSpan w:val="2"/>
            <w:vMerge w:val="continue"/>
          </w:tcPr>
          <w:p>
            <w:pPr>
              <w:spacing w:after="0"/>
              <w:rPr>
                <w:sz w:val="16"/>
                <w:szCs w:val="16"/>
                <w:color w:val="auto"/>
              </w:rPr>
            </w:pPr>
          </w:p>
        </w:tc>
        <w:tc>
          <w:tcPr>
            <w:tcW w:w="19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to 1984. He served from 1970 to 1971 in the U.S.</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00"/>
        </w:trPr>
        <w:tc>
          <w:tcPr>
            <w:tcW w:w="5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Army as a First Lieutenant in the Finance Corps and</w:t>
            </w:r>
          </w:p>
        </w:tc>
        <w:tc>
          <w:tcPr>
            <w:tcW w:w="200" w:type="dxa"/>
            <w:vAlign w:val="bottom"/>
            <w:gridSpan w:val="2"/>
            <w:vMerge w:val="continue"/>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 an Army Officer in the Army Security Agency. 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is a member of the Independent Petroleum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Association of America, the Houston Producers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Forum and the Petroleum Club of Houston.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Petersen is a director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40" w:type="dxa"/>
            <w:vAlign w:val="bottom"/>
            <w:tcBorders>
              <w:left w:val="single" w:sz="8" w:color="auto"/>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40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2023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of the Memorial Hermann Health System and the</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Houston Museum of Natural Science. He also sits on</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the board of trustees of The Council on Recovery.</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Mr. Petersen holds BBA and MBA degrees in finance</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from Texas Tech University. The Board has</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determined that Mr. Petersen is “independent” under</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applicable Nasdaq and SEC rules. Mr. Petersen has</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been involved in the energy sector for a period of</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more than 35 years, garnering extensive knowledge of</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the energy sectors’ various cycles, as well as the</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current market and industry knowledge that comes</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with management of approximately $18 billion of</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energy-related investments. In tandem with the</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leadership qualities evidenced by his executive</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background, we believe that Mr. Petersen brings</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numerous valuable attributes to the Board.</w:t>
      </w:r>
    </w:p>
    <w:p>
      <w:pPr>
        <w:spacing w:after="0" w:line="3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Directors (Not Standing for Election at the 2022 Annual Meeting)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 Directors (terms expire in 2023):</w:t>
      </w:r>
    </w:p>
    <w:p>
      <w:pPr>
        <w:spacing w:after="0" w:line="179"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2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WILLIE CHIANG</w:t>
            </w:r>
          </w:p>
        </w:tc>
        <w:tc>
          <w:tcPr>
            <w:tcW w:w="4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Willie Chiang, age 61, </w:t>
            </w:r>
            <w:r>
              <w:rPr>
                <w:rFonts w:ascii="Arial" w:cs="Arial" w:eastAsia="Arial" w:hAnsi="Arial"/>
                <w:sz w:val="16"/>
                <w:szCs w:val="16"/>
                <w:color w:val="auto"/>
              </w:rPr>
              <w:t>has served as a director of</w:t>
            </w:r>
          </w:p>
        </w:tc>
        <w:tc>
          <w:tcPr>
            <w:tcW w:w="216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Not Independent</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PAGP GP since February 2017, as Chief Executive</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40" w:type="dxa"/>
            <w:vAlign w:val="bottom"/>
            <w:tcBorders>
              <w:left w:val="single" w:sz="8" w:color="auto"/>
              <w:right w:val="single" w:sz="8" w:color="auto"/>
            </w:tcBorders>
            <w:vMerge w:val="continue"/>
          </w:tcPr>
          <w:p>
            <w:pPr>
              <w:spacing w:after="0"/>
              <w:rPr>
                <w:sz w:val="18"/>
                <w:szCs w:val="18"/>
                <w:color w:val="auto"/>
              </w:rPr>
            </w:pPr>
          </w:p>
        </w:tc>
        <w:tc>
          <w:tcPr>
            <w:tcW w:w="4020" w:type="dxa"/>
            <w:vAlign w:val="bottom"/>
            <w:tcBorders>
              <w:right w:val="single" w:sz="8" w:color="auto"/>
            </w:tcBorders>
            <w:vMerge w:val="continue"/>
          </w:tcPr>
          <w:p>
            <w:pPr>
              <w:spacing w:after="0"/>
              <w:rPr>
                <w:sz w:val="18"/>
                <w:szCs w:val="18"/>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Officer of PAGP GP and GP LLC since October 2018</w:t>
            </w:r>
          </w:p>
        </w:tc>
        <w:tc>
          <w:tcPr>
            <w:tcW w:w="200" w:type="dxa"/>
            <w:vAlign w:val="bottom"/>
            <w:gridSpan w:val="2"/>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14"/>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and as Chairman of the Board since January 2020.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vMerge w:val="continue"/>
          </w:tcPr>
          <w:p>
            <w:pPr>
              <w:spacing w:after="0"/>
              <w:rPr>
                <w:sz w:val="6"/>
                <w:szCs w:val="6"/>
                <w:color w:val="auto"/>
              </w:rPr>
            </w:pPr>
          </w:p>
        </w:tc>
        <w:tc>
          <w:tcPr>
            <w:tcW w:w="402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rPr>
              <w:t>since 2017</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 served as Executive Vice President and Chief</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rPr>
              <w:t>Chairman and CEO</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Operating Officer of PAGP GP and GP LLC from</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2040" w:type="dxa"/>
            <w:vAlign w:val="bottom"/>
            <w:tcBorders>
              <w:left w:val="single" w:sz="8" w:color="auto"/>
              <w:right w:val="single" w:sz="8" w:color="auto"/>
            </w:tcBorders>
            <w:vMerge w:val="continue"/>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January 2018 until October 2018. He also served as</w:t>
            </w:r>
          </w:p>
        </w:tc>
        <w:tc>
          <w:tcPr>
            <w:tcW w:w="200" w:type="dxa"/>
            <w:vAlign w:val="bottom"/>
            <w:gridSpan w:val="2"/>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Vice President and Chief Operating Officer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(U.S.) of PAGP GP and GP LLC from August 2015</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tcPr>
          <w:p>
            <w:pPr>
              <w:spacing w:after="0"/>
              <w:rPr>
                <w:sz w:val="10"/>
                <w:szCs w:val="10"/>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through December 2017. Prior to joining Plains,</w:t>
            </w:r>
          </w:p>
        </w:tc>
        <w:tc>
          <w:tcPr>
            <w:tcW w:w="200" w:type="dxa"/>
            <w:vAlign w:val="bottom"/>
            <w:gridSpan w:val="2"/>
            <w:vMerge w:val="continue"/>
          </w:tcPr>
          <w:p>
            <w:pPr>
              <w:spacing w:after="0"/>
              <w:rPr>
                <w:sz w:val="10"/>
                <w:szCs w:val="10"/>
                <w:color w:val="auto"/>
              </w:rPr>
            </w:pPr>
          </w:p>
        </w:tc>
        <w:tc>
          <w:tcPr>
            <w:tcW w:w="19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27"/>
        </w:trPr>
        <w:tc>
          <w:tcPr>
            <w:tcW w:w="2040" w:type="dxa"/>
            <w:vAlign w:val="bottom"/>
            <w:tcBorders>
              <w:left w:val="single" w:sz="8" w:color="auto"/>
              <w:right w:val="single" w:sz="8" w:color="auto"/>
            </w:tcBorders>
          </w:tcPr>
          <w:p>
            <w:pPr>
              <w:spacing w:after="0"/>
              <w:rPr>
                <w:sz w:val="11"/>
                <w:szCs w:val="11"/>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Chiang served as Executive Vice President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40" w:type="dxa"/>
            <w:vAlign w:val="bottom"/>
            <w:tcBorders>
              <w:left w:val="single" w:sz="8" w:color="auto"/>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Operations for Occidental Petroleum Corporation</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2040" w:type="dxa"/>
            <w:vAlign w:val="bottom"/>
            <w:tcBorders>
              <w:left w:val="single" w:sz="8" w:color="auto"/>
              <w:right w:val="single" w:sz="8" w:color="auto"/>
            </w:tcBorders>
          </w:tcPr>
          <w:p>
            <w:pPr>
              <w:spacing w:after="0"/>
              <w:rPr>
                <w:sz w:val="7"/>
                <w:szCs w:val="7"/>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from 2012 until 2015. From 1996 until 2012, he</w:t>
            </w:r>
          </w:p>
        </w:tc>
        <w:tc>
          <w:tcPr>
            <w:tcW w:w="200" w:type="dxa"/>
            <w:vAlign w:val="bottom"/>
            <w:gridSpan w:val="2"/>
            <w:vMerge w:val="continue"/>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tcPr>
          <w:p>
            <w:pPr>
              <w:spacing w:after="0"/>
              <w:rPr>
                <w:sz w:val="9"/>
                <w:szCs w:val="9"/>
                <w:color w:val="auto"/>
              </w:rPr>
            </w:pPr>
          </w:p>
        </w:tc>
        <w:tc>
          <w:tcPr>
            <w:tcW w:w="402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tcPr>
          <w:p>
            <w:pPr>
              <w:spacing w:after="0"/>
              <w:rPr>
                <w:sz w:val="7"/>
                <w:szCs w:val="7"/>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in various positions at ConocoPhillips,</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40" w:type="dxa"/>
            <w:vAlign w:val="bottom"/>
            <w:tcBorders>
              <w:left w:val="single" w:sz="8" w:color="auto"/>
              <w:right w:val="single" w:sz="8" w:color="auto"/>
            </w:tcBorders>
          </w:tcPr>
          <w:p>
            <w:pPr>
              <w:spacing w:after="0"/>
              <w:rPr>
                <w:sz w:val="8"/>
                <w:szCs w:val="8"/>
                <w:color w:val="auto"/>
              </w:rPr>
            </w:pPr>
          </w:p>
        </w:tc>
        <w:tc>
          <w:tcPr>
            <w:tcW w:w="402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including most recently as Senior Vice President —</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Refining, Marketing, Transportation and Commercial.</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27"/>
        </w:trPr>
        <w:tc>
          <w:tcPr>
            <w:tcW w:w="2040" w:type="dxa"/>
            <w:vAlign w:val="bottom"/>
            <w:tcBorders>
              <w:left w:val="single" w:sz="8" w:color="auto"/>
              <w:right w:val="single" w:sz="8" w:color="auto"/>
            </w:tcBorders>
          </w:tcPr>
          <w:p>
            <w:pPr>
              <w:spacing w:after="0"/>
              <w:rPr>
                <w:sz w:val="11"/>
                <w:szCs w:val="11"/>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He serves on the board of the Society for the</w:t>
            </w:r>
          </w:p>
        </w:tc>
        <w:tc>
          <w:tcPr>
            <w:tcW w:w="200" w:type="dxa"/>
            <w:vAlign w:val="bottom"/>
            <w:gridSpan w:val="2"/>
            <w:vMerge w:val="continue"/>
          </w:tcPr>
          <w:p>
            <w:pPr>
              <w:spacing w:after="0"/>
              <w:rPr>
                <w:sz w:val="11"/>
                <w:szCs w:val="11"/>
                <w:color w:val="auto"/>
              </w:rPr>
            </w:pPr>
          </w:p>
        </w:tc>
        <w:tc>
          <w:tcPr>
            <w:tcW w:w="19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40" w:type="dxa"/>
            <w:vAlign w:val="bottom"/>
            <w:tcBorders>
              <w:left w:val="single" w:sz="8" w:color="auto"/>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Performing Arts and as chair of the finance</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60"/>
        </w:trPr>
        <w:tc>
          <w:tcPr>
            <w:tcW w:w="2040" w:type="dxa"/>
            <w:vAlign w:val="bottom"/>
            <w:tcBorders>
              <w:left w:val="single" w:sz="8" w:color="auto"/>
              <w:right w:val="single" w:sz="8" w:color="auto"/>
            </w:tcBorders>
          </w:tcPr>
          <w:p>
            <w:pPr>
              <w:spacing w:after="0"/>
              <w:rPr>
                <w:sz w:val="5"/>
                <w:szCs w:val="5"/>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committee and as incoming chair for the United Way</w:t>
            </w:r>
          </w:p>
        </w:tc>
        <w:tc>
          <w:tcPr>
            <w:tcW w:w="200" w:type="dxa"/>
            <w:vAlign w:val="bottom"/>
            <w:gridSpan w:val="2"/>
            <w:vMerge w:val="continue"/>
          </w:tcPr>
          <w:p>
            <w:pPr>
              <w:spacing w:after="0"/>
              <w:rPr>
                <w:sz w:val="5"/>
                <w:szCs w:val="5"/>
                <w:color w:val="auto"/>
              </w:rPr>
            </w:pPr>
          </w:p>
        </w:tc>
        <w:tc>
          <w:tcPr>
            <w:tcW w:w="19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40" w:type="dxa"/>
            <w:vAlign w:val="bottom"/>
            <w:tcBorders>
              <w:left w:val="single" w:sz="8" w:color="auto"/>
              <w:right w:val="single" w:sz="8" w:color="auto"/>
            </w:tcBorders>
          </w:tcPr>
          <w:p>
            <w:pPr>
              <w:spacing w:after="0"/>
              <w:rPr>
                <w:sz w:val="11"/>
                <w:szCs w:val="11"/>
                <w:color w:val="auto"/>
              </w:rPr>
            </w:pPr>
          </w:p>
        </w:tc>
        <w:tc>
          <w:tcPr>
            <w:tcW w:w="402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Greater Houston. He received a BS in Mechanical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Engineering from South Dakota School of Mines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Technology and completed the Advanced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Management Program at the University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Pennsylvania. Mr. Chiang’s role as CEO and his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broad experience in the energy industry, together with</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his leadership capabilities and strategic focus, make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40" w:type="dxa"/>
            <w:vAlign w:val="bottom"/>
            <w:tcBorders>
              <w:left w:val="single" w:sz="8" w:color="auto"/>
              <w:bottom w:val="single" w:sz="8" w:color="auto"/>
              <w:right w:val="single" w:sz="8" w:color="auto"/>
            </w:tcBorders>
          </w:tcPr>
          <w:p>
            <w:pPr>
              <w:spacing w:after="0"/>
              <w:rPr>
                <w:sz w:val="18"/>
                <w:szCs w:val="18"/>
                <w:color w:val="auto"/>
              </w:rPr>
            </w:pPr>
          </w:p>
        </w:tc>
        <w:tc>
          <w:tcPr>
            <w:tcW w:w="4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him highly qualified to serve on the Board.</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20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ALEXANDRA D.</w:t>
            </w:r>
          </w:p>
        </w:tc>
        <w:tc>
          <w:tcPr>
            <w:tcW w:w="4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Alexandra D. Pruner, age 60, </w:t>
            </w:r>
            <w:r>
              <w:rPr>
                <w:rFonts w:ascii="Arial" w:cs="Arial" w:eastAsia="Arial" w:hAnsi="Arial"/>
                <w:sz w:val="16"/>
                <w:szCs w:val="16"/>
                <w:color w:val="auto"/>
              </w:rPr>
              <w:t>has served as a</w:t>
            </w:r>
          </w:p>
        </w:tc>
        <w:tc>
          <w:tcPr>
            <w:tcW w:w="216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1500" w:type="dxa"/>
            <w:vAlign w:val="bottom"/>
            <w:tcBorders>
              <w:right w:val="single" w:sz="8" w:color="auto"/>
            </w:tcBorders>
            <w:gridSpan w:val="2"/>
            <w:vMerge w:val="restart"/>
          </w:tcPr>
          <w:p>
            <w:pPr>
              <w:jc w:val="center"/>
              <w:ind w:right="459"/>
              <w:spacing w:after="0"/>
              <w:rPr>
                <w:sz w:val="20"/>
                <w:szCs w:val="20"/>
                <w:color w:val="auto"/>
              </w:rPr>
            </w:pPr>
            <w:r>
              <w:rPr>
                <w:rFonts w:ascii="Arial" w:cs="Arial" w:eastAsia="Arial" w:hAnsi="Arial"/>
                <w:sz w:val="16"/>
                <w:szCs w:val="16"/>
                <w:b w:val="1"/>
                <w:bCs w:val="1"/>
                <w:color w:val="auto"/>
              </w:rPr>
              <w:t>PRUNER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PAGP GP since December 2018.</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vMerge w:val="continue"/>
          </w:tcPr>
          <w:p>
            <w:pPr>
              <w:spacing w:after="0"/>
              <w:rPr>
                <w:sz w:val="18"/>
                <w:szCs w:val="18"/>
                <w:color w:val="auto"/>
              </w:rPr>
            </w:pPr>
          </w:p>
        </w:tc>
        <w:tc>
          <w:tcPr>
            <w:tcW w:w="4020" w:type="dxa"/>
            <w:vAlign w:val="bottom"/>
            <w:tcBorders>
              <w:right w:val="single" w:sz="8" w:color="auto"/>
            </w:tcBorders>
            <w:vMerge w:val="continue"/>
          </w:tcPr>
          <w:p>
            <w:pPr>
              <w:spacing w:after="0"/>
              <w:rPr>
                <w:sz w:val="18"/>
                <w:szCs w:val="18"/>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restart"/>
          </w:tcPr>
          <w:p>
            <w:pPr>
              <w:jc w:val="center"/>
              <w:ind w:right="459"/>
              <w:spacing w:after="0"/>
              <w:rPr>
                <w:sz w:val="20"/>
                <w:szCs w:val="20"/>
                <w:color w:val="auto"/>
              </w:rPr>
            </w:pPr>
            <w:r>
              <w:rPr>
                <w:rFonts w:ascii="Arial" w:cs="Arial" w:eastAsia="Arial" w:hAnsi="Arial"/>
                <w:sz w:val="16"/>
                <w:szCs w:val="16"/>
                <w:b w:val="1"/>
                <w:bCs w:val="1"/>
                <w:color w:val="auto"/>
              </w:rPr>
              <w:t>Independent</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Ms. Pruner has served as a Senior Advisor of Perella</w:t>
            </w:r>
          </w:p>
        </w:tc>
        <w:tc>
          <w:tcPr>
            <w:tcW w:w="200" w:type="dxa"/>
            <w:vAlign w:val="bottom"/>
            <w:gridSpan w:val="2"/>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0" w:type="dxa"/>
            <w:vAlign w:val="bottom"/>
            <w:tcBorders>
              <w:left w:val="single" w:sz="8" w:color="auto"/>
            </w:tcBorders>
          </w:tcPr>
          <w:p>
            <w:pPr>
              <w:spacing w:after="0"/>
              <w:rPr>
                <w:sz w:val="7"/>
                <w:szCs w:val="7"/>
                <w:color w:val="auto"/>
              </w:rPr>
            </w:pPr>
          </w:p>
        </w:tc>
        <w:tc>
          <w:tcPr>
            <w:tcW w:w="1500" w:type="dxa"/>
            <w:vAlign w:val="bottom"/>
            <w:tcBorders>
              <w:right w:val="single" w:sz="8" w:color="auto"/>
            </w:tcBorders>
            <w:gridSpan w:val="2"/>
            <w:vMerge w:val="continue"/>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14"/>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Weinberg Partners (“PWP”), a global independent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54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402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advisory firm providing strategic and financial advice</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tcPr>
          <w:p>
            <w:pPr>
              <w:jc w:val="center"/>
              <w:ind w:right="439"/>
              <w:spacing w:after="0"/>
              <w:rPr>
                <w:sz w:val="20"/>
                <w:szCs w:val="20"/>
                <w:color w:val="auto"/>
              </w:rPr>
            </w:pPr>
            <w:r>
              <w:rPr>
                <w:rFonts w:ascii="Arial" w:cs="Arial" w:eastAsia="Arial" w:hAnsi="Arial"/>
                <w:sz w:val="16"/>
                <w:szCs w:val="16"/>
                <w:b w:val="1"/>
                <w:bCs w:val="1"/>
                <w:i w:val="1"/>
                <w:iCs w:val="1"/>
                <w:color w:val="auto"/>
              </w:rPr>
              <w:t>since 2018</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asset-management services, and its energy</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8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b w:val="1"/>
                <w:bCs w:val="1"/>
                <w:color w:val="auto"/>
                <w:w w:val="74"/>
              </w:rPr>
              <w:t>:</w:t>
            </w: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division, Tudor, Pickering, Holt &amp; Co., since</w:t>
            </w:r>
          </w:p>
        </w:tc>
        <w:tc>
          <w:tcPr>
            <w:tcW w:w="200" w:type="dxa"/>
            <w:vAlign w:val="bottom"/>
            <w:gridSpan w:val="2"/>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540" w:type="dxa"/>
            <w:vAlign w:val="bottom"/>
            <w:tcBorders>
              <w:left w:val="single" w:sz="8" w:color="auto"/>
            </w:tcBorders>
            <w:vMerge w:val="restart"/>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December 2018. She previously served as Partner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3"/>
        </w:trPr>
        <w:tc>
          <w:tcPr>
            <w:tcW w:w="540" w:type="dxa"/>
            <w:vAlign w:val="bottom"/>
            <w:tcBorders>
              <w:lef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vMerge w:val="restart"/>
          </w:tcPr>
          <w:p>
            <w:pPr>
              <w:jc w:val="center"/>
              <w:ind w:right="439"/>
              <w:spacing w:after="0"/>
              <w:rPr>
                <w:sz w:val="20"/>
                <w:szCs w:val="20"/>
                <w:color w:val="auto"/>
              </w:rPr>
            </w:pPr>
            <w:r>
              <w:rPr>
                <w:rFonts w:ascii="Arial" w:cs="Arial" w:eastAsia="Arial" w:hAnsi="Arial"/>
                <w:sz w:val="16"/>
                <w:szCs w:val="16"/>
                <w:color w:val="auto"/>
              </w:rPr>
              <w:t>Audit</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Chief Financial Officer of PWP from</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0"/>
        </w:trPr>
        <w:tc>
          <w:tcPr>
            <w:tcW w:w="540" w:type="dxa"/>
            <w:vAlign w:val="bottom"/>
            <w:tcBorders>
              <w:left w:val="single" w:sz="8" w:color="auto"/>
            </w:tcBorders>
          </w:tcPr>
          <w:p>
            <w:pPr>
              <w:spacing w:after="0"/>
              <w:rPr>
                <w:sz w:val="5"/>
                <w:szCs w:val="5"/>
                <w:color w:val="auto"/>
              </w:rPr>
            </w:pPr>
          </w:p>
        </w:tc>
        <w:tc>
          <w:tcPr>
            <w:tcW w:w="1500" w:type="dxa"/>
            <w:vAlign w:val="bottom"/>
            <w:tcBorders>
              <w:right w:val="single" w:sz="8" w:color="auto"/>
            </w:tcBorders>
            <w:gridSpan w:val="2"/>
            <w:vMerge w:val="continue"/>
          </w:tcPr>
          <w:p>
            <w:pPr>
              <w:spacing w:after="0"/>
              <w:rPr>
                <w:sz w:val="5"/>
                <w:szCs w:val="5"/>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December 2016 through November 2018. She</w:t>
            </w:r>
          </w:p>
        </w:tc>
        <w:tc>
          <w:tcPr>
            <w:tcW w:w="200" w:type="dxa"/>
            <w:vAlign w:val="bottom"/>
            <w:gridSpan w:val="2"/>
            <w:vMerge w:val="continue"/>
          </w:tcPr>
          <w:p>
            <w:pPr>
              <w:spacing w:after="0"/>
              <w:rPr>
                <w:sz w:val="5"/>
                <w:szCs w:val="5"/>
                <w:color w:val="auto"/>
              </w:rPr>
            </w:pPr>
          </w:p>
        </w:tc>
        <w:tc>
          <w:tcPr>
            <w:tcW w:w="19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9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1500" w:type="dxa"/>
            <w:vAlign w:val="bottom"/>
            <w:tcBorders>
              <w:right w:val="single" w:sz="8" w:color="auto"/>
            </w:tcBorders>
            <w:gridSpan w:val="2"/>
            <w:vMerge w:val="restart"/>
          </w:tcPr>
          <w:p>
            <w:pPr>
              <w:jc w:val="center"/>
              <w:ind w:right="459"/>
              <w:spacing w:after="0"/>
              <w:rPr>
                <w:sz w:val="20"/>
                <w:szCs w:val="20"/>
                <w:color w:val="auto"/>
              </w:rPr>
            </w:pPr>
            <w:r>
              <w:rPr>
                <w:rFonts w:ascii="Arial" w:cs="Arial" w:eastAsia="Arial" w:hAnsi="Arial"/>
                <w:sz w:val="16"/>
                <w:szCs w:val="16"/>
                <w:color w:val="auto"/>
              </w:rPr>
              <w:t>Governance</w:t>
            </w: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vMerge w:val="continue"/>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CFO and a member of the Management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Committee at Tudor, Pickering, Holt &amp; Co. from the</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73"/>
        </w:trPr>
        <w:tc>
          <w:tcPr>
            <w:tcW w:w="54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firm’s founding in 2007 until its combination with PWP</w:t>
            </w:r>
          </w:p>
        </w:tc>
        <w:tc>
          <w:tcPr>
            <w:tcW w:w="200" w:type="dxa"/>
            <w:vAlign w:val="bottom"/>
            <w:gridSpan w:val="2"/>
            <w:vMerge w:val="continue"/>
          </w:tcPr>
          <w:p>
            <w:pPr>
              <w:spacing w:after="0"/>
              <w:rPr>
                <w:sz w:val="6"/>
                <w:szCs w:val="6"/>
                <w:color w:val="auto"/>
              </w:rPr>
            </w:pPr>
          </w:p>
        </w:tc>
        <w:tc>
          <w:tcPr>
            <w:tcW w:w="19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54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 2016. Ms. Pruner served as a director and member</w:t>
            </w:r>
          </w:p>
        </w:tc>
        <w:tc>
          <w:tcPr>
            <w:tcW w:w="200" w:type="dxa"/>
            <w:vAlign w:val="bottom"/>
            <w:gridSpan w:val="2"/>
            <w:vMerge w:val="continue"/>
          </w:tcPr>
          <w:p>
            <w:pPr>
              <w:spacing w:after="0"/>
              <w:rPr>
                <w:sz w:val="16"/>
                <w:szCs w:val="16"/>
                <w:color w:val="auto"/>
              </w:rPr>
            </w:pPr>
          </w:p>
        </w:tc>
        <w:tc>
          <w:tcPr>
            <w:tcW w:w="19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the audit committee of Anadarko Petroleum</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00"/>
        </w:trPr>
        <w:tc>
          <w:tcPr>
            <w:tcW w:w="5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Corporation from December 2018 until August 2019.</w:t>
            </w:r>
          </w:p>
        </w:tc>
        <w:tc>
          <w:tcPr>
            <w:tcW w:w="200" w:type="dxa"/>
            <w:vAlign w:val="bottom"/>
            <w:gridSpan w:val="2"/>
            <w:vMerge w:val="continue"/>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She has also served as a director of NRG Energy,</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Cybersecurity/IT</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 since October 2019, as chairman of the board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Malta Inc. since April 2022, and as a director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Encino Acquisition Partners, LLC since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November 2019 and as chairman of the board since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December 2021. She is the founder and a board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member of Women’s Global Leadership Conference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 Energy &amp; Technology, is an Emeritus Director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Amegy Bank Development Board, and is Chair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Brown University’s President’s Advisory Council 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Economics Department. She also serves on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of the Houston Zoo and the Texas Medical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Center, among other volunteer efforts. Ms. Pruner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holds a BA in Economics from Brown University.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has determined that Ms. Pruner 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under applicable Nasdaq and SEC</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rules and qualifies as an “Audit Committee Financial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Expert.” Ms. Pruner’s extensive experience in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industry from a variety of perspectives, along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her strong finance and investment banking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background, make her uniquely qualified to serve 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Board.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40" w:type="dxa"/>
            <w:vAlign w:val="bottom"/>
            <w:tcBorders>
              <w:left w:val="single" w:sz="8" w:color="auto"/>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40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LAWRENCE M.</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Lawrence M. Ziemba, age 66, </w:t>
            </w:r>
            <w:r>
              <w:rPr>
                <w:rFonts w:ascii="Arial" w:cs="Arial" w:eastAsia="Arial" w:hAnsi="Arial"/>
                <w:sz w:val="16"/>
                <w:szCs w:val="16"/>
                <w:color w:val="auto"/>
              </w:rPr>
              <w:t>has served as a</w:t>
            </w:r>
          </w:p>
        </w:tc>
        <w:tc>
          <w:tcPr>
            <w:tcW w:w="2160" w:type="dxa"/>
            <w:vAlign w:val="bottom"/>
            <w:tcBorders>
              <w:right w:val="single" w:sz="8" w:color="auto"/>
            </w:tcBorders>
            <w:gridSpan w:val="4"/>
          </w:tcPr>
          <w:p>
            <w:pPr>
              <w:ind w:left="100"/>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1500" w:type="dxa"/>
            <w:vAlign w:val="bottom"/>
            <w:tcBorders>
              <w:right w:val="single" w:sz="8" w:color="auto"/>
            </w:tcBorders>
            <w:gridSpan w:val="2"/>
            <w:vMerge w:val="restart"/>
          </w:tcPr>
          <w:p>
            <w:pPr>
              <w:jc w:val="center"/>
              <w:ind w:right="439"/>
              <w:spacing w:after="0"/>
              <w:rPr>
                <w:sz w:val="20"/>
                <w:szCs w:val="20"/>
                <w:color w:val="auto"/>
              </w:rPr>
            </w:pPr>
            <w:r>
              <w:rPr>
                <w:rFonts w:ascii="Arial" w:cs="Arial" w:eastAsia="Arial" w:hAnsi="Arial"/>
                <w:sz w:val="16"/>
                <w:szCs w:val="16"/>
                <w:b w:val="1"/>
                <w:bCs w:val="1"/>
                <w:color w:val="auto"/>
              </w:rPr>
              <w:t>ZIEMBA</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PAGP GP since January 2020. Mr. Ziemba</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vMerge w:val="continue"/>
          </w:tcPr>
          <w:p>
            <w:pPr>
              <w:spacing w:after="0"/>
              <w:rPr>
                <w:sz w:val="18"/>
                <w:szCs w:val="18"/>
                <w:color w:val="auto"/>
              </w:rPr>
            </w:pPr>
          </w:p>
        </w:tc>
        <w:tc>
          <w:tcPr>
            <w:tcW w:w="4020" w:type="dxa"/>
            <w:vAlign w:val="bottom"/>
            <w:tcBorders>
              <w:right w:val="single" w:sz="8" w:color="auto"/>
            </w:tcBorders>
            <w:vMerge w:val="continue"/>
          </w:tcPr>
          <w:p>
            <w:pPr>
              <w:spacing w:after="0"/>
              <w:rPr>
                <w:sz w:val="18"/>
                <w:szCs w:val="18"/>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restart"/>
          </w:tcPr>
          <w:p>
            <w:pPr>
              <w:jc w:val="center"/>
              <w:ind w:right="459"/>
              <w:spacing w:after="0"/>
              <w:rPr>
                <w:sz w:val="20"/>
                <w:szCs w:val="20"/>
                <w:color w:val="auto"/>
              </w:rPr>
            </w:pPr>
            <w:r>
              <w:rPr>
                <w:rFonts w:ascii="Arial" w:cs="Arial" w:eastAsia="Arial" w:hAnsi="Arial"/>
                <w:sz w:val="16"/>
                <w:szCs w:val="16"/>
                <w:b w:val="1"/>
                <w:bCs w:val="1"/>
                <w:color w:val="auto"/>
              </w:rPr>
              <w:t>Independent</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Executive Vice President, Refining, and a</w:t>
            </w:r>
          </w:p>
        </w:tc>
        <w:tc>
          <w:tcPr>
            <w:tcW w:w="200" w:type="dxa"/>
            <w:vAlign w:val="bottom"/>
            <w:gridSpan w:val="2"/>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0" w:type="dxa"/>
            <w:vAlign w:val="bottom"/>
            <w:tcBorders>
              <w:left w:val="single" w:sz="8" w:color="auto"/>
            </w:tcBorders>
          </w:tcPr>
          <w:p>
            <w:pPr>
              <w:spacing w:after="0"/>
              <w:rPr>
                <w:sz w:val="7"/>
                <w:szCs w:val="7"/>
                <w:color w:val="auto"/>
              </w:rPr>
            </w:pPr>
          </w:p>
        </w:tc>
        <w:tc>
          <w:tcPr>
            <w:tcW w:w="1500" w:type="dxa"/>
            <w:vAlign w:val="bottom"/>
            <w:tcBorders>
              <w:right w:val="single" w:sz="8" w:color="auto"/>
            </w:tcBorders>
            <w:gridSpan w:val="2"/>
            <w:vMerge w:val="continue"/>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14"/>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member of the executive committee of Phillips 66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54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402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May 2012 until his retirement in</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tcPr>
          <w:p>
            <w:pPr>
              <w:jc w:val="center"/>
              <w:ind w:right="439"/>
              <w:spacing w:after="0"/>
              <w:rPr>
                <w:sz w:val="20"/>
                <w:szCs w:val="20"/>
                <w:color w:val="auto"/>
              </w:rPr>
            </w:pPr>
            <w:r>
              <w:rPr>
                <w:rFonts w:ascii="Arial" w:cs="Arial" w:eastAsia="Arial" w:hAnsi="Arial"/>
                <w:sz w:val="16"/>
                <w:szCs w:val="16"/>
                <w:b w:val="1"/>
                <w:bCs w:val="1"/>
                <w:i w:val="1"/>
                <w:iCs w:val="1"/>
                <w:color w:val="auto"/>
              </w:rPr>
              <w:t>since 2020</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December 2017. From 2001 to May 2012, he served</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8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b w:val="1"/>
                <w:bCs w:val="1"/>
                <w:color w:val="auto"/>
                <w:w w:val="74"/>
              </w:rPr>
              <w:t>:</w:t>
            </w: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 various downstream positions with ConocoPhillips,</w:t>
            </w:r>
          </w:p>
        </w:tc>
        <w:tc>
          <w:tcPr>
            <w:tcW w:w="200" w:type="dxa"/>
            <w:vAlign w:val="bottom"/>
            <w:gridSpan w:val="2"/>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540" w:type="dxa"/>
            <w:vAlign w:val="bottom"/>
            <w:tcBorders>
              <w:left w:val="single" w:sz="8" w:color="auto"/>
            </w:tcBorders>
            <w:vMerge w:val="restart"/>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including most recently as President, Global Refining,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3"/>
        </w:trPr>
        <w:tc>
          <w:tcPr>
            <w:tcW w:w="540" w:type="dxa"/>
            <w:vAlign w:val="bottom"/>
            <w:tcBorders>
              <w:lef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vMerge w:val="restart"/>
          </w:tcPr>
          <w:p>
            <w:pPr>
              <w:jc w:val="center"/>
              <w:ind w:right="439"/>
              <w:spacing w:after="0"/>
              <w:rPr>
                <w:sz w:val="20"/>
                <w:szCs w:val="20"/>
                <w:color w:val="auto"/>
              </w:rPr>
            </w:pPr>
            <w:r>
              <w:rPr>
                <w:rFonts w:ascii="Arial" w:cs="Arial" w:eastAsia="Arial" w:hAnsi="Arial"/>
                <w:sz w:val="16"/>
                <w:szCs w:val="16"/>
                <w:color w:val="auto"/>
              </w:rPr>
              <w:t>Audit</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as a member of the executive committee. He</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0"/>
        </w:trPr>
        <w:tc>
          <w:tcPr>
            <w:tcW w:w="540" w:type="dxa"/>
            <w:vAlign w:val="bottom"/>
            <w:tcBorders>
              <w:left w:val="single" w:sz="8" w:color="auto"/>
            </w:tcBorders>
          </w:tcPr>
          <w:p>
            <w:pPr>
              <w:spacing w:after="0"/>
              <w:rPr>
                <w:sz w:val="5"/>
                <w:szCs w:val="5"/>
                <w:color w:val="auto"/>
              </w:rPr>
            </w:pPr>
          </w:p>
        </w:tc>
        <w:tc>
          <w:tcPr>
            <w:tcW w:w="1500" w:type="dxa"/>
            <w:vAlign w:val="bottom"/>
            <w:tcBorders>
              <w:right w:val="single" w:sz="8" w:color="auto"/>
            </w:tcBorders>
            <w:gridSpan w:val="2"/>
            <w:vMerge w:val="continue"/>
          </w:tcPr>
          <w:p>
            <w:pPr>
              <w:spacing w:after="0"/>
              <w:rPr>
                <w:sz w:val="5"/>
                <w:szCs w:val="5"/>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also held various positions of increasing responsibility</w:t>
            </w:r>
          </w:p>
        </w:tc>
        <w:tc>
          <w:tcPr>
            <w:tcW w:w="200" w:type="dxa"/>
            <w:vAlign w:val="bottom"/>
            <w:gridSpan w:val="2"/>
            <w:vMerge w:val="continue"/>
          </w:tcPr>
          <w:p>
            <w:pPr>
              <w:spacing w:after="0"/>
              <w:rPr>
                <w:sz w:val="5"/>
                <w:szCs w:val="5"/>
                <w:color w:val="auto"/>
              </w:rPr>
            </w:pPr>
          </w:p>
        </w:tc>
        <w:tc>
          <w:tcPr>
            <w:tcW w:w="19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9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1500" w:type="dxa"/>
            <w:vAlign w:val="bottom"/>
            <w:tcBorders>
              <w:right w:val="single" w:sz="8" w:color="auto"/>
            </w:tcBorders>
            <w:gridSpan w:val="2"/>
            <w:vMerge w:val="restart"/>
          </w:tcPr>
          <w:p>
            <w:pPr>
              <w:jc w:val="center"/>
              <w:ind w:right="439"/>
              <w:spacing w:after="0"/>
              <w:rPr>
                <w:sz w:val="20"/>
                <w:szCs w:val="20"/>
                <w:color w:val="auto"/>
              </w:rPr>
            </w:pPr>
            <w:r>
              <w:rPr>
                <w:rFonts w:ascii="Arial" w:cs="Arial" w:eastAsia="Arial" w:hAnsi="Arial"/>
                <w:sz w:val="16"/>
                <w:szCs w:val="16"/>
                <w:color w:val="auto"/>
              </w:rPr>
              <w:t>HSES (chair)</w:t>
            </w: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vMerge w:val="continue"/>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Tosco/Unocal from 1977 to 2001. He has held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number of industry leadership positions, including</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with API and AFPM. He currently serves on the board</w:t>
            </w:r>
          </w:p>
        </w:tc>
        <w:tc>
          <w:tcPr>
            <w:tcW w:w="200" w:type="dxa"/>
            <w:vAlign w:val="bottom"/>
            <w:gridSpan w:val="2"/>
            <w:vMerge w:val="continue"/>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02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87"/>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directors of PBF Logistics GP LLC. He also serves</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on the board of trustees of Duchesne Academy in</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Houston, where he chairs the finance committee.</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27"/>
        </w:trPr>
        <w:tc>
          <w:tcPr>
            <w:tcW w:w="54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Ziemba received a BS in mechanical engineering</w:t>
            </w:r>
          </w:p>
        </w:tc>
        <w:tc>
          <w:tcPr>
            <w:tcW w:w="200" w:type="dxa"/>
            <w:vAlign w:val="bottom"/>
            <w:gridSpan w:val="2"/>
            <w:vMerge w:val="continue"/>
          </w:tcPr>
          <w:p>
            <w:pPr>
              <w:spacing w:after="0"/>
              <w:rPr>
                <w:sz w:val="11"/>
                <w:szCs w:val="11"/>
                <w:color w:val="auto"/>
              </w:rPr>
            </w:pPr>
          </w:p>
        </w:tc>
        <w:tc>
          <w:tcPr>
            <w:tcW w:w="19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the University of Illinois — Champaign and an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MBA from the University of Chicago. The Board has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determined that Mr. Ziemba is “independent” under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applicable Nasdaq and SEC rules. We believe that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40" w:type="dxa"/>
            <w:vAlign w:val="bottom"/>
            <w:tcBorders>
              <w:left w:val="single" w:sz="8" w:color="auto"/>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40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7029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operations, technical and project management</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expertise, coupled with his business sense and</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understanding of strategic positioning in the energy</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space, adds a diverse operating and downstream</w:t>
      </w:r>
    </w:p>
    <w:p>
      <w:pPr>
        <w:spacing w:after="0" w:line="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perspective to the Board.</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III Directors (terms expire in 2024):</w:t>
      </w:r>
    </w:p>
    <w:p>
      <w:pPr>
        <w:spacing w:after="0" w:line="179"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20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GREG L. ARMSTRONG</w:t>
            </w:r>
          </w:p>
        </w:tc>
        <w:tc>
          <w:tcPr>
            <w:tcW w:w="4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Greg L. Armstrong, age 63, </w:t>
            </w:r>
            <w:r>
              <w:rPr>
                <w:rFonts w:ascii="Arial" w:cs="Arial" w:eastAsia="Arial" w:hAnsi="Arial"/>
                <w:sz w:val="16"/>
                <w:szCs w:val="16"/>
                <w:color w:val="auto"/>
              </w:rPr>
              <w:t>has served as a director</w:t>
            </w:r>
          </w:p>
        </w:tc>
        <w:tc>
          <w:tcPr>
            <w:tcW w:w="216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99"/>
              </w:rPr>
              <w:t>Not Independent</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PAGP GP since 2013. He has also served as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40" w:type="dxa"/>
            <w:vAlign w:val="bottom"/>
            <w:tcBorders>
              <w:left w:val="single" w:sz="8" w:color="auto"/>
              <w:right w:val="single" w:sz="8" w:color="auto"/>
            </w:tcBorders>
            <w:gridSpan w:val="3"/>
            <w:vMerge w:val="continue"/>
          </w:tcPr>
          <w:p>
            <w:pPr>
              <w:spacing w:after="0"/>
              <w:rPr>
                <w:sz w:val="18"/>
                <w:szCs w:val="18"/>
                <w:color w:val="auto"/>
              </w:rPr>
            </w:pPr>
          </w:p>
        </w:tc>
        <w:tc>
          <w:tcPr>
            <w:tcW w:w="4020" w:type="dxa"/>
            <w:vAlign w:val="bottom"/>
            <w:tcBorders>
              <w:right w:val="single" w:sz="8" w:color="auto"/>
            </w:tcBorders>
            <w:vMerge w:val="continue"/>
          </w:tcPr>
          <w:p>
            <w:pPr>
              <w:spacing w:after="0"/>
              <w:rPr>
                <w:sz w:val="18"/>
                <w:szCs w:val="18"/>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3"/>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Senior Advisor to the CEO since January 1, 2020.</w:t>
            </w:r>
          </w:p>
        </w:tc>
        <w:tc>
          <w:tcPr>
            <w:tcW w:w="200" w:type="dxa"/>
            <w:vAlign w:val="bottom"/>
            <w:gridSpan w:val="2"/>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0" w:type="dxa"/>
            <w:vAlign w:val="bottom"/>
            <w:tcBorders>
              <w:lef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14"/>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Armstrong served as Chairman of the Board 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gridSpan w:val="3"/>
            <w:vMerge w:val="continue"/>
          </w:tcPr>
          <w:p>
            <w:pPr>
              <w:spacing w:after="0"/>
              <w:rPr>
                <w:sz w:val="6"/>
                <w:szCs w:val="6"/>
                <w:color w:val="auto"/>
              </w:rPr>
            </w:pPr>
          </w:p>
        </w:tc>
        <w:tc>
          <w:tcPr>
            <w:tcW w:w="402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54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6"/>
                <w:szCs w:val="16"/>
                <w:b w:val="1"/>
                <w:bCs w:val="1"/>
                <w:i w:val="1"/>
                <w:iCs w:val="1"/>
                <w:color w:val="auto"/>
              </w:rPr>
              <w:t>since 1998</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from July 2013 through December 31,</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Former Chairman and</w:t>
            </w:r>
          </w:p>
        </w:tc>
        <w:tc>
          <w:tcPr>
            <w:tcW w:w="402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2019 and as Chief Executive Officer of PAGP GP</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15"/>
        </w:trPr>
        <w:tc>
          <w:tcPr>
            <w:tcW w:w="2040" w:type="dxa"/>
            <w:vAlign w:val="bottom"/>
            <w:tcBorders>
              <w:left w:val="single" w:sz="8" w:color="auto"/>
              <w:right w:val="single" w:sz="8" w:color="auto"/>
            </w:tcBorders>
            <w:gridSpan w:val="3"/>
            <w:vMerge w:val="continue"/>
          </w:tcPr>
          <w:p>
            <w:pPr>
              <w:spacing w:after="0"/>
              <w:rPr>
                <w:sz w:val="10"/>
                <w:szCs w:val="10"/>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from July 2013 until his retirement from such position</w:t>
            </w:r>
          </w:p>
        </w:tc>
        <w:tc>
          <w:tcPr>
            <w:tcW w:w="200" w:type="dxa"/>
            <w:vAlign w:val="bottom"/>
            <w:gridSpan w:val="2"/>
            <w:vMerge w:val="continue"/>
          </w:tcPr>
          <w:p>
            <w:pPr>
              <w:spacing w:after="0"/>
              <w:rPr>
                <w:sz w:val="10"/>
                <w:szCs w:val="10"/>
                <w:color w:val="auto"/>
              </w:rPr>
            </w:pPr>
          </w:p>
        </w:tc>
        <w:tc>
          <w:tcPr>
            <w:tcW w:w="19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540" w:type="dxa"/>
            <w:vAlign w:val="bottom"/>
            <w:tcBorders>
              <w:left w:val="single" w:sz="8" w:color="auto"/>
            </w:tcBorders>
          </w:tcPr>
          <w:p>
            <w:pPr>
              <w:spacing w:after="0"/>
              <w:rPr>
                <w:sz w:val="5"/>
                <w:szCs w:val="5"/>
                <w:color w:val="auto"/>
              </w:rPr>
            </w:pPr>
          </w:p>
        </w:tc>
        <w:tc>
          <w:tcPr>
            <w:tcW w:w="1500" w:type="dxa"/>
            <w:vAlign w:val="bottom"/>
            <w:tcBorders>
              <w:right w:val="single" w:sz="8" w:color="auto"/>
            </w:tcBorders>
            <w:gridSpan w:val="2"/>
            <w:vMerge w:val="restart"/>
          </w:tcPr>
          <w:p>
            <w:pPr>
              <w:jc w:val="center"/>
              <w:ind w:right="520"/>
              <w:spacing w:after="0"/>
              <w:rPr>
                <w:sz w:val="20"/>
                <w:szCs w:val="20"/>
                <w:color w:val="auto"/>
              </w:rPr>
            </w:pPr>
            <w:r>
              <w:rPr>
                <w:rFonts w:ascii="Arial" w:cs="Arial" w:eastAsia="Arial" w:hAnsi="Arial"/>
                <w:sz w:val="16"/>
                <w:szCs w:val="16"/>
                <w:b w:val="1"/>
                <w:bCs w:val="1"/>
                <w:i w:val="1"/>
                <w:iCs w:val="1"/>
                <w:color w:val="auto"/>
                <w:w w:val="97"/>
              </w:rPr>
              <w:t>CEO</w:t>
            </w:r>
          </w:p>
        </w:tc>
        <w:tc>
          <w:tcPr>
            <w:tcW w:w="4020" w:type="dxa"/>
            <w:vAlign w:val="bottom"/>
            <w:tcBorders>
              <w:right w:val="single" w:sz="8" w:color="auto"/>
            </w:tcBorders>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9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vMerge w:val="continue"/>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 October 2018. He also served as Chief Executive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Officer of GP LLC from PAA’s formation in 1998 until</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22"/>
        </w:trPr>
        <w:tc>
          <w:tcPr>
            <w:tcW w:w="540" w:type="dxa"/>
            <w:vAlign w:val="bottom"/>
            <w:tcBorders>
              <w:lef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his retirement from that position in October 2018. He</w:t>
            </w:r>
          </w:p>
        </w:tc>
        <w:tc>
          <w:tcPr>
            <w:tcW w:w="200" w:type="dxa"/>
            <w:vAlign w:val="bottom"/>
            <w:gridSpan w:val="2"/>
            <w:vMerge w:val="continue"/>
          </w:tcPr>
          <w:p>
            <w:pPr>
              <w:spacing w:after="0"/>
              <w:rPr>
                <w:sz w:val="10"/>
                <w:szCs w:val="10"/>
                <w:color w:val="auto"/>
              </w:rPr>
            </w:pPr>
          </w:p>
        </w:tc>
        <w:tc>
          <w:tcPr>
            <w:tcW w:w="19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27"/>
        </w:trPr>
        <w:tc>
          <w:tcPr>
            <w:tcW w:w="540" w:type="dxa"/>
            <w:vAlign w:val="bottom"/>
            <w:tcBorders>
              <w:lef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a director of PAA’s general partner 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540" w:type="dxa"/>
            <w:vAlign w:val="bottom"/>
            <w:tcBorders>
              <w:left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former general partner from PAA’s formation until</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540" w:type="dxa"/>
            <w:vAlign w:val="bottom"/>
            <w:tcBorders>
              <w:lef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November 2016 when the Board of PAGP GP</w:t>
            </w:r>
          </w:p>
        </w:tc>
        <w:tc>
          <w:tcPr>
            <w:tcW w:w="200" w:type="dxa"/>
            <w:vAlign w:val="bottom"/>
            <w:gridSpan w:val="2"/>
            <w:vMerge w:val="continue"/>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402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87"/>
        </w:trPr>
        <w:tc>
          <w:tcPr>
            <w:tcW w:w="540" w:type="dxa"/>
            <w:vAlign w:val="bottom"/>
            <w:tcBorders>
              <w:lef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assumed responsibility for PAA in addition to PAGP</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40" w:type="dxa"/>
            <w:vAlign w:val="bottom"/>
            <w:tcBorders>
              <w:left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AAP. In addition, he was President, Chief</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Officer and director of Plains Resources</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41"/>
        </w:trPr>
        <w:tc>
          <w:tcPr>
            <w:tcW w:w="54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Inc. from 1992 to May 2001 and served in various</w:t>
            </w:r>
          </w:p>
        </w:tc>
        <w:tc>
          <w:tcPr>
            <w:tcW w:w="200" w:type="dxa"/>
            <w:vAlign w:val="bottom"/>
            <w:gridSpan w:val="2"/>
            <w:vMerge w:val="continue"/>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2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roles of increasing responsibility from 1981 to 1992.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Armstrong served as a director of the Federal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Reserve Bank of Dallas from 2015 to 2021, retiring 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Chair at the end of 2021. Mr. Armstrong also serves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 a director of the Memorial Hermann Health</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System and NOV, Inc. Mr. Armstrong is also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member of the advisory board of the Maguire Energy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Institute at the Cox School of Business at Southern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Methodist University, a member of the adjunct faculty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 the University of Oklahoma’s Executive MBA 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program and is a past Chairman of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National Petroleum Council. Mr. Armstrong’s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experience with PAA since its formation, including 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former Chairman and CEO, and his long-time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involvement in the energy industry, provide the Board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invaluable insight and perspective.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40" w:type="dxa"/>
            <w:vAlign w:val="bottom"/>
            <w:tcBorders>
              <w:left w:val="single" w:sz="8" w:color="auto"/>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40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JOHN T. RAYMOND</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John T. Raymond, age 51, </w:t>
            </w:r>
            <w:r>
              <w:rPr>
                <w:rFonts w:ascii="Arial" w:cs="Arial" w:eastAsia="Arial" w:hAnsi="Arial"/>
                <w:sz w:val="16"/>
                <w:szCs w:val="16"/>
                <w:color w:val="auto"/>
              </w:rPr>
              <w:t>has served as a director</w:t>
            </w:r>
          </w:p>
        </w:tc>
        <w:tc>
          <w:tcPr>
            <w:tcW w:w="2160" w:type="dxa"/>
            <w:vAlign w:val="bottom"/>
            <w:tcBorders>
              <w:right w:val="single" w:sz="8" w:color="auto"/>
            </w:tcBorders>
            <w:gridSpan w:val="4"/>
          </w:tcPr>
          <w:p>
            <w:pPr>
              <w:ind w:left="100"/>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1500" w:type="dxa"/>
            <w:vAlign w:val="bottom"/>
            <w:tcBorders>
              <w:right w:val="single" w:sz="8" w:color="auto"/>
            </w:tcBorders>
            <w:gridSpan w:val="2"/>
            <w:vMerge w:val="restart"/>
          </w:tcPr>
          <w:p>
            <w:pPr>
              <w:jc w:val="center"/>
              <w:ind w:right="540"/>
              <w:spacing w:after="0"/>
              <w:rPr>
                <w:sz w:val="20"/>
                <w:szCs w:val="20"/>
                <w:color w:val="auto"/>
              </w:rPr>
            </w:pPr>
            <w:r>
              <w:rPr>
                <w:rFonts w:ascii="Arial" w:cs="Arial" w:eastAsia="Arial" w:hAnsi="Arial"/>
                <w:sz w:val="16"/>
                <w:szCs w:val="16"/>
                <w:b w:val="1"/>
                <w:bCs w:val="1"/>
                <w:color w:val="auto"/>
              </w:rPr>
              <w:t>Independent</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PAGP GP since October 2013. He served as a</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 w:type="dxa"/>
            <w:vAlign w:val="bottom"/>
            <w:tcBorders>
              <w:left w:val="single" w:sz="8" w:color="auto"/>
            </w:tcBorders>
          </w:tcPr>
          <w:p>
            <w:pPr>
              <w:spacing w:after="0"/>
              <w:rPr>
                <w:sz w:val="18"/>
                <w:szCs w:val="18"/>
                <w:color w:val="auto"/>
              </w:rPr>
            </w:pPr>
          </w:p>
        </w:tc>
        <w:tc>
          <w:tcPr>
            <w:tcW w:w="1500" w:type="dxa"/>
            <w:vAlign w:val="bottom"/>
            <w:tcBorders>
              <w:right w:val="single" w:sz="8" w:color="auto"/>
            </w:tcBorders>
            <w:gridSpan w:val="2"/>
            <w:vMerge w:val="continue"/>
          </w:tcPr>
          <w:p>
            <w:pPr>
              <w:spacing w:after="0"/>
              <w:rPr>
                <w:sz w:val="18"/>
                <w:szCs w:val="18"/>
                <w:color w:val="auto"/>
              </w:rPr>
            </w:pPr>
          </w:p>
        </w:tc>
        <w:tc>
          <w:tcPr>
            <w:tcW w:w="4020" w:type="dxa"/>
            <w:vAlign w:val="bottom"/>
            <w:tcBorders>
              <w:right w:val="single" w:sz="8" w:color="auto"/>
            </w:tcBorders>
            <w:vMerge w:val="continue"/>
          </w:tcPr>
          <w:p>
            <w:pPr>
              <w:spacing w:after="0"/>
              <w:rPr>
                <w:sz w:val="18"/>
                <w:szCs w:val="18"/>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95"/>
        </w:trPr>
        <w:tc>
          <w:tcPr>
            <w:tcW w:w="540" w:type="dxa"/>
            <w:vAlign w:val="bottom"/>
            <w:tcBorders>
              <w:left w:val="single" w:sz="8" w:color="auto"/>
            </w:tcBorders>
          </w:tcPr>
          <w:p>
            <w:pPr>
              <w:spacing w:after="0"/>
              <w:rPr>
                <w:sz w:val="8"/>
                <w:szCs w:val="8"/>
                <w:color w:val="auto"/>
              </w:rPr>
            </w:pPr>
          </w:p>
        </w:tc>
        <w:tc>
          <w:tcPr>
            <w:tcW w:w="1500" w:type="dxa"/>
            <w:vAlign w:val="bottom"/>
            <w:tcBorders>
              <w:right w:val="single" w:sz="8" w:color="auto"/>
            </w:tcBorders>
            <w:gridSpan w:val="2"/>
            <w:vMerge w:val="continue"/>
          </w:tcPr>
          <w:p>
            <w:pPr>
              <w:spacing w:after="0"/>
              <w:rPr>
                <w:sz w:val="8"/>
                <w:szCs w:val="8"/>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PAA’s general partner from</w:t>
            </w:r>
          </w:p>
        </w:tc>
        <w:tc>
          <w:tcPr>
            <w:tcW w:w="200" w:type="dxa"/>
            <w:vAlign w:val="bottom"/>
            <w:gridSpan w:val="2"/>
            <w:vMerge w:val="continue"/>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40" w:type="dxa"/>
            <w:vAlign w:val="bottom"/>
            <w:tcBorders>
              <w:left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00"/>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December 2010 until November 2016. Mr. Raymond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40" w:type="dxa"/>
            <w:vAlign w:val="bottom"/>
            <w:tcBorders>
              <w:left w:val="single" w:sz="8" w:color="auto"/>
              <w:right w:val="single" w:sz="8" w:color="auto"/>
            </w:tcBorders>
            <w:gridSpan w:val="3"/>
            <w:vMerge w:val="continue"/>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6"/>
                <w:szCs w:val="16"/>
                <w:b w:val="1"/>
                <w:bCs w:val="1"/>
                <w:i w:val="1"/>
                <w:iCs w:val="1"/>
                <w:color w:val="auto"/>
              </w:rPr>
              <w:t>since 2010</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is the founder and majority owner of The Energy &amp;</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Minerals Group (“EMG”), which is the management</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06"/>
        </w:trPr>
        <w:tc>
          <w:tcPr>
            <w:tcW w:w="2040" w:type="dxa"/>
            <w:vAlign w:val="bottom"/>
            <w:tcBorders>
              <w:left w:val="single" w:sz="8" w:color="auto"/>
              <w:right w:val="single" w:sz="8" w:color="auto"/>
            </w:tcBorders>
            <w:gridSpan w:val="3"/>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company for a series of specialized private equity</w:t>
            </w:r>
          </w:p>
        </w:tc>
        <w:tc>
          <w:tcPr>
            <w:tcW w:w="200" w:type="dxa"/>
            <w:vAlign w:val="bottom"/>
            <w:gridSpan w:val="2"/>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540" w:type="dxa"/>
            <w:vAlign w:val="bottom"/>
            <w:tcBorders>
              <w:left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2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rPr>
              <w:t>Compensation (chair)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funds. EMG was founded in 2006 and focuses 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investing across various facets of the global natural</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29"/>
        </w:trPr>
        <w:tc>
          <w:tcPr>
            <w:tcW w:w="540" w:type="dxa"/>
            <w:vAlign w:val="bottom"/>
            <w:tcBorders>
              <w:lef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4020" w:type="dxa"/>
            <w:vAlign w:val="bottom"/>
            <w:tcBorders>
              <w:right w:val="single" w:sz="8" w:color="auto"/>
            </w:tcBorders>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19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40" w:type="dxa"/>
            <w:vAlign w:val="bottom"/>
            <w:tcBorders>
              <w:left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resource industry including the upstream and</w:t>
            </w:r>
          </w:p>
        </w:tc>
        <w:tc>
          <w:tcPr>
            <w:tcW w:w="200" w:type="dxa"/>
            <w:vAlign w:val="bottom"/>
            <w:gridSpan w:val="2"/>
            <w:vMerge w:val="continue"/>
          </w:tcPr>
          <w:p>
            <w:pPr>
              <w:spacing w:after="0"/>
              <w:rPr>
                <w:sz w:val="4"/>
                <w:szCs w:val="4"/>
                <w:color w:val="auto"/>
              </w:rPr>
            </w:pPr>
          </w:p>
        </w:tc>
        <w:tc>
          <w:tcPr>
            <w:tcW w:w="19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540" w:type="dxa"/>
            <w:vAlign w:val="bottom"/>
            <w:tcBorders>
              <w:lef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402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60"/>
        </w:trPr>
        <w:tc>
          <w:tcPr>
            <w:tcW w:w="540" w:type="dxa"/>
            <w:vAlign w:val="bottom"/>
            <w:tcBorders>
              <w:left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midstream segments of the energy complex. As of</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540" w:type="dxa"/>
            <w:vAlign w:val="bottom"/>
            <w:tcBorders>
              <w:lef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4020" w:type="dxa"/>
            <w:vAlign w:val="bottom"/>
            <w:tcBorders>
              <w:right w:val="single" w:sz="8" w:color="auto"/>
            </w:tcBorders>
            <w:vMerge w:val="continue"/>
          </w:tcPr>
          <w:p>
            <w:pPr>
              <w:spacing w:after="0"/>
              <w:rPr>
                <w:sz w:val="11"/>
                <w:szCs w:val="11"/>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September 30, 2021, EMG had approximately</w:t>
            </w:r>
          </w:p>
        </w:tc>
        <w:tc>
          <w:tcPr>
            <w:tcW w:w="200" w:type="dxa"/>
            <w:vAlign w:val="bottom"/>
            <w:gridSpan w:val="2"/>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40" w:type="dxa"/>
            <w:vAlign w:val="bottom"/>
            <w:tcBorders>
              <w:lef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$12 billion of regulatory assets under management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approximately $12 billion in commitments have</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00"/>
        </w:trPr>
        <w:tc>
          <w:tcPr>
            <w:tcW w:w="540" w:type="dxa"/>
            <w:vAlign w:val="bottom"/>
            <w:tcBorders>
              <w:left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been allocated across the energy sector since</w:t>
            </w:r>
          </w:p>
        </w:tc>
        <w:tc>
          <w:tcPr>
            <w:tcW w:w="200" w:type="dxa"/>
            <w:vAlign w:val="bottom"/>
            <w:gridSpan w:val="2"/>
            <w:vMerge w:val="continue"/>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40" w:type="dxa"/>
            <w:vAlign w:val="bottom"/>
            <w:tcBorders>
              <w:lef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inception. From 1998 until founding EMG,</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Raymond held various executive leadership</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positions with several energy companies, including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540" w:type="dxa"/>
            <w:vAlign w:val="bottom"/>
            <w:tcBorders>
              <w:left w:val="single" w:sz="8" w:color="auto"/>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40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339"/>
        </w:trPr>
        <w:tc>
          <w:tcPr>
            <w:tcW w:w="500" w:type="dxa"/>
            <w:vAlign w:val="bottom"/>
            <w:tcBorders>
              <w:top w:val="single" w:sz="8" w:color="auto"/>
              <w:left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spacing w:after="0"/>
              <w:rPr>
                <w:sz w:val="24"/>
                <w:szCs w:val="24"/>
                <w:color w:val="auto"/>
              </w:rPr>
            </w:pPr>
          </w:p>
        </w:tc>
        <w:tc>
          <w:tcPr>
            <w:tcW w:w="4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Plains Resources Inc. (the publicly traded</w:t>
            </w:r>
          </w:p>
        </w:tc>
        <w:tc>
          <w:tcPr>
            <w:tcW w:w="2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predecessor company to Vulcan Energy), Plains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Exploration and Production Company, Kinder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Morgan, Inc. and Ocean Energy, Inc. From 1992 to</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1998, he was a Vice President with Howard Weil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Labouisse Friedrichs, Inc. Mr. Raymond has been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 or indirect owner of PAA’s general partner since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2001 and served on the board of PAA’s general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 from 2001 to 2005. He serves on numerous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other private company boards and currently serves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on the board of NGL Energy Holdings LLC,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general partner of NGL Energy Partners, L.P.</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Raymond received a BSM degree from the A.B.</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Freeman School of Business at Tulane University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dual concentrations in finance and accounting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currently sits on the board of the Business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School Council. He also serves as a director on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of the American Heart Association, as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member of the MD Anderson Cancer Center Board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Visitors and is a member of YPO. The Board has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determined that Mr. Raymond is “independent” under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applicable Nasdaq and SEC rules. We believe that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Raymond’s experience with investment in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management of a variety of upstream and midstream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assets and operations provides a valuable resource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4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to the Board.</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50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color w:val="auto"/>
              </w:rPr>
              <w:t>BOBBY S.</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Bobby S. Shackouls, age 71, </w:t>
            </w:r>
            <w:r>
              <w:rPr>
                <w:rFonts w:ascii="Arial" w:cs="Arial" w:eastAsia="Arial" w:hAnsi="Arial"/>
                <w:sz w:val="16"/>
                <w:szCs w:val="16"/>
                <w:color w:val="auto"/>
              </w:rPr>
              <w:t>has served as a</w:t>
            </w:r>
          </w:p>
        </w:tc>
        <w:tc>
          <w:tcPr>
            <w:tcW w:w="2160" w:type="dxa"/>
            <w:vAlign w:val="bottom"/>
            <w:tcBorders>
              <w:right w:val="single" w:sz="8" w:color="auto"/>
            </w:tcBorders>
            <w:gridSpan w:val="4"/>
          </w:tcPr>
          <w:p>
            <w:pPr>
              <w:ind w:left="100"/>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1540" w:type="dxa"/>
            <w:vAlign w:val="bottom"/>
            <w:tcBorders>
              <w:right w:val="single" w:sz="8" w:color="auto"/>
            </w:tcBorders>
            <w:gridSpan w:val="4"/>
            <w:vMerge w:val="restart"/>
          </w:tcPr>
          <w:p>
            <w:pPr>
              <w:jc w:val="center"/>
              <w:ind w:right="480"/>
              <w:spacing w:after="0"/>
              <w:rPr>
                <w:sz w:val="20"/>
                <w:szCs w:val="20"/>
                <w:color w:val="auto"/>
              </w:rPr>
            </w:pPr>
            <w:r>
              <w:rPr>
                <w:rFonts w:ascii="Arial" w:cs="Arial" w:eastAsia="Arial" w:hAnsi="Arial"/>
                <w:sz w:val="16"/>
                <w:szCs w:val="16"/>
                <w:b w:val="1"/>
                <w:bCs w:val="1"/>
                <w:color w:val="auto"/>
              </w:rPr>
              <w:t>SHACKOULS</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PAGP GP since January 2014 and as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gridSpan w:val="4"/>
            <w:vMerge w:val="continue"/>
          </w:tcPr>
          <w:p>
            <w:pPr>
              <w:spacing w:after="0"/>
              <w:rPr>
                <w:sz w:val="18"/>
                <w:szCs w:val="18"/>
                <w:color w:val="auto"/>
              </w:rPr>
            </w:pPr>
          </w:p>
        </w:tc>
        <w:tc>
          <w:tcPr>
            <w:tcW w:w="4020" w:type="dxa"/>
            <w:vAlign w:val="bottom"/>
            <w:tcBorders>
              <w:right w:val="single" w:sz="8" w:color="auto"/>
            </w:tcBorders>
            <w:vMerge w:val="continue"/>
          </w:tcPr>
          <w:p>
            <w:pPr>
              <w:spacing w:after="0"/>
              <w:rPr>
                <w:sz w:val="18"/>
                <w:szCs w:val="18"/>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1540" w:type="dxa"/>
            <w:vAlign w:val="bottom"/>
            <w:tcBorders>
              <w:right w:val="single" w:sz="8" w:color="auto"/>
            </w:tcBorders>
            <w:gridSpan w:val="4"/>
            <w:vMerge w:val="restart"/>
          </w:tcPr>
          <w:p>
            <w:pPr>
              <w:jc w:val="center"/>
              <w:ind w:right="500"/>
              <w:spacing w:after="0"/>
              <w:rPr>
                <w:sz w:val="20"/>
                <w:szCs w:val="20"/>
                <w:color w:val="auto"/>
              </w:rPr>
            </w:pPr>
            <w:r>
              <w:rPr>
                <w:rFonts w:ascii="Arial" w:cs="Arial" w:eastAsia="Arial" w:hAnsi="Arial"/>
                <w:sz w:val="16"/>
                <w:szCs w:val="16"/>
                <w:b w:val="1"/>
                <w:bCs w:val="1"/>
                <w:i w:val="1"/>
                <w:iCs w:val="1"/>
                <w:color w:val="auto"/>
              </w:rPr>
              <w:t>Lead Director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Lead Director since January 2020. Mr. Shackouls</w:t>
            </w:r>
          </w:p>
        </w:tc>
        <w:tc>
          <w:tcPr>
            <w:tcW w:w="200" w:type="dxa"/>
            <w:vAlign w:val="bottom"/>
            <w:gridSpan w:val="2"/>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1540" w:type="dxa"/>
            <w:vAlign w:val="bottom"/>
            <w:tcBorders>
              <w:right w:val="single" w:sz="8" w:color="auto"/>
            </w:tcBorders>
            <w:gridSpan w:val="4"/>
            <w:vMerge w:val="continue"/>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restart"/>
          </w:tcPr>
          <w:p>
            <w:pPr>
              <w:ind w:left="60"/>
              <w:spacing w:after="0" w:line="160" w:lineRule="exact"/>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79"/>
        </w:trPr>
        <w:tc>
          <w:tcPr>
            <w:tcW w:w="500" w:type="dxa"/>
            <w:vAlign w:val="bottom"/>
            <w:tcBorders>
              <w:left w:val="single" w:sz="8" w:color="auto"/>
            </w:tcBorders>
          </w:tcPr>
          <w:p>
            <w:pPr>
              <w:spacing w:after="0"/>
              <w:rPr>
                <w:sz w:val="6"/>
                <w:szCs w:val="6"/>
                <w:color w:val="auto"/>
              </w:rPr>
            </w:pPr>
          </w:p>
        </w:tc>
        <w:tc>
          <w:tcPr>
            <w:tcW w:w="1540" w:type="dxa"/>
            <w:vAlign w:val="bottom"/>
            <w:tcBorders>
              <w:right w:val="single" w:sz="8" w:color="auto"/>
            </w:tcBorders>
            <w:gridSpan w:val="4"/>
            <w:vMerge w:val="continue"/>
          </w:tcPr>
          <w:p>
            <w:pPr>
              <w:spacing w:after="0"/>
              <w:rPr>
                <w:sz w:val="6"/>
                <w:szCs w:val="6"/>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Chairman of Burlington Resources Inc.</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500" w:type="dxa"/>
            <w:vAlign w:val="bottom"/>
            <w:tcBorders>
              <w:left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Borders>
              <w:right w:val="single" w:sz="8" w:color="auto"/>
            </w:tcBorders>
            <w:gridSpan w:val="3"/>
          </w:tcPr>
          <w:p>
            <w:pPr>
              <w:jc w:val="center"/>
              <w:ind w:right="540"/>
              <w:spacing w:after="0"/>
              <w:rPr>
                <w:sz w:val="20"/>
                <w:szCs w:val="20"/>
                <w:color w:val="auto"/>
              </w:rPr>
            </w:pPr>
            <w:r>
              <w:rPr>
                <w:rFonts w:ascii="Arial" w:cs="Arial" w:eastAsia="Arial" w:hAnsi="Arial"/>
                <w:sz w:val="16"/>
                <w:szCs w:val="16"/>
                <w:b w:val="1"/>
                <w:bCs w:val="1"/>
                <w:color w:val="auto"/>
              </w:rPr>
              <w:t>Independent</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1997 until its acquisition by ConocoPhillips in</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gridSpan w:val="5"/>
            <w:vMerge w:val="restart"/>
          </w:tcPr>
          <w:p>
            <w:pPr>
              <w:ind w:left="260"/>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2006, and continued to serve on the ConocoPhillips</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15"/>
        </w:trPr>
        <w:tc>
          <w:tcPr>
            <w:tcW w:w="2040" w:type="dxa"/>
            <w:vAlign w:val="bottom"/>
            <w:tcBorders>
              <w:left w:val="single" w:sz="8" w:color="auto"/>
              <w:right w:val="single" w:sz="8" w:color="auto"/>
            </w:tcBorders>
            <w:gridSpan w:val="5"/>
            <w:vMerge w:val="continue"/>
          </w:tcPr>
          <w:p>
            <w:pPr>
              <w:spacing w:after="0"/>
              <w:rPr>
                <w:sz w:val="10"/>
                <w:szCs w:val="10"/>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Board of Directors until his retirement in May 2011.</w:t>
            </w:r>
          </w:p>
        </w:tc>
        <w:tc>
          <w:tcPr>
            <w:tcW w:w="200" w:type="dxa"/>
            <w:vAlign w:val="bottom"/>
            <w:gridSpan w:val="2"/>
            <w:vMerge w:val="continue"/>
          </w:tcPr>
          <w:p>
            <w:pPr>
              <w:spacing w:after="0"/>
              <w:rPr>
                <w:sz w:val="10"/>
                <w:szCs w:val="10"/>
                <w:color w:val="auto"/>
              </w:rPr>
            </w:pPr>
          </w:p>
        </w:tc>
        <w:tc>
          <w:tcPr>
            <w:tcW w:w="19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50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tcBorders>
              <w:right w:val="single" w:sz="8" w:color="auto"/>
            </w:tcBorders>
            <w:gridSpan w:val="3"/>
            <w:vMerge w:val="restart"/>
          </w:tcPr>
          <w:p>
            <w:pPr>
              <w:jc w:val="center"/>
              <w:ind w:right="520"/>
              <w:spacing w:after="0"/>
              <w:rPr>
                <w:sz w:val="20"/>
                <w:szCs w:val="20"/>
                <w:color w:val="auto"/>
              </w:rPr>
            </w:pPr>
            <w:r>
              <w:rPr>
                <w:rFonts w:ascii="Arial" w:cs="Arial" w:eastAsia="Arial" w:hAnsi="Arial"/>
                <w:sz w:val="16"/>
                <w:szCs w:val="16"/>
                <w:b w:val="1"/>
                <w:bCs w:val="1"/>
                <w:i w:val="1"/>
                <w:iCs w:val="1"/>
                <w:color w:val="auto"/>
              </w:rPr>
              <w:t>since 2010</w:t>
            </w:r>
          </w:p>
        </w:tc>
        <w:tc>
          <w:tcPr>
            <w:tcW w:w="4020" w:type="dxa"/>
            <w:vAlign w:val="bottom"/>
            <w:tcBorders>
              <w:right w:val="single" w:sz="8" w:color="auto"/>
            </w:tcBorders>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9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Borders>
              <w:right w:val="single" w:sz="8" w:color="auto"/>
            </w:tcBorders>
            <w:gridSpan w:val="3"/>
            <w:vMerge w:val="continue"/>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Prior thereto, Mr. Shackouls served as President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208"/>
        </w:trPr>
        <w:tc>
          <w:tcPr>
            <w:tcW w:w="50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gridSpan w:val="4"/>
          </w:tcPr>
          <w:p>
            <w:pPr>
              <w:jc w:val="center"/>
              <w:ind w:right="480"/>
              <w:spacing w:after="0"/>
              <w:rPr>
                <w:sz w:val="20"/>
                <w:szCs w:val="20"/>
                <w:color w:val="auto"/>
              </w:rPr>
            </w:pPr>
            <w:r>
              <w:rPr>
                <w:rFonts w:ascii="Arial" w:cs="Arial" w:eastAsia="Arial" w:hAnsi="Arial"/>
                <w:sz w:val="16"/>
                <w:szCs w:val="16"/>
                <w:b w:val="1"/>
                <w:bCs w:val="1"/>
                <w:color w:val="auto"/>
              </w:rPr>
              <w:t>Committees:</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Chief Executive Officer of Meridian Oil, Inc., a wholly</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83"/>
        </w:trPr>
        <w:tc>
          <w:tcPr>
            <w:tcW w:w="50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restart"/>
          </w:tcPr>
          <w:p>
            <w:pPr>
              <w:ind w:left="80"/>
              <w:spacing w:after="0" w:line="151" w:lineRule="exact"/>
              <w:rPr>
                <w:sz w:val="20"/>
                <w:szCs w:val="20"/>
                <w:color w:val="auto"/>
              </w:rPr>
            </w:pPr>
            <w:r>
              <w:rPr>
                <w:rFonts w:ascii="Arial" w:cs="Arial" w:eastAsia="Arial" w:hAnsi="Arial"/>
                <w:sz w:val="16"/>
                <w:szCs w:val="16"/>
                <w:color w:val="auto"/>
              </w:rPr>
              <w:t>owned subsidiary of Burlington Resources, from 1994</w:t>
            </w:r>
          </w:p>
        </w:tc>
        <w:tc>
          <w:tcPr>
            <w:tcW w:w="200" w:type="dxa"/>
            <w:vAlign w:val="bottom"/>
            <w:gridSpan w:val="2"/>
            <w:vMerge w:val="continue"/>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color w:val="auto"/>
              </w:rPr>
              <w:t>Governance (chair)</w:t>
            </w: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89"/>
        </w:trPr>
        <w:tc>
          <w:tcPr>
            <w:tcW w:w="2040" w:type="dxa"/>
            <w:vAlign w:val="bottom"/>
            <w:tcBorders>
              <w:left w:val="single" w:sz="8" w:color="auto"/>
              <w:right w:val="single" w:sz="8" w:color="auto"/>
            </w:tcBorders>
            <w:gridSpan w:val="5"/>
            <w:vMerge w:val="continue"/>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to 1995, and as President and Chief Executive Officer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Burlington Resources from 1995 until 2006.</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Shackouls served as a director of The Kroger Co.</w:t>
            </w:r>
          </w:p>
        </w:tc>
        <w:tc>
          <w:tcPr>
            <w:tcW w:w="200" w:type="dxa"/>
            <w:vAlign w:val="bottom"/>
            <w:gridSpan w:val="2"/>
            <w:vMerge w:val="continue"/>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402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87"/>
        </w:trPr>
        <w:tc>
          <w:tcPr>
            <w:tcW w:w="50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from 1999 until January 2021, as a director of Oasis</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Petroleum from 2012 until November 2020, and as a</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Quintana Energy Services from</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27"/>
        </w:trPr>
        <w:tc>
          <w:tcPr>
            <w:tcW w:w="500" w:type="dxa"/>
            <w:vAlign w:val="bottom"/>
            <w:tcBorders>
              <w:lef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January 2019 until July 2020. He served as a director</w:t>
            </w:r>
          </w:p>
        </w:tc>
        <w:tc>
          <w:tcPr>
            <w:tcW w:w="200" w:type="dxa"/>
            <w:vAlign w:val="bottom"/>
            <w:gridSpan w:val="2"/>
            <w:vMerge w:val="continue"/>
          </w:tcPr>
          <w:p>
            <w:pPr>
              <w:spacing w:after="0"/>
              <w:rPr>
                <w:sz w:val="11"/>
                <w:szCs w:val="11"/>
                <w:color w:val="auto"/>
              </w:rPr>
            </w:pPr>
          </w:p>
        </w:tc>
        <w:tc>
          <w:tcPr>
            <w:tcW w:w="19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50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member of the audit committee of PNGS GP</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LLC, the general partner of PAA Natural Gas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Storage, L.P., from April 2010 through</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December 2013. The Board has determined that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Shackouls is “independent” under applicable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Nasdaq and SEC rules. We believe that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Shackouls’ extensive experience within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industry offers valuable perspective and, 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tandem with his long history of leadership as the CEO</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a public company, make him highly qualified to</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4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serve as a member of the Board.</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5503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5503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1600"/>
        <w:spacing w:after="0"/>
        <w:rPr>
          <w:sz w:val="20"/>
          <w:szCs w:val="20"/>
          <w:color w:val="auto"/>
        </w:rPr>
      </w:pPr>
      <w:r>
        <w:rPr>
          <w:rFonts w:ascii="Arial" w:cs="Arial" w:eastAsia="Arial" w:hAnsi="Arial"/>
          <w:sz w:val="16"/>
          <w:szCs w:val="16"/>
          <w:b w:val="1"/>
          <w:bCs w:val="1"/>
          <w:color w:val="auto"/>
        </w:rPr>
        <w:t>CHRISTOPHER M.</w:t>
      </w:r>
    </w:p>
    <w:p>
      <w:pPr>
        <w:spacing w:after="0" w:line="25" w:lineRule="exact"/>
        <w:rPr>
          <w:sz w:val="20"/>
          <w:szCs w:val="20"/>
          <w:color w:val="auto"/>
        </w:rPr>
      </w:pPr>
    </w:p>
    <w:p>
      <w:pPr>
        <w:jc w:val="center"/>
        <w:ind w:left="1600"/>
        <w:spacing w:after="0"/>
        <w:rPr>
          <w:sz w:val="20"/>
          <w:szCs w:val="20"/>
          <w:color w:val="auto"/>
        </w:rPr>
      </w:pPr>
      <w:r>
        <w:rPr>
          <w:rFonts w:ascii="Arial" w:cs="Arial" w:eastAsia="Arial" w:hAnsi="Arial"/>
          <w:sz w:val="16"/>
          <w:szCs w:val="16"/>
          <w:b w:val="1"/>
          <w:bCs w:val="1"/>
          <w:color w:val="auto"/>
        </w:rPr>
        <w:t>TEMPLE</w:t>
      </w:r>
    </w:p>
    <w:p>
      <w:pPr>
        <w:spacing w:after="0" w:line="93"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auto"/>
        </w:rPr>
        <w:t>Independent</w:t>
      </w:r>
    </w:p>
    <w:p>
      <w:pPr>
        <w:spacing w:after="0" w:line="113" w:lineRule="exact"/>
        <w:rPr>
          <w:sz w:val="20"/>
          <w:szCs w:val="20"/>
          <w:color w:val="auto"/>
        </w:rPr>
      </w:pPr>
    </w:p>
    <w:p>
      <w:pPr>
        <w:ind w:left="1580"/>
        <w:spacing w:after="0"/>
        <w:rPr>
          <w:sz w:val="20"/>
          <w:szCs w:val="20"/>
          <w:color w:val="auto"/>
        </w:rPr>
      </w:pPr>
      <w:r>
        <w:rPr>
          <w:rFonts w:ascii="Arial" w:cs="Arial" w:eastAsia="Arial" w:hAnsi="Arial"/>
          <w:sz w:val="16"/>
          <w:szCs w:val="16"/>
          <w:b w:val="1"/>
          <w:bCs w:val="1"/>
          <w:i w:val="1"/>
          <w:iCs w:val="1"/>
          <w:color w:val="auto"/>
        </w:rPr>
        <w:t>PAGP/PAA Director</w:t>
      </w:r>
    </w:p>
    <w:p>
      <w:pPr>
        <w:spacing w:after="0" w:line="25" w:lineRule="exact"/>
        <w:rPr>
          <w:sz w:val="20"/>
          <w:szCs w:val="20"/>
          <w:color w:val="auto"/>
        </w:rPr>
      </w:pPr>
    </w:p>
    <w:p>
      <w:pPr>
        <w:jc w:val="center"/>
        <w:ind w:left="1580"/>
        <w:spacing w:after="0"/>
        <w:rPr>
          <w:sz w:val="20"/>
          <w:szCs w:val="20"/>
          <w:color w:val="auto"/>
        </w:rPr>
      </w:pPr>
      <w:r>
        <w:rPr>
          <w:rFonts w:ascii="Arial" w:cs="Arial" w:eastAsia="Arial" w:hAnsi="Arial"/>
          <w:sz w:val="16"/>
          <w:szCs w:val="16"/>
          <w:b w:val="1"/>
          <w:bCs w:val="1"/>
          <w:i w:val="1"/>
          <w:iCs w:val="1"/>
          <w:color w:val="auto"/>
        </w:rPr>
        <w:t>since 2009</w:t>
      </w:r>
    </w:p>
    <w:p>
      <w:pPr>
        <w:spacing w:after="0" w:line="93" w:lineRule="exact"/>
        <w:rPr>
          <w:sz w:val="20"/>
          <w:szCs w:val="20"/>
          <w:color w:val="auto"/>
        </w:rPr>
      </w:pPr>
    </w:p>
    <w:p>
      <w:pPr>
        <w:jc w:val="center"/>
        <w:ind w:left="1600"/>
        <w:spacing w:after="0"/>
        <w:rPr>
          <w:sz w:val="20"/>
          <w:szCs w:val="20"/>
          <w:color w:val="auto"/>
        </w:rPr>
      </w:pPr>
      <w:r>
        <w:rPr>
          <w:rFonts w:ascii="Arial" w:cs="Arial" w:eastAsia="Arial" w:hAnsi="Arial"/>
          <w:sz w:val="16"/>
          <w:szCs w:val="16"/>
          <w:b w:val="1"/>
          <w:bCs w:val="1"/>
          <w:u w:val="single" w:color="auto"/>
          <w:color w:val="auto"/>
        </w:rPr>
        <w:t>Committees:</w:t>
      </w:r>
    </w:p>
    <w:p>
      <w:pPr>
        <w:spacing w:after="0" w:line="133" w:lineRule="exact"/>
        <w:rPr>
          <w:sz w:val="20"/>
          <w:szCs w:val="20"/>
          <w:color w:val="auto"/>
        </w:rPr>
      </w:pPr>
    </w:p>
    <w:p>
      <w:pPr>
        <w:jc w:val="center"/>
        <w:ind w:left="1580"/>
        <w:spacing w:after="0"/>
        <w:rPr>
          <w:sz w:val="20"/>
          <w:szCs w:val="20"/>
          <w:color w:val="auto"/>
        </w:rPr>
      </w:pPr>
      <w:r>
        <w:rPr>
          <w:rFonts w:ascii="Arial" w:cs="Arial" w:eastAsia="Arial" w:hAnsi="Arial"/>
          <w:sz w:val="16"/>
          <w:szCs w:val="16"/>
          <w:color w:val="auto"/>
        </w:rPr>
        <w:t>Compensation</w:t>
      </w:r>
    </w:p>
    <w:p>
      <w:pPr>
        <w:spacing w:after="0" w:line="113" w:lineRule="exact"/>
        <w:rPr>
          <w:sz w:val="20"/>
          <w:szCs w:val="20"/>
          <w:color w:val="auto"/>
        </w:rPr>
      </w:pPr>
    </w:p>
    <w:p>
      <w:pPr>
        <w:jc w:val="center"/>
        <w:ind w:left="1580"/>
        <w:spacing w:after="0"/>
        <w:rPr>
          <w:sz w:val="20"/>
          <w:szCs w:val="20"/>
          <w:color w:val="auto"/>
        </w:rPr>
      </w:pPr>
      <w:r>
        <w:rPr>
          <w:rFonts w:ascii="Arial" w:cs="Arial" w:eastAsia="Arial" w:hAnsi="Arial"/>
          <w:sz w:val="16"/>
          <w:szCs w:val="16"/>
          <w:color w:val="auto"/>
        </w:rPr>
        <w:t>HSES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i w:val="1"/>
          <w:iCs w:val="1"/>
          <w:color w:val="auto"/>
        </w:rPr>
        <w:t xml:space="preserve">Christopher M. Temple, age 54, </w:t>
      </w:r>
      <w:r>
        <w:rPr>
          <w:rFonts w:ascii="Arial" w:cs="Arial" w:eastAsia="Arial" w:hAnsi="Arial"/>
          <w:sz w:val="16"/>
          <w:szCs w:val="16"/>
          <w:color w:val="auto"/>
        </w:rPr>
        <w:t>has served as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PAGP GP since November 2016. He served as a director of PAA’s general partner from May 2009 until November 2016. He is President of DelTex Capital LLC (a private investment firm) and serves as a Senior Advisor to Tailwind Capital. As part of his role as a Senior Advisor with Tailwind Capital, Mr. Temple serves on the board of HMT Tank, LLC and on the board of Loenbro, Inc. He also serves on the board and is chairman of the audit committee of Owl Rock Capital Corporation, Owl Rock Capital Corporation II, Owl Rock Capital Corporation III, Owl Rock Core Income Corporation, Owl Rock Technology Finance Corporation, Owl Rock Technology Fund II and Owl Rock Technology Income Fund. Mr. Temple served as the President of Vulcan Capital, the private investment group of Vulcan Inc., from May 2009 until December 2009 and as Vice President of Vulcan Capital from September 2008 to May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Mr. Temple served as Chairman of Brawler Industries,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LLC from September 2012 to July 2016, as a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Clear Channel Outdoor Holdings from April 2011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through May 2017, and as a director of Charter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Inc. from November 2009 through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January 2011. Prior to joining Vulcan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September 2008, Mr. Temple served as a managing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 at Tailwind Capital LLC from May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August 2008. Prior to joining Tailwind, Mr. Temple was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 managing director at Friend Skoler &amp; Co., Inc. from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May 2005 to May 2008. From April 1996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2004, Mr. Temple was a managing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 Thayer Capital Partners. Additionally, Mr. Temple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 a licensed CPA serving clients in the energy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sector with KPMG in Houston, Texas from 1989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1993. Mr. Temple holds a BBA, magna cum laude,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from the University of Texas and an MBA from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Harvard. The Board has determined that Mr. Temple 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“independent” under applicable Nasdaq and SEC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rules. Mr. Temple has a broad investment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management background across a variety of business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sectors, as well as experience in the energy sector.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this background, along with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leadership attributes indicated by his executive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experience, provide an important source of insight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perspective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Board Qualifications:</w:t>
      </w:r>
    </w:p>
    <w:p>
      <w:pPr>
        <w:spacing w:after="0" w:line="127" w:lineRule="exact"/>
        <w:rPr>
          <w:sz w:val="20"/>
          <w:szCs w:val="20"/>
          <w:color w:val="auto"/>
        </w:rPr>
      </w:pPr>
    </w:p>
    <w:p>
      <w:pPr>
        <w:ind w:left="160" w:right="1019" w:hanging="156"/>
        <w:spacing w:after="0" w:line="260" w:lineRule="auto"/>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Public Company Experience</w:t>
      </w:r>
    </w:p>
    <w:p>
      <w:pPr>
        <w:spacing w:after="0" w:line="100" w:lineRule="exact"/>
        <w:rPr>
          <w:rFonts w:ascii="Arial" w:cs="Arial" w:eastAsia="Arial" w:hAnsi="Arial"/>
          <w:sz w:val="16"/>
          <w:szCs w:val="16"/>
          <w:color w:val="auto"/>
        </w:rPr>
      </w:pPr>
    </w:p>
    <w:p>
      <w:pPr>
        <w:ind w:left="160" w:hanging="156"/>
        <w:spacing w:after="0"/>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Finance/Accounting</w:t>
      </w:r>
    </w:p>
    <w:p>
      <w:pPr>
        <w:spacing w:after="0" w:line="140" w:lineRule="exact"/>
        <w:rPr>
          <w:rFonts w:ascii="Arial" w:cs="Arial" w:eastAsia="Arial" w:hAnsi="Arial"/>
          <w:sz w:val="16"/>
          <w:szCs w:val="16"/>
          <w:color w:val="auto"/>
        </w:rPr>
      </w:pPr>
    </w:p>
    <w:p>
      <w:pPr>
        <w:ind w:left="160" w:right="679" w:hanging="156"/>
        <w:spacing w:after="0" w:line="253" w:lineRule="auto"/>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Business Development/ Strategy/Commercial</w:t>
      </w:r>
    </w:p>
    <w:p>
      <w:pPr>
        <w:spacing w:after="0" w:line="120" w:lineRule="exact"/>
        <w:rPr>
          <w:rFonts w:ascii="Arial" w:cs="Arial" w:eastAsia="Arial" w:hAnsi="Arial"/>
          <w:sz w:val="16"/>
          <w:szCs w:val="16"/>
          <w:color w:val="auto"/>
        </w:rPr>
      </w:pPr>
    </w:p>
    <w:p>
      <w:pPr>
        <w:ind w:left="160" w:right="579" w:hanging="156"/>
        <w:spacing w:after="0" w:line="260" w:lineRule="auto"/>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Legal/Governance/ Government Relations</w:t>
      </w:r>
    </w:p>
    <w:p>
      <w:pPr>
        <w:spacing w:after="0" w:line="114" w:lineRule="exact"/>
        <w:rPr>
          <w:rFonts w:ascii="Arial" w:cs="Arial" w:eastAsia="Arial" w:hAnsi="Arial"/>
          <w:sz w:val="16"/>
          <w:szCs w:val="16"/>
          <w:color w:val="auto"/>
        </w:rPr>
      </w:pPr>
    </w:p>
    <w:p>
      <w:pPr>
        <w:ind w:left="160" w:hanging="156"/>
        <w:spacing w:after="0"/>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Industry Experience</w:t>
      </w:r>
    </w:p>
    <w:p>
      <w:pPr>
        <w:spacing w:after="0" w:line="113" w:lineRule="exact"/>
        <w:rPr>
          <w:rFonts w:ascii="Arial" w:cs="Arial" w:eastAsia="Arial" w:hAnsi="Arial"/>
          <w:sz w:val="16"/>
          <w:szCs w:val="16"/>
          <w:color w:val="auto"/>
        </w:rPr>
      </w:pPr>
    </w:p>
    <w:p>
      <w:pPr>
        <w:ind w:left="160" w:hanging="156"/>
        <w:spacing w:after="0"/>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Private Equity</w:t>
      </w:r>
    </w:p>
    <w:p>
      <w:pPr>
        <w:spacing w:after="0" w:line="113" w:lineRule="exact"/>
        <w:rPr>
          <w:rFonts w:ascii="Arial" w:cs="Arial" w:eastAsia="Arial" w:hAnsi="Arial"/>
          <w:sz w:val="16"/>
          <w:szCs w:val="16"/>
          <w:color w:val="auto"/>
        </w:rPr>
      </w:pPr>
    </w:p>
    <w:p>
      <w:pPr>
        <w:ind w:left="160" w:hanging="156"/>
        <w:spacing w:after="0"/>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Cybersecurity/IT</w:t>
      </w:r>
    </w:p>
    <w:p>
      <w:pPr>
        <w:spacing w:after="0" w:line="5586" w:lineRule="exact"/>
        <w:rPr>
          <w:sz w:val="20"/>
          <w:szCs w:val="20"/>
          <w:color w:val="auto"/>
        </w:rPr>
      </w:pPr>
    </w:p>
    <w:p>
      <w:pPr>
        <w:sectPr>
          <w:pgSz w:w="11900" w:h="16838" w:orient="portrait"/>
          <w:cols w:equalWidth="0" w:num="3">
            <w:col w:w="3080" w:space="360"/>
            <w:col w:w="3880" w:space="200"/>
            <w:col w:w="235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CORPORATE GOVERNANCE AND RELATED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and Governance</w:t>
      </w:r>
    </w:p>
    <w:p>
      <w:pPr>
        <w:spacing w:after="0" w:line="166"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As a limited partnership, we do not directly have directors, officers or employees. Our operations and activities are managed by GP LLC, which employs our management and operational personnel (other than our Canadian personnel, who are employed by Plains Midstream Canada ULC). GP LLC is the general partner of AAP, which is the sole member of our general partner. PAGP is the sole member of GP LLC, and PAGP GP is the general partner of PAGP. The Board has responsibility for managing the business and affairs of PAGP, PAA and AAP.</w:t>
      </w:r>
    </w:p>
    <w:p>
      <w:pPr>
        <w:spacing w:after="0" w:line="140"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Our Unitholders are limited partners and do not directly or indirectly participate in our management or operation. Unlike holders of common stock in a corporation, our Unitholders have only limited voting rights on matters affecting our business or governance, subject in all cases to any specific unitholder rights contained in our partnership agreement. In connection with the Simplification Transactions completed in November 2016, we expanded the voting rights of our Unitholders to include the election of directors and, in 2018, we began holding annual meetings for this purpose. For a description of the steps we have taken to strengthen our governance structure and expand the voting rights of our unitholders, as well as a description of our Board structure and information regarding the election of Directors, see “Proposal 1 — Election of Class II Directors — Board and Governance Structure” above.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8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Effective with the retirement of Mr. Armstrong as Chairman of the Board at the end of 2019, after carefully considering the issue over the course of several meetings, our Board determined that it was in the best interests of PAGP and PAA to re-combine the offices of CEO and Chairman of the Board, and Mr. Chiang assumed the role of Chairman of the Board while continuing to serve as CEO. The Board also approved an amendment to our governing documents that established a strong Lead Director role, requires that one of our independent directors serve as the Lead Director for so long as the CEO and Chairman roles are held by the same person, and clearly delineates the respective responsibilities of the Chairman and the Lead Director. The Board has no set policy with respect to the separation of the offices of Chairman and CEO; rather the Board believes it is in the best interests of PAA and PAGP for the Board to review ongoing conditions and circumstances and to make an appropriate determination to separate, or maintain as combined, the CEO and Chairman roles at the time a new CEO succeeds the current CEO, or upon a significant change in circumstances. In connection with the re-combination of the Chairman and CEO roles effective January 1, 2020, the Board appointed Mr. Shackouls to serve as Lead Director.</w:t>
      </w:r>
    </w:p>
    <w:p>
      <w:pPr>
        <w:spacing w:after="0" w:line="12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With respect to the management of enterprise-level risk (ELR), which is the process of identifying, managing and monitoring events that present opportunities and risks with respect to the operation of our business and the creation of value for our unitholders, the Board has delegated primary responsibility to management and retained oversight responsibility. Management provides a formal ELR assessment to the Board at least once every year.</w:t>
      </w:r>
    </w:p>
    <w:p>
      <w:pPr>
        <w:spacing w:after="0" w:line="138"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We believe that our Board leadership structure supports the Board’s risk oversight function by facilitating open and regular communication between management and the directors, which allows informed oversight of management’s processes for identifying and managing significant risks and their impact on PAA’s business. For example, in connection with the COVID-19 pandemic, executive management communicated and met regularly with the Board and provided numerous updates and related information to the Board regarding the assessment and management of the significant risks facing PAA and the impacts to its business resulting from the pandemic. In addition, the CEO/Chairman regularly communicates with the Lead Director to make sure the Board is receiving the information it needs and has the opportunity to provide feedback and input to management, in each case as required for the Board to discharge its oversight role with respect to the risks facing PAA and its business in the current environment.</w:t>
      </w: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166" w:lineRule="exact"/>
        <w:rPr>
          <w:sz w:val="20"/>
          <w:szCs w:val="20"/>
          <w:color w:val="auto"/>
        </w:rPr>
      </w:pPr>
    </w:p>
    <w:p>
      <w:pPr>
        <w:jc w:val="both"/>
        <w:ind w:left="1260" w:right="939" w:firstLine="360"/>
        <w:spacing w:after="0" w:line="261" w:lineRule="auto"/>
        <w:rPr>
          <w:sz w:val="20"/>
          <w:szCs w:val="20"/>
          <w:color w:val="auto"/>
        </w:rPr>
      </w:pPr>
      <w:r>
        <w:rPr>
          <w:rFonts w:ascii="Arial" w:cs="Arial" w:eastAsia="Arial" w:hAnsi="Arial"/>
          <w:sz w:val="17"/>
          <w:szCs w:val="17"/>
          <w:color w:val="auto"/>
        </w:rPr>
        <w:t>Non-management directors meet in executive session in connection with each regular Board meeting. These sessions are presided over by the Lead Director. As circumstances warrant, non-management directors may also meet in executive sessions of special meetings of the Board.</w:t>
      </w:r>
    </w:p>
    <w:p>
      <w:pPr>
        <w:spacing w:after="0" w:line="118"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Independence Determinations</w:t>
      </w:r>
    </w:p>
    <w:p>
      <w:pPr>
        <w:spacing w:after="0" w:line="180"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Because we are a limited partnership, the listing standards of Nasdaq do not require that we or our general partner have a majority of independent directors on the Board. Nonetheless, the PAGP GP LLC Agreement requires that our Board have a majority of directors who are “independent” as defined in applicable Nasdaq and SEC rules. To be considered independent under Nasdaq listing standards, our Board must determine that a director has no relationship with us that would interfere with the exercise of independent judgement in carrying out his or her responsibilities as a director. The standards specify the criteria by which the independence of directors will be determined, including guidelines for directors and their immediate family members with respect to employment or affiliation with us or with our independent public accountants. The Board has assessed the independence of the eight directors who are not current or former members of management (Messrs. Burk, McCarthy, Petersen, Raymond, Shackouls, Temple, Ziemba and Ms. Pruner) and has concluded that all of such directors are independent under applicable Nasdaq and SEC standards.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66" w:lineRule="exact"/>
        <w:rPr>
          <w:sz w:val="20"/>
          <w:szCs w:val="20"/>
          <w:color w:val="auto"/>
        </w:rPr>
      </w:pPr>
    </w:p>
    <w:p>
      <w:pPr>
        <w:ind w:left="1260" w:right="539" w:firstLine="360"/>
        <w:spacing w:after="0" w:line="236" w:lineRule="auto"/>
        <w:rPr>
          <w:sz w:val="20"/>
          <w:szCs w:val="20"/>
          <w:color w:val="auto"/>
        </w:rPr>
      </w:pPr>
      <w:r>
        <w:rPr>
          <w:rFonts w:ascii="Arial" w:cs="Arial" w:eastAsia="Arial" w:hAnsi="Arial"/>
          <w:sz w:val="18"/>
          <w:szCs w:val="18"/>
          <w:color w:val="auto"/>
        </w:rPr>
        <w:t>Our audit committee reviews our external financial reporting, engages our independent auditors, and reviews the adequacy of our internal accounting controls. The charter of our audit committee is available on our website. See “— Meetings and Other Information” for information on how to access or obtain copies of this charter. The Board has determined that each member of our audit committee (Messrs. Burk (chair), Ziemba and Ms. Pruner) is (i) “independent” under applicable Nasdaq and SEC rules, and (ii) financially literate. The Board has also determined that each of Mr. Burk and Ms. Pruner qualifies as an “Audit Committee Financial Expert” as that term is defined in Item 407 of Regulation S-K.</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Compensation Committee Interlocks and Insider Participation</w:t>
      </w:r>
    </w:p>
    <w:p>
      <w:pPr>
        <w:spacing w:after="0" w:line="180" w:lineRule="exact"/>
        <w:rPr>
          <w:sz w:val="20"/>
          <w:szCs w:val="20"/>
          <w:color w:val="auto"/>
        </w:rPr>
      </w:pPr>
    </w:p>
    <w:p>
      <w:pPr>
        <w:ind w:left="1260" w:right="499" w:firstLine="360"/>
        <w:spacing w:after="0" w:line="250" w:lineRule="auto"/>
        <w:rPr>
          <w:sz w:val="20"/>
          <w:szCs w:val="20"/>
          <w:color w:val="auto"/>
        </w:rPr>
      </w:pPr>
      <w:r>
        <w:rPr>
          <w:rFonts w:ascii="Arial" w:cs="Arial" w:eastAsia="Arial" w:hAnsi="Arial"/>
          <w:sz w:val="17"/>
          <w:szCs w:val="17"/>
          <w:color w:val="auto"/>
        </w:rPr>
        <w:t>Although not required by Nasdaq listing standards, we have a compensation committee that reviews and makes recommendations to the Board regarding the compensation for our executive officers and administers our long-term equity incentive plans for officers and key employees. The compensation committee has delegated limited authority to the CEO to administer our long-term incentive plans with respect to employees and non-Section 16 officers below the Senior Vice President level. The charter of our compensation committee is available on our website. See “— Meetings and Other Information” for information on how to access or obtain copies of this charter. The compensation committee currently consists of Messrs. Raymond (chair), Petersen and Temple. Under applicable Nasdaq rules, none of the members of our compensation committee are required to be “independent;” however, the charter of our compensation committee requires that all members of the committee be independent and the Board has determined that all of the current members of such committee are independent under applicable Nasdaq and SEC standards. The compensation committee has the sole authority to retain any compensation consultants to assist the committee. Since 2019, the compensation committee has engaged Meridian Compensation Partners, LLC to conduct independent annual reviews and benchmark studies of our executive compensation program and practices.</w:t>
      </w:r>
    </w:p>
    <w:p>
      <w:pPr>
        <w:spacing w:after="0" w:line="132" w:lineRule="exact"/>
        <w:rPr>
          <w:sz w:val="20"/>
          <w:szCs w:val="20"/>
          <w:color w:val="auto"/>
        </w:rPr>
      </w:pPr>
    </w:p>
    <w:p>
      <w:pPr>
        <w:jc w:val="both"/>
        <w:ind w:left="1260" w:right="479" w:firstLine="360"/>
        <w:spacing w:after="0"/>
        <w:rPr>
          <w:sz w:val="20"/>
          <w:szCs w:val="20"/>
          <w:color w:val="auto"/>
        </w:rPr>
      </w:pPr>
      <w:r>
        <w:rPr>
          <w:rFonts w:ascii="Arial" w:cs="Arial" w:eastAsia="Arial" w:hAnsi="Arial"/>
          <w:sz w:val="18"/>
          <w:szCs w:val="18"/>
          <w:color w:val="auto"/>
        </w:rPr>
        <w:t>During 2021, none of the members of the compensation committee was an officer or employee of ours or any of our subsidiaries, or served as an officer of any company with respect to which any of our executive officers served on such company’s board of directors. In addition, none of the members</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39"/>
        <w:spacing w:after="0" w:line="238" w:lineRule="auto"/>
        <w:rPr>
          <w:sz w:val="20"/>
          <w:szCs w:val="20"/>
          <w:color w:val="auto"/>
        </w:rPr>
      </w:pPr>
      <w:r>
        <w:rPr>
          <w:rFonts w:ascii="Arial" w:cs="Arial" w:eastAsia="Arial" w:hAnsi="Arial"/>
          <w:sz w:val="18"/>
          <w:szCs w:val="18"/>
          <w:color w:val="auto"/>
        </w:rPr>
        <w:t>of the compensation committee are former employees of ours or any of our subsidiaries. Mr. Raymond is associated with EMG. We have ordinary course business relationships with entities affiliated with EMG; however, the Board has determined that these relationships do not impact Mr. Raymond’s independence. See “Certain Relationships and Related Transactions.”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Committee</w:t>
      </w:r>
    </w:p>
    <w:p>
      <w:pPr>
        <w:spacing w:after="0" w:line="166" w:lineRule="exact"/>
        <w:rPr>
          <w:sz w:val="20"/>
          <w:szCs w:val="20"/>
          <w:color w:val="auto"/>
        </w:rPr>
      </w:pPr>
    </w:p>
    <w:p>
      <w:pPr>
        <w:ind w:left="1260" w:right="419" w:firstLine="360"/>
        <w:spacing w:after="0" w:line="234" w:lineRule="auto"/>
        <w:rPr>
          <w:sz w:val="20"/>
          <w:szCs w:val="20"/>
          <w:color w:val="auto"/>
        </w:rPr>
      </w:pPr>
      <w:r>
        <w:rPr>
          <w:rFonts w:ascii="Arial" w:cs="Arial" w:eastAsia="Arial" w:hAnsi="Arial"/>
          <w:sz w:val="18"/>
          <w:szCs w:val="18"/>
          <w:color w:val="auto"/>
        </w:rPr>
        <w:t>Although not required by Nasdaq listing standards, we also have a governance committee that periodically reviews our governance structure, policies and principles, oversees the Board’s annual self-assessment and committee evaluation process, and assists with succession planning and related activities, including identifying and assessing director nominees among other governance related matters. See “Proposal 1 — Election of Class II Directors — Board and Governance Structure” for additional information regarding activities of our governance committee. The charter of our governance committee is available on our website. See “— Meetings and Other Information” for information on how to access or obtain copies of this charter. The governance committee currently consists of</w:t>
      </w:r>
    </w:p>
    <w:p>
      <w:pPr>
        <w:spacing w:after="0" w:line="6" w:lineRule="exact"/>
        <w:rPr>
          <w:sz w:val="20"/>
          <w:szCs w:val="20"/>
          <w:color w:val="auto"/>
        </w:rPr>
      </w:pPr>
    </w:p>
    <w:p>
      <w:pPr>
        <w:ind w:left="1260" w:right="579"/>
        <w:spacing w:after="0" w:line="238" w:lineRule="auto"/>
        <w:rPr>
          <w:sz w:val="20"/>
          <w:szCs w:val="20"/>
          <w:color w:val="auto"/>
        </w:rPr>
      </w:pPr>
      <w:r>
        <w:rPr>
          <w:rFonts w:ascii="Arial" w:cs="Arial" w:eastAsia="Arial" w:hAnsi="Arial"/>
          <w:sz w:val="18"/>
          <w:szCs w:val="18"/>
          <w:color w:val="auto"/>
        </w:rPr>
        <w:t>Messrs. Shackouls (chair), Petersen and Ms. Pruner. Under applicable Nasdaq rules, none of the members of our governance committee are required to be “independent;” however, the charter of our governance committee requires that all members of the committee be independent and the Board has determined that all of the current members of such committee are independent under applicable Nasdaq and SEC standards.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HSES Committee</w:t>
      </w:r>
    </w:p>
    <w:p>
      <w:pPr>
        <w:spacing w:after="0" w:line="180" w:lineRule="exact"/>
        <w:rPr>
          <w:sz w:val="20"/>
          <w:szCs w:val="20"/>
          <w:color w:val="auto"/>
        </w:rPr>
      </w:pPr>
    </w:p>
    <w:p>
      <w:pPr>
        <w:ind w:left="1260" w:right="819" w:firstLine="360"/>
        <w:spacing w:after="0" w:line="248" w:lineRule="auto"/>
        <w:rPr>
          <w:sz w:val="20"/>
          <w:szCs w:val="20"/>
          <w:color w:val="auto"/>
        </w:rPr>
      </w:pPr>
      <w:r>
        <w:rPr>
          <w:rFonts w:ascii="Arial" w:cs="Arial" w:eastAsia="Arial" w:hAnsi="Arial"/>
          <w:sz w:val="17"/>
          <w:szCs w:val="17"/>
          <w:color w:val="auto"/>
        </w:rPr>
        <w:t>In February 2021, the Board established the Health, Safety, Environmental and Sustainability (“HSES”) Committee. The HSES committee assists the Board in its evaluation and oversight of our</w:t>
      </w:r>
    </w:p>
    <w:p>
      <w:pPr>
        <w:ind w:left="1460" w:hanging="200"/>
        <w:spacing w:after="0" w:line="235"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of HSES matters, including compliance with applicable laws and regulations;</w:t>
      </w:r>
    </w:p>
    <w:p>
      <w:pPr>
        <w:ind w:left="1260" w:right="659"/>
        <w:spacing w:after="0" w:line="248" w:lineRule="auto"/>
        <w:tabs>
          <w:tab w:leader="none" w:pos="1508"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management of systems and plans to protect the health and safety of employees, contractors, customers, the environment, the communities where we operate, our assets, and our reputation; and</w:t>
      </w:r>
    </w:p>
    <w:p>
      <w:pPr>
        <w:spacing w:after="0" w:line="1" w:lineRule="exact"/>
        <w:rPr>
          <w:rFonts w:ascii="Arial" w:cs="Arial" w:eastAsia="Arial" w:hAnsi="Arial"/>
          <w:sz w:val="17"/>
          <w:szCs w:val="17"/>
          <w:color w:val="auto"/>
        </w:rPr>
      </w:pPr>
    </w:p>
    <w:p>
      <w:pPr>
        <w:ind w:left="1260" w:right="499"/>
        <w:spacing w:after="0" w:line="237" w:lineRule="auto"/>
        <w:tabs>
          <w:tab w:leader="none" w:pos="15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plans to adjust to HSES trends and related risks to more effectively achieve our long-term business and sustainability objectives. Through the discharge of its oversight responsibilities, the HSES committee facilitates the efforts of management to further strengthen our focus on sustainability and ESG matters. The charter of our HSES committee is available on our website. See “— Meetings and Other Information” for information on how to access or obtain copies of this charter. The HSES committee currently consists of Messrs. Ziemba (chair) and Temple, both of whom are independent under applicable Nasdaq and SEC standards.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Meetings and Other Information</w:t>
      </w:r>
    </w:p>
    <w:p>
      <w:pPr>
        <w:spacing w:after="0" w:line="180"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During 2021, our Board had five meetings, our audit committee had ten meetings, our compensation committee had four meetings, our governance committee had two meetings and our HSES committee had three meetings. In addition, members of our compensation committee and governance committee held numerous conference calls and discussions throughout the year on various compensation and governance related matters. All directors have access to members of management, and a substantial amount of information transfer and informal communication occurs between meetings. In 2021, all of our directors attended all meetings of the Board and applicable committees of the Board on which the director served, other than one director who missed one committee meeting. Board members are encouraged, but not required, to attend our annual meetings; nine Board members attended our annual meeting in 2021.</w:t>
      </w:r>
    </w:p>
    <w:p>
      <w:pPr>
        <w:spacing w:after="0" w:line="125"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 xml:space="preserve">All of our standing committees have charters. Our committee charters and governance guidelines, as well as our Code of Business Conduct (which describes our Core Values) and our Code of Ethics for Senior Financial Officers (which applies to our principal executive officer, principal financial officer and principal accounting officer), are available under the Structure and Governance tab in the Investor Relations section of our Internet website at </w:t>
      </w:r>
      <w:r>
        <w:rPr>
          <w:rFonts w:ascii="Arial" w:cs="Arial" w:eastAsia="Arial" w:hAnsi="Arial"/>
          <w:sz w:val="18"/>
          <w:szCs w:val="18"/>
          <w:i w:val="1"/>
          <w:iCs w:val="1"/>
          <w:color w:val="auto"/>
        </w:rPr>
        <w:t>http://www.plains.com</w:t>
      </w:r>
      <w:r>
        <w:rPr>
          <w:rFonts w:ascii="Arial" w:cs="Arial" w:eastAsia="Arial" w:hAnsi="Arial"/>
          <w:sz w:val="18"/>
          <w:szCs w:val="18"/>
          <w:color w:val="auto"/>
        </w:rPr>
        <w:t>. We intend to disclose any amendment to or waiver of the Code of Ethics for Senior Financial Officers and any waiver of our Code of Business Conduct on behalf of an executive officer or director either on our Internet website or in an 8-K filing. We regularly post important information on our website, including information regarding our sustainability efforts.</w:t>
      </w: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Committee/Fiduciary Duties</w:t>
      </w:r>
    </w:p>
    <w:p>
      <w:pPr>
        <w:spacing w:after="0" w:line="166"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Our partnership agreement allows for the establishment or activation of a conflicts committee as circumstances warrant to review conflicts of interest between us and our general partner or its owners. Such committee will typically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Unitholders. See “Certain Relationships and Related Party Transactions — Review, Approval or Ratification of Transactions with Related Persons.”</w:t>
      </w:r>
    </w:p>
    <w:p>
      <w:pPr>
        <w:spacing w:after="0" w:line="138"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Our partnership agreement limits any fiduciary duties our general partner might owe to our Unitholders.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may exercise such discretion again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EXECUTIVE OFFICERS</w:t>
      </w:r>
    </w:p>
    <w:p>
      <w:pPr>
        <w:spacing w:after="0" w:line="166"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76"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700" w:type="dxa"/>
            <w:vAlign w:val="bottom"/>
            <w:tcBorders>
              <w:left w:val="single" w:sz="8" w:color="434F69"/>
              <w:right w:val="single" w:sz="8" w:color="434F69"/>
            </w:tcBorders>
            <w:shd w:val="clear" w:color="auto" w:fill="434F69"/>
          </w:tcPr>
          <w:p>
            <w:pPr>
              <w:spacing w:after="0"/>
              <w:rPr>
                <w:sz w:val="21"/>
                <w:szCs w:val="21"/>
                <w:color w:val="auto"/>
              </w:rPr>
            </w:pPr>
          </w:p>
        </w:tc>
        <w:tc>
          <w:tcPr>
            <w:tcW w:w="12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Age</w:t>
            </w:r>
          </w:p>
        </w:tc>
        <w:tc>
          <w:tcPr>
            <w:tcW w:w="5240" w:type="dxa"/>
            <w:vAlign w:val="bottom"/>
            <w:tcBorders>
              <w:right w:val="single" w:sz="8" w:color="434F69"/>
            </w:tcBorders>
            <w:shd w:val="clear" w:color="auto" w:fill="434F69"/>
          </w:tcPr>
          <w:p>
            <w:pPr>
              <w:spacing w:after="0"/>
              <w:rPr>
                <w:sz w:val="21"/>
                <w:szCs w:val="21"/>
                <w:color w:val="auto"/>
              </w:rPr>
            </w:pPr>
          </w:p>
        </w:tc>
      </w:tr>
      <w:tr>
        <w:trPr>
          <w:trHeight w:val="196"/>
        </w:trPr>
        <w:tc>
          <w:tcPr>
            <w:tcW w:w="1700" w:type="dxa"/>
            <w:vAlign w:val="bottom"/>
            <w:tcBorders>
              <w:left w:val="single" w:sz="8" w:color="434F69"/>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28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(as of 3/28/22)</w:t>
            </w:r>
          </w:p>
        </w:tc>
        <w:tc>
          <w:tcPr>
            <w:tcW w:w="5240" w:type="dxa"/>
            <w:vAlign w:val="bottom"/>
            <w:tcBorders>
              <w:bottom w:val="single" w:sz="8" w:color="434F69"/>
              <w:right w:val="single" w:sz="8" w:color="434F69"/>
            </w:tcBorders>
            <w:shd w:val="clear" w:color="auto" w:fill="434F69"/>
          </w:tcPr>
          <w:p>
            <w:pPr>
              <w:ind w:left="2300"/>
              <w:spacing w:after="0"/>
              <w:rPr>
                <w:sz w:val="20"/>
                <w:szCs w:val="20"/>
                <w:color w:val="auto"/>
              </w:rPr>
            </w:pPr>
            <w:r>
              <w:rPr>
                <w:rFonts w:ascii="Arial" w:cs="Arial" w:eastAsia="Arial" w:hAnsi="Arial"/>
                <w:sz w:val="14"/>
                <w:szCs w:val="14"/>
                <w:b w:val="1"/>
                <w:bCs w:val="1"/>
                <w:color w:val="FFFFFF"/>
              </w:rPr>
              <w:t>Position</w:t>
            </w:r>
          </w:p>
        </w:tc>
      </w:tr>
      <w:tr>
        <w:trPr>
          <w:trHeight w:val="250"/>
        </w:trPr>
        <w:tc>
          <w:tcPr>
            <w:tcW w:w="170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28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9"/>
              </w:rPr>
              <w:t>61</w:t>
            </w:r>
          </w:p>
        </w:tc>
        <w:tc>
          <w:tcPr>
            <w:tcW w:w="5240" w:type="dxa"/>
            <w:vAlign w:val="bottom"/>
            <w:tcBorders>
              <w:bottom w:val="single" w:sz="8" w:color="434F69"/>
              <w:right w:val="single" w:sz="8" w:color="434F69"/>
            </w:tcBorders>
            <w:shd w:val="clear" w:color="auto" w:fill="D9DCE1"/>
          </w:tcPr>
          <w:p>
            <w:pPr>
              <w:ind w:left="160"/>
              <w:spacing w:after="0"/>
              <w:rPr>
                <w:sz w:val="20"/>
                <w:szCs w:val="20"/>
                <w:color w:val="auto"/>
              </w:rPr>
            </w:pPr>
            <w:r>
              <w:rPr>
                <w:rFonts w:ascii="Arial" w:cs="Arial" w:eastAsia="Arial" w:hAnsi="Arial"/>
                <w:sz w:val="18"/>
                <w:szCs w:val="18"/>
                <w:color w:val="auto"/>
              </w:rPr>
              <w:t>Chairman of the Board and Chief Executive Officer</w:t>
            </w:r>
          </w:p>
        </w:tc>
      </w:tr>
      <w:tr>
        <w:trPr>
          <w:trHeight w:val="250"/>
        </w:trPr>
        <w:tc>
          <w:tcPr>
            <w:tcW w:w="170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N. Pefanis*</w:t>
            </w:r>
          </w:p>
        </w:tc>
        <w:tc>
          <w:tcPr>
            <w:tcW w:w="12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9"/>
              </w:rPr>
              <w:t>64</w:t>
            </w:r>
          </w:p>
        </w:tc>
        <w:tc>
          <w:tcPr>
            <w:tcW w:w="5240" w:type="dxa"/>
            <w:vAlign w:val="bottom"/>
            <w:tcBorders>
              <w:bottom w:val="single" w:sz="8" w:color="434F69"/>
              <w:right w:val="single" w:sz="8" w:color="434F69"/>
            </w:tcBorders>
          </w:tcPr>
          <w:p>
            <w:pPr>
              <w:ind w:left="160"/>
              <w:spacing w:after="0"/>
              <w:rPr>
                <w:sz w:val="20"/>
                <w:szCs w:val="20"/>
                <w:color w:val="auto"/>
              </w:rPr>
            </w:pPr>
            <w:r>
              <w:rPr>
                <w:rFonts w:ascii="Arial" w:cs="Arial" w:eastAsia="Arial" w:hAnsi="Arial"/>
                <w:sz w:val="18"/>
                <w:szCs w:val="18"/>
                <w:color w:val="auto"/>
              </w:rPr>
              <w:t>President and Director</w:t>
            </w:r>
          </w:p>
        </w:tc>
      </w:tr>
      <w:tr>
        <w:trPr>
          <w:trHeight w:val="250"/>
        </w:trPr>
        <w:tc>
          <w:tcPr>
            <w:tcW w:w="170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28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9"/>
              </w:rPr>
              <w:t>58</w:t>
            </w:r>
          </w:p>
        </w:tc>
        <w:tc>
          <w:tcPr>
            <w:tcW w:w="5240" w:type="dxa"/>
            <w:vAlign w:val="bottom"/>
            <w:tcBorders>
              <w:bottom w:val="single" w:sz="8" w:color="434F69"/>
              <w:right w:val="single" w:sz="8" w:color="434F69"/>
            </w:tcBorders>
            <w:shd w:val="clear" w:color="auto" w:fill="D9DCE1"/>
          </w:tcPr>
          <w:p>
            <w:pPr>
              <w:ind w:left="16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0"/>
        </w:trPr>
        <w:tc>
          <w:tcPr>
            <w:tcW w:w="170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K. McGee</w:t>
            </w:r>
          </w:p>
        </w:tc>
        <w:tc>
          <w:tcPr>
            <w:tcW w:w="12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9"/>
              </w:rPr>
              <w:t>61</w:t>
            </w:r>
          </w:p>
        </w:tc>
        <w:tc>
          <w:tcPr>
            <w:tcW w:w="5240" w:type="dxa"/>
            <w:vAlign w:val="bottom"/>
            <w:tcBorders>
              <w:bottom w:val="single" w:sz="8" w:color="434F69"/>
              <w:right w:val="single" w:sz="8" w:color="434F69"/>
            </w:tcBorders>
          </w:tcPr>
          <w:p>
            <w:pPr>
              <w:ind w:left="16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50"/>
        </w:trPr>
        <w:tc>
          <w:tcPr>
            <w:tcW w:w="170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R. Chandler</w:t>
            </w:r>
          </w:p>
        </w:tc>
        <w:tc>
          <w:tcPr>
            <w:tcW w:w="128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9"/>
              </w:rPr>
              <w:t>50</w:t>
            </w:r>
          </w:p>
        </w:tc>
        <w:tc>
          <w:tcPr>
            <w:tcW w:w="5240" w:type="dxa"/>
            <w:vAlign w:val="bottom"/>
            <w:tcBorders>
              <w:bottom w:val="single" w:sz="8" w:color="434F69"/>
              <w:right w:val="single" w:sz="8" w:color="434F69"/>
            </w:tcBorders>
            <w:shd w:val="clear" w:color="auto" w:fill="D9DCE1"/>
          </w:tcPr>
          <w:p>
            <w:pPr>
              <w:ind w:left="160"/>
              <w:spacing w:after="0"/>
              <w:rPr>
                <w:sz w:val="20"/>
                <w:szCs w:val="20"/>
                <w:color w:val="auto"/>
              </w:rPr>
            </w:pPr>
            <w:r>
              <w:rPr>
                <w:rFonts w:ascii="Arial" w:cs="Arial" w:eastAsia="Arial" w:hAnsi="Arial"/>
                <w:sz w:val="18"/>
                <w:szCs w:val="18"/>
                <w:color w:val="auto"/>
              </w:rPr>
              <w:t>Executive Vice President and Chief Operating Officer</w:t>
            </w:r>
          </w:p>
        </w:tc>
      </w:tr>
      <w:tr>
        <w:trPr>
          <w:trHeight w:val="250"/>
        </w:trPr>
        <w:tc>
          <w:tcPr>
            <w:tcW w:w="170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L. Goebel</w:t>
            </w:r>
          </w:p>
        </w:tc>
        <w:tc>
          <w:tcPr>
            <w:tcW w:w="12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9"/>
              </w:rPr>
              <w:t>44</w:t>
            </w:r>
          </w:p>
        </w:tc>
        <w:tc>
          <w:tcPr>
            <w:tcW w:w="5240" w:type="dxa"/>
            <w:vAlign w:val="bottom"/>
            <w:tcBorders>
              <w:bottom w:val="single" w:sz="8" w:color="434F69"/>
              <w:right w:val="single" w:sz="8" w:color="434F69"/>
            </w:tcBorders>
          </w:tcPr>
          <w:p>
            <w:pPr>
              <w:ind w:left="160"/>
              <w:spacing w:after="0"/>
              <w:rPr>
                <w:sz w:val="20"/>
                <w:szCs w:val="20"/>
                <w:color w:val="auto"/>
              </w:rPr>
            </w:pPr>
            <w:r>
              <w:rPr>
                <w:rFonts w:ascii="Arial" w:cs="Arial" w:eastAsia="Arial" w:hAnsi="Arial"/>
                <w:sz w:val="18"/>
                <w:szCs w:val="18"/>
                <w:color w:val="auto"/>
              </w:rPr>
              <w:t>Executive Vice President and Chief Commercial Officer</w:t>
            </w:r>
          </w:p>
        </w:tc>
      </w:tr>
      <w:tr>
        <w:trPr>
          <w:trHeight w:val="250"/>
        </w:trPr>
        <w:tc>
          <w:tcPr>
            <w:tcW w:w="170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Herbold</w:t>
            </w:r>
          </w:p>
        </w:tc>
        <w:tc>
          <w:tcPr>
            <w:tcW w:w="128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9"/>
              </w:rPr>
              <w:t>49</w:t>
            </w:r>
          </w:p>
        </w:tc>
        <w:tc>
          <w:tcPr>
            <w:tcW w:w="5240" w:type="dxa"/>
            <w:vAlign w:val="bottom"/>
            <w:tcBorders>
              <w:bottom w:val="single" w:sz="8" w:color="434F69"/>
              <w:right w:val="single" w:sz="8" w:color="434F69"/>
            </w:tcBorders>
            <w:shd w:val="clear" w:color="auto" w:fill="D9DCE1"/>
          </w:tcPr>
          <w:p>
            <w:pPr>
              <w:ind w:left="160"/>
              <w:spacing w:after="0"/>
              <w:rPr>
                <w:sz w:val="20"/>
                <w:szCs w:val="20"/>
                <w:color w:val="auto"/>
              </w:rPr>
            </w:pPr>
            <w:r>
              <w:rPr>
                <w:rFonts w:ascii="Arial" w:cs="Arial" w:eastAsia="Arial" w:hAnsi="Arial"/>
                <w:sz w:val="18"/>
                <w:szCs w:val="18"/>
                <w:color w:val="auto"/>
              </w:rPr>
              <w:t>Senior Vice President, Finance and 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291465</wp:posOffset>
            </wp:positionV>
            <wp:extent cx="12344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1620" w:right="479" w:hanging="360"/>
        <w:spacing w:after="0" w:line="261"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Biographical information for Messrs. Chiang and Pefanis is located under Proposal 1 — Election of Class II Directors.</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i w:val="1"/>
          <w:iCs w:val="1"/>
          <w:color w:val="auto"/>
        </w:rPr>
        <w:t xml:space="preserve">Al Swanson </w:t>
      </w:r>
      <w:r>
        <w:rPr>
          <w:rFonts w:ascii="Arial" w:cs="Arial" w:eastAsia="Arial" w:hAnsi="Arial"/>
          <w:sz w:val="18"/>
          <w:szCs w:val="18"/>
          <w:color w:val="auto"/>
        </w:rPr>
        <w:t>has served as Executive Vice President and Chief Financial Officer of GP LLC since</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2011. He previously served as Senior Vice President and Chief Financial Officer from November 2008 through February 2011, as Senior Vice President — Finance from August 2008 until November 2008 and as Senior Vice President — Finance and Treasurer from August 2007 until August 2008. He served as Vice President — 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 — SOCO Offshore, Inc. from 1997, and Accounting Manager from 1992. Mr. Swanson began his career with Apache Corporation in 1986 serving in internal audit and accounting. Mr. Swanson also serves as Executive Vice President and Chief Financial Officer of PAGP GP.</w:t>
      </w:r>
    </w:p>
    <w:p>
      <w:pPr>
        <w:spacing w:after="0" w:line="130"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i w:val="1"/>
          <w:iCs w:val="1"/>
          <w:color w:val="auto"/>
        </w:rPr>
        <w:t xml:space="preserve">Richard K. McGee </w:t>
      </w:r>
      <w:r>
        <w:rPr>
          <w:rFonts w:ascii="Arial" w:cs="Arial" w:eastAsia="Arial" w:hAnsi="Arial"/>
          <w:sz w:val="18"/>
          <w:szCs w:val="18"/>
          <w:color w:val="auto"/>
        </w:rPr>
        <w:t>has served as Executive Vice President, General Counsel and Secretary of</w:t>
      </w:r>
      <w:r>
        <w:rPr>
          <w:rFonts w:ascii="Arial" w:cs="Arial" w:eastAsia="Arial" w:hAnsi="Arial"/>
          <w:sz w:val="18"/>
          <w:szCs w:val="18"/>
          <w:i w:val="1"/>
          <w:iCs w:val="1"/>
          <w:color w:val="auto"/>
        </w:rPr>
        <w:t xml:space="preserve"> </w:t>
      </w:r>
      <w:r>
        <w:rPr>
          <w:rFonts w:ascii="Arial" w:cs="Arial" w:eastAsia="Arial" w:hAnsi="Arial"/>
          <w:sz w:val="18"/>
          <w:szCs w:val="18"/>
          <w:color w:val="auto"/>
        </w:rPr>
        <w:t>GP LLC since February 2013. He served as Vice President, General Counsel and Secretary from March 2012 until February 2013 and served as Vice President and Deputy General Counsel from August 2011 through March 2012. He also served as Vice President — 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11"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i w:val="1"/>
          <w:iCs w:val="1"/>
          <w:color w:val="auto"/>
        </w:rPr>
        <w:t xml:space="preserve">Chris R. Chandler </w:t>
      </w:r>
      <w:r>
        <w:rPr>
          <w:rFonts w:ascii="Arial" w:cs="Arial" w:eastAsia="Arial" w:hAnsi="Arial"/>
          <w:sz w:val="18"/>
          <w:szCs w:val="18"/>
          <w:color w:val="auto"/>
        </w:rPr>
        <w:t>has served as Executive Vice President and Chief Operating Officer of GP LLC</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March 2019. He served as Senior Vice President — Strategic Planning and Acquisitions since joining Plains in May 2018 until March 2019. Mr. Chandler has more than 25 years of energy industry experience. Prior to joining Plains, he served in a number of leadership roles at Phillips 66, most recently as General Manager — Corporate Strategy, and previously as General Manager — Midstream Commercial and Business Development, as well as numerous leadership roles in refining. Mr. Chandler also serves as Executive Vice President and Chief Operating Officer of PAGP GP.</w:t>
      </w:r>
    </w:p>
    <w:p>
      <w:pPr>
        <w:sectPr>
          <w:pgSz w:w="11900" w:h="16838" w:orient="portrait"/>
          <w:cols w:equalWidth="0" w:num="1">
            <w:col w:w="9879"/>
          </w:cols>
          <w:pgMar w:left="580" w:top="131"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i w:val="1"/>
          <w:iCs w:val="1"/>
          <w:color w:val="auto"/>
        </w:rPr>
        <w:t xml:space="preserve">Jeremy L. Goebel </w:t>
      </w:r>
      <w:r>
        <w:rPr>
          <w:rFonts w:ascii="Arial" w:cs="Arial" w:eastAsia="Arial" w:hAnsi="Arial"/>
          <w:sz w:val="18"/>
          <w:szCs w:val="18"/>
          <w:color w:val="auto"/>
        </w:rPr>
        <w:t>has served as Executive Vice President and Chief Commercial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2021. He previously served as Executive Vice President — Commercial of GP LLC from March 2019 until March 2021, as Senior Group Vice President — Commercial from May 2018 to March 2019, as Senior Vice President — Acquisitions and Strategic Planning from April 2017 until May 2018, as Vice President — Acquisitions and Strategic Planning from July 2015 until April 2017, as Assistant Vice President — Lease Supply from July 2014 until July 2015, and as Managing Director — Acquisitions and Strategic Planning from January 2013 until July 2014. Prior to joining Plains in 2013, he was employed by Simmons &amp; Company International. Mr. Goebel has over 20 years of energy and investment banking experience. Mr. Goebel also serves as Executive Vice President and Chief Commercial Officer of PAGP GP.</w:t>
      </w:r>
    </w:p>
    <w:p>
      <w:pPr>
        <w:spacing w:after="0" w:line="10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i w:val="1"/>
          <w:iCs w:val="1"/>
          <w:color w:val="auto"/>
        </w:rPr>
        <w:t xml:space="preserve">Chris Herbold </w:t>
      </w:r>
      <w:r>
        <w:rPr>
          <w:rFonts w:ascii="Arial" w:cs="Arial" w:eastAsia="Arial" w:hAnsi="Arial"/>
          <w:sz w:val="18"/>
          <w:szCs w:val="18"/>
          <w:color w:val="auto"/>
        </w:rPr>
        <w:t>has served as Senior Vice President, Finance and Chief Accounting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GP LLC since August 2021, and served as Senior Vice President and Chief Accounting Officer of GP LLC from August 2018 until August 2021. He served as Vice President — Accounting and Chief Accounting Officer from August 2010 until August 2018. He 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Senior Vice President, Finance and Chief Accounting Officer of PAGP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6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compensation committee reviews and makes recommendations to the Board regarding the compensation for our executive officers and directors. In fulfilling its oversight responsibilities, the compensation committee reviewed and discussed the following Compensation Discussion and Analysis (sometimes referred to as “CD&amp;A”) with management and, based on such review and discussion, has recommended to the Board that the Compensation Discussion and Analysis be included in this proxy statement.</w:t>
      </w:r>
    </w:p>
    <w:p>
      <w:pPr>
        <w:spacing w:after="0" w:line="1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John T. Raymond, </w:t>
      </w:r>
      <w:r>
        <w:rPr>
          <w:rFonts w:ascii="Arial" w:cs="Arial" w:eastAsia="Arial" w:hAnsi="Arial"/>
          <w:sz w:val="18"/>
          <w:szCs w:val="18"/>
          <w:i w:val="1"/>
          <w:iCs w:val="1"/>
          <w:color w:val="auto"/>
        </w:rPr>
        <w:t>Chairman</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Gary R. Petersen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Christopher M. Temple</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80"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For 2021, our Named Executive Officers (sometimes referred to as “NEOs”) include our CEO, our President, our CFO, and the three most highly compensated executive officers (other than our CEO and CFO). Our NEOs for 2021 include the following individuals:</w:t>
      </w:r>
    </w:p>
    <w:p>
      <w:pPr>
        <w:spacing w:after="0" w:line="162" w:lineRule="exact"/>
        <w:rPr>
          <w:sz w:val="20"/>
          <w:szCs w:val="20"/>
          <w:color w:val="auto"/>
        </w:rPr>
      </w:pPr>
    </w:p>
    <w:tbl>
      <w:tblPr>
        <w:tblLayout w:type="fixed"/>
        <w:tblInd w:w="1630" w:type="dxa"/>
        <w:tblCellMar>
          <w:top w:w="0" w:type="dxa"/>
          <w:left w:w="0" w:type="dxa"/>
          <w:bottom w:w="0" w:type="dxa"/>
          <w:right w:w="0" w:type="dxa"/>
        </w:tblCellMar>
      </w:tblPr>
      <w:tr>
        <w:trPr>
          <w:trHeight w:val="277"/>
        </w:trPr>
        <w:tc>
          <w:tcPr>
            <w:tcW w:w="4120" w:type="dxa"/>
            <w:vAlign w:val="bottom"/>
            <w:tcBorders>
              <w:left w:val="single" w:sz="8" w:color="434F69"/>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3360" w:type="dxa"/>
            <w:vAlign w:val="bottom"/>
            <w:tcBorders>
              <w:bottom w:val="single" w:sz="8" w:color="434F69"/>
              <w:right w:val="single" w:sz="8" w:color="434F69"/>
            </w:tcBorders>
            <w:shd w:val="clear" w:color="auto" w:fill="434F69"/>
          </w:tcPr>
          <w:p>
            <w:pPr>
              <w:ind w:left="1460"/>
              <w:spacing w:after="0"/>
              <w:rPr>
                <w:sz w:val="20"/>
                <w:szCs w:val="20"/>
                <w:color w:val="auto"/>
              </w:rPr>
            </w:pPr>
            <w:r>
              <w:rPr>
                <w:rFonts w:ascii="Arial" w:cs="Arial" w:eastAsia="Arial" w:hAnsi="Arial"/>
                <w:sz w:val="14"/>
                <w:szCs w:val="14"/>
                <w:b w:val="1"/>
                <w:bCs w:val="1"/>
                <w:color w:val="FFFFFF"/>
              </w:rPr>
              <w:t>Title</w:t>
            </w:r>
          </w:p>
        </w:tc>
      </w:tr>
      <w:tr>
        <w:trPr>
          <w:trHeight w:val="250"/>
        </w:trPr>
        <w:tc>
          <w:tcPr>
            <w:tcW w:w="412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336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rPr>
              <w:t>Chairman and Chief Executive Officer</w:t>
            </w:r>
          </w:p>
        </w:tc>
      </w:tr>
      <w:tr>
        <w:trPr>
          <w:trHeight w:val="250"/>
        </w:trPr>
        <w:tc>
          <w:tcPr>
            <w:tcW w:w="41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33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8"/>
                <w:szCs w:val="18"/>
                <w:color w:val="auto"/>
              </w:rPr>
              <w:t>President</w:t>
            </w:r>
          </w:p>
        </w:tc>
      </w:tr>
      <w:tr>
        <w:trPr>
          <w:trHeight w:val="250"/>
        </w:trPr>
        <w:tc>
          <w:tcPr>
            <w:tcW w:w="412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336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rPr>
              <w:t>EVP and Chief Financial Officer</w:t>
            </w:r>
          </w:p>
        </w:tc>
      </w:tr>
      <w:tr>
        <w:trPr>
          <w:trHeight w:val="250"/>
        </w:trPr>
        <w:tc>
          <w:tcPr>
            <w:tcW w:w="41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33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8"/>
                <w:szCs w:val="18"/>
                <w:color w:val="auto"/>
              </w:rPr>
              <w:t>EVP, General Counsel and Secretary</w:t>
            </w:r>
          </w:p>
        </w:tc>
      </w:tr>
      <w:tr>
        <w:trPr>
          <w:trHeight w:val="250"/>
        </w:trPr>
        <w:tc>
          <w:tcPr>
            <w:tcW w:w="412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336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rPr>
              <w:t>EVP and Chief Operating Officer</w:t>
            </w:r>
          </w:p>
        </w:tc>
      </w:tr>
      <w:tr>
        <w:trPr>
          <w:trHeight w:val="250"/>
        </w:trPr>
        <w:tc>
          <w:tcPr>
            <w:tcW w:w="41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33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8"/>
                <w:szCs w:val="18"/>
                <w:color w:val="auto"/>
              </w:rPr>
              <w:t>EVP and Chief Commercial Officer</w:t>
            </w:r>
          </w:p>
        </w:tc>
      </w:tr>
    </w:tbl>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2021 Executive Compensation Highlights</w:t>
      </w:r>
    </w:p>
    <w:p>
      <w:pPr>
        <w:spacing w:after="0" w:line="180" w:lineRule="exact"/>
        <w:rPr>
          <w:sz w:val="20"/>
          <w:szCs w:val="20"/>
          <w:color w:val="auto"/>
        </w:rPr>
      </w:pPr>
    </w:p>
    <w:p>
      <w:pPr>
        <w:ind w:left="1260" w:right="419" w:firstLine="360"/>
        <w:spacing w:after="0" w:line="278" w:lineRule="auto"/>
        <w:rPr>
          <w:sz w:val="20"/>
          <w:szCs w:val="20"/>
          <w:color w:val="auto"/>
        </w:rPr>
      </w:pPr>
      <w:r>
        <w:rPr>
          <w:rFonts w:ascii="Arial" w:cs="Arial" w:eastAsia="Arial" w:hAnsi="Arial"/>
          <w:sz w:val="17"/>
          <w:szCs w:val="17"/>
          <w:color w:val="auto"/>
        </w:rPr>
        <w:t>The discussion set forth below in this Compensation Discussion and Analysis describes our current approach to executive compensation and elaborates upon the various actions taken and adjustments made with respect to our executive compensation program. Highlights for 2021 include the following:</w:t>
      </w:r>
    </w:p>
    <w:p>
      <w:pPr>
        <w:spacing w:after="0" w:line="68" w:lineRule="exact"/>
        <w:rPr>
          <w:sz w:val="20"/>
          <w:szCs w:val="20"/>
          <w:color w:val="auto"/>
        </w:rPr>
      </w:pPr>
    </w:p>
    <w:p>
      <w:pPr>
        <w:ind w:left="1800" w:right="639" w:hanging="180"/>
        <w:spacing w:after="0" w:line="28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Base Salaries</w:t>
      </w:r>
      <w:r>
        <w:rPr>
          <w:rFonts w:ascii="Arial" w:cs="Arial" w:eastAsia="Arial" w:hAnsi="Arial"/>
          <w:sz w:val="18"/>
          <w:szCs w:val="18"/>
          <w:color w:val="auto"/>
        </w:rPr>
        <w:t>: NEO base salaries were unchanged from 2020; no increases were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for 2021.</w:t>
      </w:r>
    </w:p>
    <w:p>
      <w:pPr>
        <w:spacing w:after="0" w:line="71" w:lineRule="exact"/>
        <w:rPr>
          <w:rFonts w:ascii="Arial" w:cs="Arial" w:eastAsia="Arial" w:hAnsi="Arial"/>
          <w:sz w:val="18"/>
          <w:szCs w:val="18"/>
          <w:color w:val="auto"/>
        </w:rPr>
      </w:pPr>
    </w:p>
    <w:p>
      <w:pPr>
        <w:ind w:left="1800" w:right="699" w:hanging="180"/>
        <w:spacing w:after="0" w:line="268"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Annual Bonus</w:t>
      </w:r>
      <w:r>
        <w:rPr>
          <w:rFonts w:ascii="Arial" w:cs="Arial" w:eastAsia="Arial" w:hAnsi="Arial"/>
          <w:sz w:val="18"/>
          <w:szCs w:val="18"/>
          <w:color w:val="auto"/>
        </w:rPr>
        <w:t>: Primarily due to above-target earnings (EBITDA) and cash flow (DCF/CUE)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 2021, NEO bonuses paid out above target, with our CEO earning a bonus at 114% of target and our other NEOs earning bonuses at 128% of target on average.</w:t>
      </w:r>
    </w:p>
    <w:p>
      <w:pPr>
        <w:spacing w:after="0" w:line="89" w:lineRule="exact"/>
        <w:rPr>
          <w:rFonts w:ascii="Arial" w:cs="Arial" w:eastAsia="Arial" w:hAnsi="Arial"/>
          <w:sz w:val="18"/>
          <w:szCs w:val="18"/>
          <w:color w:val="auto"/>
        </w:rPr>
      </w:pPr>
    </w:p>
    <w:p>
      <w:pPr>
        <w:jc w:val="both"/>
        <w:ind w:left="1800" w:right="699" w:hanging="180"/>
        <w:spacing w:after="0" w:line="268"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Long-Term Incentives</w:t>
      </w:r>
      <w:r>
        <w:rPr>
          <w:rFonts w:ascii="Arial" w:cs="Arial" w:eastAsia="Arial" w:hAnsi="Arial"/>
          <w:sz w:val="18"/>
          <w:szCs w:val="18"/>
          <w:color w:val="auto"/>
        </w:rPr>
        <w:t>: We granted equity incentives to our NEOs, 50% in the form of time-based units and 50% in the form of performance-based units that can be earned based upon TSR and DCF results over a cumulative three-year performance period.</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Compensation General Philosophy and Approach</w:t>
      </w:r>
    </w:p>
    <w:p>
      <w:pPr>
        <w:spacing w:after="0" w:line="166"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Our executive compensation philosophy emphasizes pay for performance, at both an individual and entity level, and places a significant portion of each Named Executive Officer’s compensation at risk. We believe this approach aligns the interests of our executive officers with the interests of our equity</w:t>
      </w: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color w:val="auto"/>
        </w:rPr>
        <w:t>holders and at the same time allows us to attract, motivate and retain key executives. The table below highlights some of the key features of our executive compensation program:</w:t>
      </w:r>
    </w:p>
    <w:p>
      <w:pPr>
        <w:spacing w:after="0" w:line="138" w:lineRule="exact"/>
        <w:rPr>
          <w:sz w:val="20"/>
          <w:szCs w:val="20"/>
          <w:color w:val="auto"/>
        </w:rPr>
      </w:pPr>
    </w:p>
    <w:tbl>
      <w:tblPr>
        <w:tblLayout w:type="fixed"/>
        <w:tblInd w:w="1270" w:type="dxa"/>
        <w:tblCellMar>
          <w:top w:w="0" w:type="dxa"/>
          <w:left w:w="0" w:type="dxa"/>
          <w:bottom w:w="0" w:type="dxa"/>
          <w:right w:w="0" w:type="dxa"/>
        </w:tblCellMar>
      </w:tblPr>
      <w:tr>
        <w:trPr>
          <w:trHeight w:val="278"/>
        </w:trPr>
        <w:tc>
          <w:tcPr>
            <w:tcW w:w="4120" w:type="dxa"/>
            <w:vAlign w:val="bottom"/>
            <w:tcBorders>
              <w:top w:val="single" w:sz="8" w:color="auto"/>
              <w:left w:val="single" w:sz="8" w:color="auto"/>
              <w:bottom w:val="single" w:sz="8" w:color="auto"/>
              <w:right w:val="single" w:sz="8" w:color="auto"/>
            </w:tcBorders>
            <w:shd w:val="clear" w:color="auto" w:fill="434F69"/>
          </w:tcPr>
          <w:p>
            <w:pPr>
              <w:ind w:left="1600"/>
              <w:spacing w:after="0"/>
              <w:rPr>
                <w:sz w:val="20"/>
                <w:szCs w:val="20"/>
                <w:color w:val="auto"/>
              </w:rPr>
            </w:pPr>
            <w:r>
              <w:rPr>
                <w:rFonts w:ascii="Arial" w:cs="Arial" w:eastAsia="Arial" w:hAnsi="Arial"/>
                <w:sz w:val="14"/>
                <w:szCs w:val="14"/>
                <w:b w:val="1"/>
                <w:bCs w:val="1"/>
                <w:color w:val="FFFFFF"/>
              </w:rPr>
              <w:t>What We Do</w:t>
            </w:r>
          </w:p>
        </w:tc>
        <w:tc>
          <w:tcPr>
            <w:tcW w:w="4100" w:type="dxa"/>
            <w:vAlign w:val="bottom"/>
            <w:tcBorders>
              <w:top w:val="single" w:sz="8" w:color="auto"/>
              <w:bottom w:val="single" w:sz="8" w:color="auto"/>
              <w:right w:val="single" w:sz="8" w:color="auto"/>
            </w:tcBorders>
            <w:shd w:val="clear" w:color="auto" w:fill="434F69"/>
          </w:tcPr>
          <w:p>
            <w:pPr>
              <w:ind w:left="1440"/>
              <w:spacing w:after="0"/>
              <w:rPr>
                <w:sz w:val="20"/>
                <w:szCs w:val="20"/>
                <w:color w:val="auto"/>
              </w:rPr>
            </w:pPr>
            <w:r>
              <w:rPr>
                <w:rFonts w:ascii="Arial" w:cs="Arial" w:eastAsia="Arial" w:hAnsi="Arial"/>
                <w:sz w:val="14"/>
                <w:szCs w:val="14"/>
                <w:b w:val="1"/>
                <w:bCs w:val="1"/>
                <w:color w:val="FFFFFF"/>
              </w:rPr>
              <w:t>What We Don’t Do</w:t>
            </w:r>
          </w:p>
        </w:tc>
        <w:tc>
          <w:tcPr>
            <w:tcW w:w="0" w:type="dxa"/>
            <w:vAlign w:val="bottom"/>
          </w:tcPr>
          <w:p>
            <w:pPr>
              <w:spacing w:after="0"/>
              <w:rPr>
                <w:sz w:val="1"/>
                <w:szCs w:val="1"/>
                <w:color w:val="auto"/>
              </w:rPr>
            </w:pPr>
          </w:p>
        </w:tc>
      </w:tr>
      <w:tr>
        <w:trPr>
          <w:trHeight w:val="250"/>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We emphasize pay for performance</w:t>
            </w:r>
          </w:p>
        </w:tc>
        <w:tc>
          <w:tcPr>
            <w:tcW w:w="410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No guaranteed bonuses</w:t>
            </w:r>
          </w:p>
        </w:tc>
        <w:tc>
          <w:tcPr>
            <w:tcW w:w="0" w:type="dxa"/>
            <w:vAlign w:val="bottom"/>
          </w:tcPr>
          <w:p>
            <w:pPr>
              <w:spacing w:after="0"/>
              <w:rPr>
                <w:sz w:val="1"/>
                <w:szCs w:val="1"/>
                <w:color w:val="auto"/>
              </w:rPr>
            </w:pPr>
          </w:p>
        </w:tc>
      </w:tr>
      <w:tr>
        <w:trPr>
          <w:trHeight w:val="262"/>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Our compensation program is structured to</w:t>
            </w:r>
          </w:p>
        </w:tc>
        <w:tc>
          <w:tcPr>
            <w:tcW w:w="410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No excise tax gross ups</w:t>
            </w:r>
          </w:p>
        </w:tc>
        <w:tc>
          <w:tcPr>
            <w:tcW w:w="0" w:type="dxa"/>
            <w:vAlign w:val="bottom"/>
          </w:tcPr>
          <w:p>
            <w:pPr>
              <w:spacing w:after="0"/>
              <w:rPr>
                <w:sz w:val="1"/>
                <w:szCs w:val="1"/>
                <w:color w:val="auto"/>
              </w:rPr>
            </w:pPr>
          </w:p>
        </w:tc>
      </w:tr>
      <w:tr>
        <w:trPr>
          <w:trHeight w:val="216"/>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emphasize variable, at-risk compensation</w:t>
            </w:r>
          </w:p>
        </w:tc>
        <w:tc>
          <w:tcPr>
            <w:tcW w:w="41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Directors and officers are prohibited from</w:t>
            </w:r>
          </w:p>
        </w:tc>
        <w:tc>
          <w:tcPr>
            <w:tcW w:w="0" w:type="dxa"/>
            <w:vAlign w:val="bottom"/>
          </w:tcPr>
          <w:p>
            <w:pPr>
              <w:spacing w:after="0"/>
              <w:rPr>
                <w:sz w:val="1"/>
                <w:szCs w:val="1"/>
                <w:color w:val="auto"/>
              </w:rPr>
            </w:pPr>
          </w:p>
        </w:tc>
      </w:tr>
      <w:tr>
        <w:trPr>
          <w:trHeight w:val="108"/>
        </w:trPr>
        <w:tc>
          <w:tcPr>
            <w:tcW w:w="4120" w:type="dxa"/>
            <w:vAlign w:val="bottom"/>
            <w:tcBorders>
              <w:left w:val="single" w:sz="8" w:color="auto"/>
              <w:right w:val="single" w:sz="8" w:color="auto"/>
            </w:tcBorders>
            <w:vMerge w:val="restart"/>
          </w:tcPr>
          <w:p>
            <w:pPr>
              <w:ind w:left="420"/>
              <w:spacing w:after="0"/>
              <w:rPr>
                <w:sz w:val="20"/>
                <w:szCs w:val="20"/>
                <w:color w:val="auto"/>
              </w:rPr>
            </w:pPr>
            <w:r>
              <w:rPr>
                <w:rFonts w:ascii="Arial" w:cs="Arial" w:eastAsia="Arial" w:hAnsi="Arial"/>
                <w:sz w:val="18"/>
                <w:szCs w:val="18"/>
                <w:color w:val="auto"/>
              </w:rPr>
              <w:t>(over 80% of target NEO compensation is at</w:t>
            </w:r>
          </w:p>
        </w:tc>
        <w:tc>
          <w:tcPr>
            <w:tcW w:w="4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20" w:type="dxa"/>
            <w:vAlign w:val="bottom"/>
            <w:tcBorders>
              <w:left w:val="single" w:sz="8" w:color="auto"/>
              <w:right w:val="single" w:sz="8" w:color="auto"/>
            </w:tcBorders>
            <w:vMerge w:val="continue"/>
          </w:tcPr>
          <w:p>
            <w:pPr>
              <w:spacing w:after="0"/>
              <w:rPr>
                <w:sz w:val="9"/>
                <w:szCs w:val="9"/>
                <w:color w:val="auto"/>
              </w:rPr>
            </w:pPr>
          </w:p>
        </w:tc>
        <w:tc>
          <w:tcPr>
            <w:tcW w:w="41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hedging or pledging company securities</w:t>
            </w:r>
          </w:p>
        </w:tc>
        <w:tc>
          <w:tcPr>
            <w:tcW w:w="0" w:type="dxa"/>
            <w:vAlign w:val="bottom"/>
          </w:tcPr>
          <w:p>
            <w:pPr>
              <w:spacing w:after="0"/>
              <w:rPr>
                <w:sz w:val="1"/>
                <w:szCs w:val="1"/>
                <w:color w:val="auto"/>
              </w:rPr>
            </w:pPr>
          </w:p>
        </w:tc>
      </w:tr>
      <w:tr>
        <w:trPr>
          <w:trHeight w:val="109"/>
        </w:trPr>
        <w:tc>
          <w:tcPr>
            <w:tcW w:w="4120" w:type="dxa"/>
            <w:vAlign w:val="bottom"/>
            <w:tcBorders>
              <w:left w:val="single" w:sz="8" w:color="auto"/>
              <w:right w:val="single" w:sz="8" w:color="auto"/>
            </w:tcBorders>
            <w:vMerge w:val="restart"/>
          </w:tcPr>
          <w:p>
            <w:pPr>
              <w:ind w:left="420"/>
              <w:spacing w:after="0"/>
              <w:rPr>
                <w:sz w:val="20"/>
                <w:szCs w:val="20"/>
                <w:color w:val="auto"/>
              </w:rPr>
            </w:pPr>
            <w:r>
              <w:rPr>
                <w:rFonts w:ascii="Arial" w:cs="Arial" w:eastAsia="Arial" w:hAnsi="Arial"/>
                <w:sz w:val="18"/>
                <w:szCs w:val="18"/>
                <w:color w:val="auto"/>
              </w:rPr>
              <w:t>risk)</w:t>
            </w:r>
          </w:p>
        </w:tc>
        <w:tc>
          <w:tcPr>
            <w:tcW w:w="4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20" w:type="dxa"/>
            <w:vAlign w:val="bottom"/>
            <w:tcBorders>
              <w:left w:val="single" w:sz="8" w:color="auto"/>
              <w:right w:val="single" w:sz="8" w:color="auto"/>
            </w:tcBorders>
            <w:vMerge w:val="continue"/>
          </w:tcPr>
          <w:p>
            <w:pPr>
              <w:spacing w:after="0"/>
              <w:rPr>
                <w:sz w:val="9"/>
                <w:szCs w:val="9"/>
                <w:color w:val="auto"/>
              </w:rPr>
            </w:pPr>
          </w:p>
        </w:tc>
        <w:tc>
          <w:tcPr>
            <w:tcW w:w="4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120" w:type="dxa"/>
            <w:vAlign w:val="bottom"/>
            <w:tcBorders>
              <w:left w:val="single" w:sz="8" w:color="auto"/>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Our annual bonus program is 100%</w:t>
            </w:r>
          </w:p>
        </w:tc>
        <w:tc>
          <w:tcPr>
            <w:tcW w:w="410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Our equity plan prohibits backdating or</w:t>
            </w:r>
          </w:p>
        </w:tc>
        <w:tc>
          <w:tcPr>
            <w:tcW w:w="0" w:type="dxa"/>
            <w:vAlign w:val="bottom"/>
          </w:tcPr>
          <w:p>
            <w:pPr>
              <w:spacing w:after="0"/>
              <w:rPr>
                <w:sz w:val="1"/>
                <w:szCs w:val="1"/>
                <w:color w:val="auto"/>
              </w:rPr>
            </w:pPr>
          </w:p>
        </w:tc>
      </w:tr>
      <w:tr>
        <w:trPr>
          <w:trHeight w:val="95"/>
        </w:trPr>
        <w:tc>
          <w:tcPr>
            <w:tcW w:w="4120" w:type="dxa"/>
            <w:vAlign w:val="bottom"/>
            <w:tcBorders>
              <w:left w:val="single" w:sz="8" w:color="auto"/>
              <w:right w:val="single" w:sz="8" w:color="auto"/>
            </w:tcBorders>
            <w:vMerge w:val="continue"/>
          </w:tcPr>
          <w:p>
            <w:pPr>
              <w:spacing w:after="0"/>
              <w:rPr>
                <w:sz w:val="8"/>
                <w:szCs w:val="8"/>
                <w:color w:val="auto"/>
              </w:rPr>
            </w:pPr>
          </w:p>
        </w:tc>
        <w:tc>
          <w:tcPr>
            <w:tcW w:w="41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repricing of options</w:t>
            </w:r>
          </w:p>
        </w:tc>
        <w:tc>
          <w:tcPr>
            <w:tcW w:w="0" w:type="dxa"/>
            <w:vAlign w:val="bottom"/>
          </w:tcPr>
          <w:p>
            <w:pPr>
              <w:spacing w:after="0"/>
              <w:rPr>
                <w:sz w:val="1"/>
                <w:szCs w:val="1"/>
                <w:color w:val="auto"/>
              </w:rPr>
            </w:pPr>
          </w:p>
        </w:tc>
      </w:tr>
      <w:tr>
        <w:trPr>
          <w:trHeight w:val="122"/>
        </w:trPr>
        <w:tc>
          <w:tcPr>
            <w:tcW w:w="4120" w:type="dxa"/>
            <w:vAlign w:val="bottom"/>
            <w:tcBorders>
              <w:left w:val="single" w:sz="8" w:color="auto"/>
              <w:right w:val="single" w:sz="8" w:color="auto"/>
            </w:tcBorders>
            <w:vMerge w:val="restart"/>
          </w:tcPr>
          <w:p>
            <w:pPr>
              <w:ind w:left="420"/>
              <w:spacing w:after="0"/>
              <w:rPr>
                <w:sz w:val="20"/>
                <w:szCs w:val="20"/>
                <w:color w:val="auto"/>
              </w:rPr>
            </w:pPr>
            <w:r>
              <w:rPr>
                <w:rFonts w:ascii="Arial" w:cs="Arial" w:eastAsia="Arial" w:hAnsi="Arial"/>
                <w:sz w:val="18"/>
                <w:szCs w:val="18"/>
                <w:color w:val="auto"/>
              </w:rPr>
              <w:t>performance based with payout based on a</w:t>
            </w:r>
          </w:p>
        </w:tc>
        <w:tc>
          <w:tcPr>
            <w:tcW w:w="4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120" w:type="dxa"/>
            <w:vAlign w:val="bottom"/>
            <w:tcBorders>
              <w:left w:val="single" w:sz="8" w:color="auto"/>
              <w:right w:val="single" w:sz="8" w:color="auto"/>
            </w:tcBorders>
            <w:vMerge w:val="continue"/>
          </w:tcPr>
          <w:p>
            <w:pPr>
              <w:spacing w:after="0"/>
              <w:rPr>
                <w:sz w:val="8"/>
                <w:szCs w:val="8"/>
                <w:color w:val="auto"/>
              </w:rPr>
            </w:pPr>
          </w:p>
        </w:tc>
        <w:tc>
          <w:tcPr>
            <w:tcW w:w="4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formulaic framework</w:t>
            </w:r>
          </w:p>
        </w:tc>
        <w:tc>
          <w:tcPr>
            <w:tcW w:w="410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We did not grant any large, out of cycle</w:t>
            </w:r>
          </w:p>
        </w:tc>
        <w:tc>
          <w:tcPr>
            <w:tcW w:w="0" w:type="dxa"/>
            <w:vAlign w:val="bottom"/>
          </w:tcPr>
          <w:p>
            <w:pPr>
              <w:spacing w:after="0"/>
              <w:rPr>
                <w:sz w:val="1"/>
                <w:szCs w:val="1"/>
                <w:color w:val="auto"/>
              </w:rPr>
            </w:pPr>
          </w:p>
        </w:tc>
      </w:tr>
      <w:tr>
        <w:trPr>
          <w:trHeight w:val="297"/>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50% of NEO long-term equity incentives are</w:t>
            </w:r>
          </w:p>
        </w:tc>
        <w:tc>
          <w:tcPr>
            <w:tcW w:w="410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equity awards in 2021</w:t>
            </w: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performance based, requiring performance</w:t>
            </w:r>
          </w:p>
        </w:tc>
        <w:tc>
          <w:tcPr>
            <w:tcW w:w="410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No significant perquisites for our executive</w:t>
            </w:r>
          </w:p>
        </w:tc>
        <w:tc>
          <w:tcPr>
            <w:tcW w:w="0" w:type="dxa"/>
            <w:vAlign w:val="bottom"/>
          </w:tcPr>
          <w:p>
            <w:pPr>
              <w:spacing w:after="0"/>
              <w:rPr>
                <w:sz w:val="1"/>
                <w:szCs w:val="1"/>
                <w:color w:val="auto"/>
              </w:rPr>
            </w:pPr>
          </w:p>
        </w:tc>
      </w:tr>
      <w:tr>
        <w:trPr>
          <w:trHeight w:val="270"/>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over a multi-year period</w:t>
            </w:r>
          </w:p>
        </w:tc>
        <w:tc>
          <w:tcPr>
            <w:tcW w:w="410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r>
        <w:trPr>
          <w:trHeight w:val="269"/>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single-trigger change in control</w:t>
            </w:r>
          </w:p>
        </w:tc>
        <w:tc>
          <w:tcPr>
            <w:tcW w:w="4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protections in our long-term incentive plan</w:t>
            </w:r>
          </w:p>
        </w:tc>
        <w:tc>
          <w:tcPr>
            <w:tcW w:w="4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grants</w:t>
            </w:r>
          </w:p>
        </w:tc>
        <w:tc>
          <w:tcPr>
            <w:tcW w:w="4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Compensation program design mitigates</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against excessive risk taking</w:t>
            </w:r>
          </w:p>
        </w:tc>
        <w:tc>
          <w:tcPr>
            <w:tcW w:w="4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Independent compensation consultant</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Regular investor engagement on</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compensation and other matters</w:t>
            </w:r>
          </w:p>
        </w:tc>
        <w:tc>
          <w:tcPr>
            <w:tcW w:w="4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Equity Ownership Guidelines for executive</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officers and directors</w:t>
            </w:r>
          </w:p>
        </w:tc>
        <w:tc>
          <w:tcPr>
            <w:tcW w:w="4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Clawback Policy that applies to performance</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based cash and equity compensation</w:t>
            </w:r>
          </w:p>
        </w:tc>
        <w:tc>
          <w:tcPr>
            <w:tcW w:w="4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-3754120</wp:posOffset>
            </wp:positionV>
            <wp:extent cx="6032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-3540125</wp:posOffset>
            </wp:positionV>
            <wp:extent cx="6032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-3351530</wp:posOffset>
            </wp:positionV>
            <wp:extent cx="60325" cy="603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-2991485</wp:posOffset>
            </wp:positionV>
            <wp:extent cx="6032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-2639695</wp:posOffset>
            </wp:positionV>
            <wp:extent cx="6032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-2288540</wp:posOffset>
            </wp:positionV>
            <wp:extent cx="6032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59690"/>
                    </a:xfrm>
                    <a:prstGeom prst="rect">
                      <a:avLst/>
                    </a:prstGeom>
                    <a:noFill/>
                  </pic:spPr>
                </pic:pic>
              </a:graphicData>
            </a:graphic>
          </wp:anchor>
        </w:drawing>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Unitholder Engagement</w:t>
      </w:r>
    </w:p>
    <w:p>
      <w:pPr>
        <w:spacing w:after="0" w:line="180" w:lineRule="exact"/>
        <w:rPr>
          <w:sz w:val="20"/>
          <w:szCs w:val="20"/>
          <w:color w:val="auto"/>
        </w:rPr>
      </w:pPr>
    </w:p>
    <w:p>
      <w:pPr>
        <w:ind w:left="1260" w:right="479" w:firstLine="360"/>
        <w:spacing w:after="0" w:line="266" w:lineRule="auto"/>
        <w:rPr>
          <w:sz w:val="20"/>
          <w:szCs w:val="20"/>
          <w:color w:val="auto"/>
        </w:rPr>
      </w:pPr>
      <w:r>
        <w:rPr>
          <w:rFonts w:ascii="Arial" w:cs="Arial" w:eastAsia="Arial" w:hAnsi="Arial"/>
          <w:sz w:val="17"/>
          <w:szCs w:val="17"/>
          <w:color w:val="auto"/>
        </w:rPr>
        <w:t>At our last annual meeting, over 97% of our voting equity holders approved our executive compensation program. Although this “say on pay” vote is advisory and non-binding, our compensation committee and Board value the opinions of our unitholders and carefully consider the results of “say on pay” votes and direct feedback received from investors, among a variety of other factors, when making future compensation decisions for our Named Executive Officers. Our investor relations team regularly meets with investors and other stakeholders to seek input and feedback on a wide range of topics, including executive compensation. On an annual basis, as part of our ongoing investor outreach and engagement process, we actively solicit feedback from our larger investors regarding our executive compensation programs and other important matters, including our evolving governance practices and sustainability efforts. In connection with this process during 2021, we reached out to 12 of our largest investors (representing approximately 40% of our outstanding voting equity), and members of our executive and investor relations teams ultimately held individual meetings with investors representing approximately 33% of our outstanding voting equity. The meetings led to a number of follow-up calls and discussions and were generally well received. The constructive feedback and input we received during these meetings and during prior years was shared and discussed with our compensation committee and Board. As we strive for continuous improvement, receiving and incorporating this investor feedback into our decision making process is critical.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260" w:firstLine="360"/>
        <w:spacing w:after="0" w:line="251" w:lineRule="auto"/>
        <w:rPr>
          <w:sz w:val="20"/>
          <w:szCs w:val="20"/>
          <w:color w:val="auto"/>
        </w:rPr>
      </w:pPr>
      <w:r>
        <w:rPr>
          <w:rFonts w:ascii="Arial" w:cs="Arial" w:eastAsia="Arial" w:hAnsi="Arial"/>
          <w:sz w:val="18"/>
          <w:szCs w:val="18"/>
          <w:color w:val="auto"/>
        </w:rPr>
        <w:t>The design of our 2021 executive compensation program, and the actual compensation of our NEOs for 2021, did not materially change relative to 2020. Consistent with the level of equity support for our 2020 executive compensation program, investor feedback gathered during 2021 was generally supportive of our 2021 program and of the changes implemented in response to feedback gathered during extensive outreach during 2019 and 2020. The compensation committee and our management team are constantly reviewing the design of our programs to ensure that they remain aligned with investor interests and evolving best practices. We will continue to seek direct input from our investors as part of that process.The table below summarizes the key feedback we have received from our investors over the past several years and the changes we made to our executive compensation program during 2020 and 2021 in response to such feedback and related considerations: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280" w:type="dxa"/>
            <w:vAlign w:val="bottom"/>
            <w:tcBorders>
              <w:right w:val="single" w:sz="8" w:color="auto"/>
            </w:tcBorders>
          </w:tcPr>
          <w:p>
            <w:pPr>
              <w:spacing w:after="0"/>
              <w:rPr>
                <w:sz w:val="22"/>
                <w:szCs w:val="22"/>
                <w:color w:val="auto"/>
              </w:rPr>
            </w:pPr>
          </w:p>
        </w:tc>
        <w:tc>
          <w:tcPr>
            <w:tcW w:w="4100" w:type="dxa"/>
            <w:vAlign w:val="bottom"/>
            <w:tcBorders>
              <w:top w:val="single" w:sz="8" w:color="auto"/>
              <w:bottom w:val="single" w:sz="8" w:color="auto"/>
              <w:right w:val="single" w:sz="8" w:color="auto"/>
            </w:tcBorders>
            <w:shd w:val="clear" w:color="auto" w:fill="434F69"/>
          </w:tcPr>
          <w:p>
            <w:pPr>
              <w:ind w:left="1480"/>
              <w:spacing w:after="0"/>
              <w:rPr>
                <w:sz w:val="20"/>
                <w:szCs w:val="20"/>
                <w:color w:val="auto"/>
              </w:rPr>
            </w:pPr>
            <w:r>
              <w:rPr>
                <w:rFonts w:ascii="Arial" w:cs="Arial" w:eastAsia="Arial" w:hAnsi="Arial"/>
                <w:sz w:val="14"/>
                <w:szCs w:val="14"/>
                <w:b w:val="1"/>
                <w:bCs w:val="1"/>
                <w:color w:val="FFFFFF"/>
              </w:rPr>
              <w:t>What We Heard</w:t>
            </w:r>
          </w:p>
        </w:tc>
        <w:tc>
          <w:tcPr>
            <w:tcW w:w="60" w:type="dxa"/>
            <w:vAlign w:val="bottom"/>
            <w:tcBorders>
              <w:top w:val="single" w:sz="8" w:color="auto"/>
              <w:bottom w:val="single" w:sz="8" w:color="auto"/>
            </w:tcBorders>
            <w:shd w:val="clear" w:color="auto" w:fill="434F69"/>
          </w:tcPr>
          <w:p>
            <w:pPr>
              <w:spacing w:after="0"/>
              <w:rPr>
                <w:sz w:val="22"/>
                <w:szCs w:val="22"/>
                <w:color w:val="auto"/>
              </w:rPr>
            </w:pPr>
          </w:p>
        </w:tc>
        <w:tc>
          <w:tcPr>
            <w:tcW w:w="4040" w:type="dxa"/>
            <w:vAlign w:val="bottom"/>
            <w:tcBorders>
              <w:top w:val="single" w:sz="8" w:color="auto"/>
              <w:bottom w:val="single" w:sz="8" w:color="auto"/>
              <w:right w:val="single" w:sz="8" w:color="auto"/>
            </w:tcBorders>
            <w:shd w:val="clear" w:color="auto" w:fill="434F69"/>
          </w:tcPr>
          <w:p>
            <w:pPr>
              <w:ind w:left="1560"/>
              <w:spacing w:after="0"/>
              <w:rPr>
                <w:sz w:val="20"/>
                <w:szCs w:val="20"/>
                <w:color w:val="auto"/>
              </w:rPr>
            </w:pPr>
            <w:r>
              <w:rPr>
                <w:rFonts w:ascii="Arial" w:cs="Arial" w:eastAsia="Arial" w:hAnsi="Arial"/>
                <w:sz w:val="14"/>
                <w:szCs w:val="14"/>
                <w:b w:val="1"/>
                <w:bCs w:val="1"/>
                <w:color w:val="FFFFFF"/>
              </w:rPr>
              <w:t>What We Did</w:t>
            </w:r>
          </w:p>
        </w:tc>
        <w:tc>
          <w:tcPr>
            <w:tcW w:w="1240" w:type="dxa"/>
            <w:vAlign w:val="bottom"/>
          </w:tcPr>
          <w:p>
            <w:pPr>
              <w:spacing w:after="0"/>
              <w:rPr>
                <w:sz w:val="22"/>
                <w:szCs w:val="22"/>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Concern that DCF/CUE performance metric in</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In 2020, we changed the DCF/CUE performance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equity incentives did not require performance</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metric in our long-term equity incentive awards to</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throughout three year grant period and allowed</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require performance over a full 12-quarter period</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too long of a period (4 years) to achieve target</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vs. any trailing 4-quarter period, and we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spacing w:after="0"/>
              <w:rPr>
                <w:sz w:val="18"/>
                <w:szCs w:val="18"/>
                <w:color w:val="auto"/>
              </w:rPr>
            </w:pP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shortened the performance period to three years,</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spacing w:after="0"/>
              <w:rPr>
                <w:sz w:val="18"/>
                <w:szCs w:val="18"/>
                <w:color w:val="auto"/>
              </w:rPr>
            </w:pP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eliminating the extra one-year “tail” period. These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spacing w:after="0"/>
              <w:rPr>
                <w:sz w:val="18"/>
                <w:szCs w:val="18"/>
                <w:color w:val="auto"/>
              </w:rPr>
            </w:pP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enhancements are also reflected in our 2021</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shd w:val="clear" w:color="auto" w:fill="D9DCE1"/>
          </w:tcPr>
          <w:p>
            <w:pPr>
              <w:spacing w:after="0"/>
              <w:rPr>
                <w:sz w:val="18"/>
                <w:szCs w:val="18"/>
                <w:color w:val="auto"/>
              </w:rPr>
            </w:pPr>
          </w:p>
        </w:tc>
        <w:tc>
          <w:tcPr>
            <w:tcW w:w="60" w:type="dxa"/>
            <w:vAlign w:val="bottom"/>
            <w:tcBorders>
              <w:bottom w:val="single" w:sz="8" w:color="auto"/>
            </w:tcBorders>
            <w:shd w:val="clear" w:color="auto" w:fill="D9DCE1"/>
          </w:tcPr>
          <w:p>
            <w:pPr>
              <w:spacing w:after="0"/>
              <w:rPr>
                <w:sz w:val="18"/>
                <w:szCs w:val="18"/>
                <w:color w:val="auto"/>
              </w:rPr>
            </w:pPr>
          </w:p>
        </w:tc>
        <w:tc>
          <w:tcPr>
            <w:tcW w:w="404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long-term incentive awards.</w:t>
            </w:r>
          </w:p>
        </w:tc>
        <w:tc>
          <w:tcPr>
            <w:tcW w:w="1240" w:type="dxa"/>
            <w:vAlign w:val="bottom"/>
          </w:tcPr>
          <w:p>
            <w:pPr>
              <w:spacing w:after="0"/>
              <w:rPr>
                <w:sz w:val="18"/>
                <w:szCs w:val="18"/>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Concern that DCF/CUE performance metric in</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Our 2020 and 2021 long-term incentive awards</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long-term incentive awards could incentivize</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include a leverage modifier to mitigate this</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management to inappropriately increase leverage</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concern. Payout on cumulative three-year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to meet targets</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DCF/CUE metric is subject to increase or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decrease based on comparison of leverage ratio</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 end of three year measurement period to the</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target leverage ratio established at time of grant.</w:t>
            </w:r>
          </w:p>
        </w:tc>
        <w:tc>
          <w:tcPr>
            <w:tcW w:w="1240" w:type="dxa"/>
            <w:vAlign w:val="bottom"/>
          </w:tcPr>
          <w:p>
            <w:pPr>
              <w:spacing w:after="0"/>
              <w:rPr>
                <w:sz w:val="18"/>
                <w:szCs w:val="18"/>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Investor desire for use of a relative, returns-</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In 2020, we added a relative total shareholder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based performance metric in our equity incentive</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return metric with an absolute TSR modifier to</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program</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our long-term equity incentive awards. These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spacing w:after="0"/>
              <w:rPr>
                <w:sz w:val="18"/>
                <w:szCs w:val="18"/>
                <w:color w:val="auto"/>
              </w:rPr>
            </w:pP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performance metrics were also included in our</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shd w:val="clear" w:color="auto" w:fill="D9DCE1"/>
          </w:tcPr>
          <w:p>
            <w:pPr>
              <w:spacing w:after="0"/>
              <w:rPr>
                <w:sz w:val="18"/>
                <w:szCs w:val="18"/>
                <w:color w:val="auto"/>
              </w:rPr>
            </w:pPr>
          </w:p>
        </w:tc>
        <w:tc>
          <w:tcPr>
            <w:tcW w:w="60" w:type="dxa"/>
            <w:vAlign w:val="bottom"/>
            <w:tcBorders>
              <w:bottom w:val="single" w:sz="8" w:color="auto"/>
            </w:tcBorders>
            <w:shd w:val="clear" w:color="auto" w:fill="D9DCE1"/>
          </w:tcPr>
          <w:p>
            <w:pPr>
              <w:spacing w:after="0"/>
              <w:rPr>
                <w:sz w:val="18"/>
                <w:szCs w:val="18"/>
                <w:color w:val="auto"/>
              </w:rPr>
            </w:pPr>
          </w:p>
        </w:tc>
        <w:tc>
          <w:tcPr>
            <w:tcW w:w="404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2021 long-term incentive awards.</w:t>
            </w:r>
          </w:p>
        </w:tc>
        <w:tc>
          <w:tcPr>
            <w:tcW w:w="1240" w:type="dxa"/>
            <w:vAlign w:val="bottom"/>
          </w:tcPr>
          <w:p>
            <w:pPr>
              <w:spacing w:after="0"/>
              <w:rPr>
                <w:sz w:val="18"/>
                <w:szCs w:val="18"/>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Investors would like to see more use of ESG</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 continue to use safety and environmental</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metrics in our performance-based incentive</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metrics in our annual bonus program and to</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programs</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consider further direct alignment between our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sustainability strategy and executive</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compensation.</w:t>
            </w:r>
          </w:p>
        </w:tc>
        <w:tc>
          <w:tcPr>
            <w:tcW w:w="1240" w:type="dxa"/>
            <w:vAlign w:val="bottom"/>
          </w:tcPr>
          <w:p>
            <w:pPr>
              <w:spacing w:after="0"/>
              <w:rPr>
                <w:sz w:val="18"/>
                <w:szCs w:val="18"/>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Concern regarding significant, out of cycle equity</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The Board and compensation committee have at</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awards granted to CEO in 2018 (in connection</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times used performance-based long term</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with his promotion to the CEO role) and certain</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incentive and retention awards under special</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NEOs in 2019 (long-term retention and incentive</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circumstances to secure and incentivize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for two individuals regarded as key to future</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leadership talent and facilitate long-term</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leadership succession)</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succession efforts. We do not routinely grant out</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spacing w:after="0"/>
              <w:rPr>
                <w:sz w:val="18"/>
                <w:szCs w:val="18"/>
                <w:color w:val="auto"/>
              </w:rPr>
            </w:pP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of cycle equity awards and we did not grant any</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spacing w:after="0"/>
              <w:rPr>
                <w:sz w:val="18"/>
                <w:szCs w:val="18"/>
                <w:color w:val="auto"/>
              </w:rPr>
            </w:pP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special out of cycle equity awards in 2020 or</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shd w:val="clear" w:color="auto" w:fill="D9DCE1"/>
          </w:tcPr>
          <w:p>
            <w:pPr>
              <w:spacing w:after="0"/>
              <w:rPr>
                <w:sz w:val="18"/>
                <w:szCs w:val="18"/>
                <w:color w:val="auto"/>
              </w:rPr>
            </w:pPr>
          </w:p>
        </w:tc>
        <w:tc>
          <w:tcPr>
            <w:tcW w:w="60" w:type="dxa"/>
            <w:vAlign w:val="bottom"/>
            <w:tcBorders>
              <w:bottom w:val="single" w:sz="8" w:color="auto"/>
            </w:tcBorders>
            <w:shd w:val="clear" w:color="auto" w:fill="D9DCE1"/>
          </w:tcPr>
          <w:p>
            <w:pPr>
              <w:spacing w:after="0"/>
              <w:rPr>
                <w:sz w:val="18"/>
                <w:szCs w:val="18"/>
                <w:color w:val="auto"/>
              </w:rPr>
            </w:pPr>
          </w:p>
        </w:tc>
        <w:tc>
          <w:tcPr>
            <w:tcW w:w="404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2021.</w:t>
            </w:r>
          </w:p>
        </w:tc>
        <w:tc>
          <w:tcPr>
            <w:tcW w:w="1240" w:type="dxa"/>
            <w:vAlign w:val="bottom"/>
          </w:tcPr>
          <w:p>
            <w:pPr>
              <w:spacing w:after="0"/>
              <w:rPr>
                <w:sz w:val="18"/>
                <w:szCs w:val="18"/>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Adoption of equity ownership guidelines would be</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November 2020, the Board adopted Equity</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seen as a beneficial mitigant</w:t>
            </w:r>
          </w:p>
        </w:tc>
        <w:tc>
          <w:tcPr>
            <w:tcW w:w="6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Ownership Guidelines.</w:t>
            </w:r>
          </w:p>
        </w:tc>
        <w:tc>
          <w:tcPr>
            <w:tcW w:w="1240" w:type="dxa"/>
            <w:vAlign w:val="bottom"/>
          </w:tcPr>
          <w:p>
            <w:pPr>
              <w:spacing w:after="0"/>
              <w:rPr>
                <w:sz w:val="18"/>
                <w:szCs w:val="18"/>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Adoption of clawback policy would be seen as a</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In November 2020, the Board adopted a</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beneficial mitigant</w:t>
            </w:r>
          </w:p>
        </w:tc>
        <w:tc>
          <w:tcPr>
            <w:tcW w:w="60" w:type="dxa"/>
            <w:vAlign w:val="bottom"/>
            <w:tcBorders>
              <w:bottom w:val="single" w:sz="8" w:color="auto"/>
            </w:tcBorders>
            <w:shd w:val="clear" w:color="auto" w:fill="D9DCE1"/>
          </w:tcPr>
          <w:p>
            <w:pPr>
              <w:spacing w:after="0"/>
              <w:rPr>
                <w:sz w:val="18"/>
                <w:szCs w:val="18"/>
                <w:color w:val="auto"/>
              </w:rPr>
            </w:pPr>
          </w:p>
        </w:tc>
        <w:tc>
          <w:tcPr>
            <w:tcW w:w="404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Clawback Policy.</w:t>
            </w:r>
          </w:p>
        </w:tc>
        <w:tc>
          <w:tcPr>
            <w:tcW w:w="1240" w:type="dxa"/>
            <w:vAlign w:val="bottom"/>
          </w:tcPr>
          <w:p>
            <w:pPr>
              <w:spacing w:after="0"/>
              <w:rPr>
                <w:sz w:val="18"/>
                <w:szCs w:val="18"/>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Supportive of inclusion of S&amp;P and Alerian</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S&amp;P and AMZX indices included in TSR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indices in TSR comparator group, but viewed</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comparator group for 2020 long-term incentive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AMNA as more appropriate index vs. AMZX</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awards; the 2021 long-term incentive awards</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substitute AMNA for AMZX.</w:t>
            </w:r>
          </w:p>
        </w:tc>
        <w:tc>
          <w:tcPr>
            <w:tcW w:w="1240" w:type="dxa"/>
            <w:vAlign w:val="bottom"/>
          </w:tcPr>
          <w:p>
            <w:pPr>
              <w:spacing w:after="0"/>
              <w:rPr>
                <w:sz w:val="18"/>
                <w:szCs w:val="18"/>
                <w:color w:val="auto"/>
              </w:rPr>
            </w:pPr>
          </w:p>
        </w:tc>
      </w:tr>
      <w:tr>
        <w:trPr>
          <w:trHeight w:val="601"/>
        </w:trPr>
        <w:tc>
          <w:tcPr>
            <w:tcW w:w="1280" w:type="dxa"/>
            <w:vAlign w:val="bottom"/>
          </w:tcPr>
          <w:p>
            <w:pPr>
              <w:spacing w:after="0"/>
              <w:rPr>
                <w:sz w:val="24"/>
                <w:szCs w:val="24"/>
                <w:color w:val="auto"/>
              </w:rPr>
            </w:pPr>
          </w:p>
        </w:tc>
        <w:tc>
          <w:tcPr>
            <w:tcW w:w="4160" w:type="dxa"/>
            <w:vAlign w:val="bottom"/>
            <w:gridSpan w:val="2"/>
          </w:tcPr>
          <w:p>
            <w:pPr>
              <w:ind w:left="3960"/>
              <w:spacing w:after="0"/>
              <w:rPr>
                <w:sz w:val="20"/>
                <w:szCs w:val="20"/>
                <w:color w:val="auto"/>
              </w:rPr>
            </w:pPr>
            <w:r>
              <w:rPr>
                <w:rFonts w:ascii="Arial" w:cs="Arial" w:eastAsia="Arial" w:hAnsi="Arial"/>
                <w:sz w:val="18"/>
                <w:szCs w:val="18"/>
                <w:color w:val="auto"/>
                <w:w w:val="89"/>
              </w:rPr>
              <w:t>27</w:t>
            </w:r>
          </w:p>
        </w:tc>
        <w:tc>
          <w:tcPr>
            <w:tcW w:w="4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Commitment to Pay for Performance</w:t>
      </w:r>
    </w:p>
    <w:p>
      <w:pPr>
        <w:spacing w:after="0" w:line="153" w:lineRule="exact"/>
        <w:rPr>
          <w:sz w:val="20"/>
          <w:szCs w:val="20"/>
          <w:color w:val="auto"/>
        </w:rPr>
      </w:pPr>
    </w:p>
    <w:p>
      <w:pPr>
        <w:ind w:left="1260" w:right="599" w:firstLine="360"/>
        <w:spacing w:after="0" w:line="253" w:lineRule="auto"/>
        <w:rPr>
          <w:sz w:val="20"/>
          <w:szCs w:val="20"/>
          <w:color w:val="auto"/>
        </w:rPr>
      </w:pPr>
      <w:r>
        <w:rPr>
          <w:rFonts w:ascii="Arial" w:cs="Arial" w:eastAsia="Arial" w:hAnsi="Arial"/>
          <w:sz w:val="17"/>
          <w:szCs w:val="17"/>
          <w:color w:val="auto"/>
        </w:rPr>
        <w:t>Our executive compensation philosophy is focused on a long-term pay for performance culture designed to attract and retain key management talent in a competitive industry and market. Our program combines relatively low base pay (as a percentage of total rewards) with higher variable, at-risk compensation opportunities based on objective and transparent performance requirements. As demonstrated in the graphic below, in 2021, at target, approximately 88% of our CEO’s compensation and approximately 83% of our other NEOs’ compensation consisted of at-risk compensation.</w:t>
      </w:r>
    </w:p>
    <w:p>
      <w:pPr>
        <w:spacing w:after="0" w:line="17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Majority of NEO Pay At-Risk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97155</wp:posOffset>
            </wp:positionV>
            <wp:extent cx="5203190" cy="33604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0319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620" w:right="459" w:hanging="360"/>
        <w:spacing w:after="0" w:line="256"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“Other NEOs” graphic excludes Mr. Pefanis. Mr. Pefanis is a co-founder and substantial equity owner and for the last several years has requested to not participate in the long-term incentive program, which results in an at-risk compensation percentage for Mr. Pefanis of 71%.</w:t>
      </w:r>
    </w:p>
    <w:p>
      <w:pPr>
        <w:spacing w:after="0" w:line="121" w:lineRule="exact"/>
        <w:rPr>
          <w:sz w:val="20"/>
          <w:szCs w:val="20"/>
          <w:color w:val="auto"/>
        </w:rPr>
      </w:pPr>
    </w:p>
    <w:p>
      <w:pPr>
        <w:ind w:left="1260" w:right="419" w:firstLine="360"/>
        <w:spacing w:after="0" w:line="226" w:lineRule="auto"/>
        <w:rPr>
          <w:sz w:val="20"/>
          <w:szCs w:val="20"/>
          <w:color w:val="auto"/>
        </w:rPr>
      </w:pPr>
      <w:r>
        <w:rPr>
          <w:rFonts w:ascii="Arial" w:cs="Arial" w:eastAsia="Arial" w:hAnsi="Arial"/>
          <w:sz w:val="18"/>
          <w:szCs w:val="18"/>
          <w:color w:val="auto"/>
        </w:rPr>
        <w:t>At-risk compensation is typically tied to the achievement of one or more performance metrics that measure value creation over both the near and longer term, as well as service period requirements. The primary short-term financial metrics are annual earnings and cash flow levels as represented by 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and distributable cash flow (“DCF”) per common unit equivalent (“CUE”). The primary long-term performance measures included in our equity incentive grants are DCF per CUE over a 3 year period (with a leverage modifier) and relative total shareholder return (“TSR”) over a 3 year period. We believe our short- and long-term performance metrics are consistent with our overall financial strategy of reducing our leverage and generating attractive unitholder returns.</w:t>
      </w:r>
    </w:p>
    <w:p>
      <w:pPr>
        <w:spacing w:after="0" w:line="136"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believe our pay-for-performance approach aligns the interests of our executive officers with the interests of our equity holders. We also believe that our pay-for-performance approach helps us achieve the overall objectives of our executive compensation program, which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60325</wp:posOffset>
            </wp:positionV>
            <wp:extent cx="1234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3" w:lineRule="exact"/>
        <w:rPr>
          <w:sz w:val="20"/>
          <w:szCs w:val="20"/>
          <w:color w:val="auto"/>
        </w:rPr>
      </w:pPr>
    </w:p>
    <w:p>
      <w:pPr>
        <w:ind w:left="1620" w:right="459" w:hanging="360"/>
        <w:spacing w:after="0" w:line="227" w:lineRule="auto"/>
        <w:tabs>
          <w:tab w:leader="none" w:pos="162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Earnings before interest, taxes, depreciation and amortization (including our proportionate share of depreciation of and amortization, including write-downs related to canceled projects, of unconsolidated entities), gains and losses on asset sales and asset impairments, goodwill impairment losses and gains on and impairments of investments in unconsolidated entities, adjusted for certain selected items impacting comparability.</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00" w:right="559" w:hanging="180"/>
        <w:spacing w:after="0" w:line="28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attract and retain </w:t>
      </w:r>
      <w:r>
        <w:rPr>
          <w:rFonts w:ascii="Arial" w:cs="Arial" w:eastAsia="Arial" w:hAnsi="Arial"/>
          <w:sz w:val="18"/>
          <w:szCs w:val="18"/>
          <w:color w:val="auto"/>
        </w:rPr>
        <w:t>individuals with the background and skills necessary to successfully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 model in a demanding environment;</w:t>
      </w:r>
    </w:p>
    <w:p>
      <w:pPr>
        <w:spacing w:after="0" w:line="31" w:lineRule="exact"/>
        <w:rPr>
          <w:rFonts w:ascii="Arial" w:cs="Arial" w:eastAsia="Arial" w:hAnsi="Arial"/>
          <w:sz w:val="18"/>
          <w:szCs w:val="18"/>
          <w:color w:val="auto"/>
        </w:rPr>
      </w:pPr>
    </w:p>
    <w:p>
      <w:pPr>
        <w:ind w:left="1800" w:right="439" w:hanging="180"/>
        <w:spacing w:after="0" w:line="28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by tying a majority of NEO pay to achievement of near-term and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goals that drive long-term growth in unitholder value; and</w:t>
      </w:r>
    </w:p>
    <w:p>
      <w:pPr>
        <w:spacing w:after="0" w:line="44" w:lineRule="exact"/>
        <w:rPr>
          <w:rFonts w:ascii="Arial" w:cs="Arial" w:eastAsia="Arial" w:hAnsi="Arial"/>
          <w:sz w:val="18"/>
          <w:szCs w:val="18"/>
          <w:color w:val="auto"/>
        </w:rPr>
      </w:pPr>
    </w:p>
    <w:p>
      <w:pPr>
        <w:ind w:left="1800" w:right="1119" w:hanging="180"/>
        <w:spacing w:after="0" w:line="28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directly align our NEOs with our unitholders </w:t>
      </w:r>
      <w:r>
        <w:rPr>
          <w:rFonts w:ascii="Arial" w:cs="Arial" w:eastAsia="Arial" w:hAnsi="Arial"/>
          <w:sz w:val="18"/>
          <w:szCs w:val="18"/>
          <w:color w:val="auto"/>
        </w:rPr>
        <w:t>through the use of equity incentives and</w:t>
      </w:r>
      <w:r>
        <w:rPr>
          <w:rFonts w:ascii="Arial" w:cs="Arial" w:eastAsia="Arial" w:hAnsi="Arial"/>
          <w:sz w:val="18"/>
          <w:szCs w:val="18"/>
          <w:b w:val="1"/>
          <w:bCs w:val="1"/>
          <w:color w:val="auto"/>
        </w:rPr>
        <w:t xml:space="preserve"> </w:t>
      </w:r>
      <w:r>
        <w:rPr>
          <w:rFonts w:ascii="Arial" w:cs="Arial" w:eastAsia="Arial" w:hAnsi="Arial"/>
          <w:sz w:val="18"/>
          <w:szCs w:val="18"/>
          <w:color w:val="auto"/>
        </w:rPr>
        <w:t>encouragement of long-term unit ownership.</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CEO Realizable Pay Aligned with Performance</w:t>
      </w:r>
    </w:p>
    <w:p>
      <w:pPr>
        <w:spacing w:after="0" w:line="180"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In order to demonstrate how the design of our executive pay program is aligned with the interests of our unitholders, the table and chart below compare the potentially realizable market value of long term incentive plan awards granted to Mr. Chiang since he became CEO in 2018 to the realizable market value of such awards as of year-end 2021. The values utilized in the table and chart below are based on closing market prices of PAA’s common units to demonstrate how PAA’s unit price performance over time impacts the actual value realized and future realizable value of equity awards held by our NEOs. These values are different than the grant date fair values set forth in the summary compensation table, which are accounting-based values mandated by SEC requirements and which are calculated on the date of grant and not adjusted over time to reflect fluctuations in market price.</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Since the date of Mr. Chiang’s first long term incentive plan award as CEO in August 2018,</w:t>
      </w:r>
    </w:p>
    <w:p>
      <w:pPr>
        <w:ind w:left="1260"/>
        <w:spacing w:after="0" w:line="234" w:lineRule="auto"/>
        <w:rPr>
          <w:sz w:val="20"/>
          <w:szCs w:val="20"/>
          <w:color w:val="auto"/>
        </w:rPr>
      </w:pPr>
      <w:r>
        <w:rPr>
          <w:rFonts w:ascii="Arial" w:cs="Arial" w:eastAsia="Arial" w:hAnsi="Arial"/>
          <w:sz w:val="18"/>
          <w:szCs w:val="18"/>
          <w:color w:val="auto"/>
        </w:rPr>
        <w:t>consistent with the performance of the AMZX and AMNA indices during such period, PAA’s common</w:t>
      </w:r>
    </w:p>
    <w:p>
      <w:pPr>
        <w:ind w:left="1260"/>
        <w:spacing w:after="0" w:line="235" w:lineRule="auto"/>
        <w:rPr>
          <w:sz w:val="20"/>
          <w:szCs w:val="20"/>
          <w:color w:val="auto"/>
        </w:rPr>
      </w:pPr>
      <w:r>
        <w:rPr>
          <w:rFonts w:ascii="Arial" w:cs="Arial" w:eastAsia="Arial" w:hAnsi="Arial"/>
          <w:sz w:val="18"/>
          <w:szCs w:val="18"/>
          <w:color w:val="auto"/>
        </w:rPr>
        <w:t>unit price has declined by approximately 65% through December 31, 2021 (from $26.85 per unit to</w:t>
      </w:r>
    </w:p>
    <w:p>
      <w:pPr>
        <w:ind w:left="1260"/>
        <w:spacing w:after="0" w:line="235" w:lineRule="auto"/>
        <w:rPr>
          <w:sz w:val="20"/>
          <w:szCs w:val="20"/>
          <w:color w:val="auto"/>
        </w:rPr>
      </w:pPr>
      <w:r>
        <w:rPr>
          <w:rFonts w:ascii="Arial" w:cs="Arial" w:eastAsia="Arial" w:hAnsi="Arial"/>
          <w:sz w:val="18"/>
          <w:szCs w:val="18"/>
          <w:color w:val="auto"/>
        </w:rPr>
        <w:t>$9.34 per unit). The table and chart below demonstrate that the realizable market value of Mr. Chiang’s</w:t>
      </w:r>
    </w:p>
    <w:p>
      <w:pPr>
        <w:ind w:left="1260"/>
        <w:spacing w:after="0" w:line="235" w:lineRule="auto"/>
        <w:rPr>
          <w:sz w:val="20"/>
          <w:szCs w:val="20"/>
          <w:color w:val="auto"/>
        </w:rPr>
      </w:pPr>
      <w:r>
        <w:rPr>
          <w:rFonts w:ascii="Arial" w:cs="Arial" w:eastAsia="Arial" w:hAnsi="Arial"/>
          <w:sz w:val="18"/>
          <w:szCs w:val="18"/>
          <w:color w:val="auto"/>
        </w:rPr>
        <w:t>long-term incentive plan awards over the same time period (i.e., from August 2018 through year-end</w:t>
      </w:r>
    </w:p>
    <w:p>
      <w:pPr>
        <w:ind w:left="1260"/>
        <w:spacing w:after="0" w:line="235" w:lineRule="auto"/>
        <w:rPr>
          <w:sz w:val="20"/>
          <w:szCs w:val="20"/>
          <w:color w:val="auto"/>
        </w:rPr>
      </w:pPr>
      <w:r>
        <w:rPr>
          <w:rFonts w:ascii="Arial" w:cs="Arial" w:eastAsia="Arial" w:hAnsi="Arial"/>
          <w:sz w:val="18"/>
          <w:szCs w:val="18"/>
          <w:color w:val="auto"/>
        </w:rPr>
        <w:t>2021) has declined by approximately 44% (or 66% on an adjusted basis attributing no realizable value</w:t>
      </w:r>
    </w:p>
    <w:p>
      <w:pPr>
        <w:ind w:left="1260"/>
        <w:spacing w:after="0" w:line="234" w:lineRule="auto"/>
        <w:rPr>
          <w:sz w:val="20"/>
          <w:szCs w:val="20"/>
          <w:color w:val="auto"/>
        </w:rPr>
      </w:pPr>
      <w:r>
        <w:rPr>
          <w:rFonts w:ascii="Arial" w:cs="Arial" w:eastAsia="Arial" w:hAnsi="Arial"/>
          <w:sz w:val="18"/>
          <w:szCs w:val="18"/>
          <w:color w:val="auto"/>
        </w:rPr>
        <w:t>to Mr. Chiang’s August 16, 2018 promotion grant due to the current improbability of achieving the</w:t>
      </w:r>
    </w:p>
    <w:p>
      <w:pPr>
        <w:ind w:left="1260"/>
        <w:spacing w:after="0" w:line="235" w:lineRule="auto"/>
        <w:rPr>
          <w:sz w:val="20"/>
          <w:szCs w:val="20"/>
          <w:color w:val="auto"/>
        </w:rPr>
      </w:pPr>
      <w:r>
        <w:rPr>
          <w:rFonts w:ascii="Arial" w:cs="Arial" w:eastAsia="Arial" w:hAnsi="Arial"/>
          <w:sz w:val="18"/>
          <w:szCs w:val="18"/>
          <w:color w:val="auto"/>
        </w:rPr>
        <w:t>aggressive performance targets included in such grant that were based on pre-pandemic projections).</w:t>
      </w:r>
    </w:p>
    <w:p>
      <w:pPr>
        <w:ind w:left="1260"/>
        <w:spacing w:after="0" w:line="235" w:lineRule="auto"/>
        <w:rPr>
          <w:sz w:val="20"/>
          <w:szCs w:val="20"/>
          <w:color w:val="auto"/>
        </w:rPr>
      </w:pPr>
      <w:r>
        <w:rPr>
          <w:rFonts w:ascii="Arial" w:cs="Arial" w:eastAsia="Arial" w:hAnsi="Arial"/>
          <w:sz w:val="18"/>
          <w:szCs w:val="18"/>
          <w:color w:val="auto"/>
        </w:rPr>
        <w:t>Mr. Chiang’s experience with respect to his long-term equity awards is similar to the experience of our</w:t>
      </w:r>
    </w:p>
    <w:p>
      <w:pPr>
        <w:ind w:left="1260"/>
        <w:spacing w:after="0" w:line="235" w:lineRule="auto"/>
        <w:rPr>
          <w:sz w:val="20"/>
          <w:szCs w:val="20"/>
          <w:color w:val="auto"/>
        </w:rPr>
      </w:pPr>
      <w:r>
        <w:rPr>
          <w:rFonts w:ascii="Arial" w:cs="Arial" w:eastAsia="Arial" w:hAnsi="Arial"/>
          <w:sz w:val="18"/>
          <w:szCs w:val="18"/>
          <w:color w:val="auto"/>
        </w:rPr>
        <w:t>other NEOs during the same time period and demonstrates that there is a significant correlation and</w:t>
      </w:r>
    </w:p>
    <w:p>
      <w:pPr>
        <w:ind w:left="1260"/>
        <w:spacing w:after="0" w:line="235" w:lineRule="auto"/>
        <w:rPr>
          <w:sz w:val="20"/>
          <w:szCs w:val="20"/>
          <w:color w:val="auto"/>
        </w:rPr>
      </w:pPr>
      <w:r>
        <w:rPr>
          <w:rFonts w:ascii="Arial" w:cs="Arial" w:eastAsia="Arial" w:hAnsi="Arial"/>
          <w:sz w:val="18"/>
          <w:szCs w:val="18"/>
          <w:color w:val="auto"/>
        </w:rPr>
        <w:t>alignment between our NEOs’ long-term equity incentive compensation and the interests of our equity</w:t>
      </w:r>
    </w:p>
    <w:p>
      <w:pPr>
        <w:ind w:left="1260"/>
        <w:spacing w:after="0"/>
        <w:rPr>
          <w:sz w:val="20"/>
          <w:szCs w:val="20"/>
          <w:color w:val="auto"/>
        </w:rPr>
      </w:pPr>
      <w:r>
        <w:rPr>
          <w:rFonts w:ascii="Arial" w:cs="Arial" w:eastAsia="Arial" w:hAnsi="Arial"/>
          <w:sz w:val="18"/>
          <w:szCs w:val="18"/>
          <w:color w:val="auto"/>
        </w:rPr>
        <w:t>holders.</w:t>
      </w:r>
    </w:p>
    <w:p>
      <w:pPr>
        <w:spacing w:after="0" w:line="1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Realizable Market Value of CEO Long-Term Incentive Awards*</w:t>
      </w:r>
    </w:p>
    <w:p>
      <w:pPr>
        <w:spacing w:after="0" w:line="221"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940" w:type="dxa"/>
            <w:vAlign w:val="bottom"/>
            <w:tcBorders>
              <w:left w:val="single" w:sz="8" w:color="434F69"/>
            </w:tcBorders>
            <w:shd w:val="clear" w:color="auto" w:fill="434F69"/>
          </w:tcPr>
          <w:p>
            <w:pPr>
              <w:spacing w:after="0"/>
              <w:rPr>
                <w:sz w:val="21"/>
                <w:szCs w:val="21"/>
                <w:color w:val="auto"/>
              </w:rPr>
            </w:pPr>
          </w:p>
        </w:tc>
        <w:tc>
          <w:tcPr>
            <w:tcW w:w="980" w:type="dxa"/>
            <w:vAlign w:val="bottom"/>
            <w:shd w:val="clear" w:color="auto" w:fill="434F69"/>
          </w:tcPr>
          <w:p>
            <w:pPr>
              <w:spacing w:after="0"/>
              <w:rPr>
                <w:sz w:val="21"/>
                <w:szCs w:val="21"/>
                <w:color w:val="auto"/>
              </w:rPr>
            </w:pPr>
          </w:p>
        </w:tc>
        <w:tc>
          <w:tcPr>
            <w:tcW w:w="240" w:type="dxa"/>
            <w:vAlign w:val="bottom"/>
            <w:shd w:val="clear" w:color="auto" w:fill="434F69"/>
          </w:tcPr>
          <w:p>
            <w:pPr>
              <w:spacing w:after="0"/>
              <w:rPr>
                <w:sz w:val="21"/>
                <w:szCs w:val="21"/>
                <w:color w:val="auto"/>
              </w:rPr>
            </w:pPr>
          </w:p>
        </w:tc>
        <w:tc>
          <w:tcPr>
            <w:tcW w:w="960" w:type="dxa"/>
            <w:vAlign w:val="bottom"/>
            <w:shd w:val="clear" w:color="auto" w:fill="434F69"/>
          </w:tcPr>
          <w:p>
            <w:pPr>
              <w:spacing w:after="0"/>
              <w:rPr>
                <w:sz w:val="21"/>
                <w:szCs w:val="21"/>
                <w:color w:val="auto"/>
              </w:rPr>
            </w:pPr>
          </w:p>
        </w:tc>
        <w:tc>
          <w:tcPr>
            <w:tcW w:w="940" w:type="dxa"/>
            <w:vAlign w:val="bottom"/>
            <w:shd w:val="clear" w:color="auto" w:fill="434F69"/>
          </w:tcPr>
          <w:p>
            <w:pPr>
              <w:spacing w:after="0"/>
              <w:rPr>
                <w:sz w:val="21"/>
                <w:szCs w:val="21"/>
                <w:color w:val="auto"/>
              </w:rPr>
            </w:pPr>
          </w:p>
        </w:tc>
        <w:tc>
          <w:tcPr>
            <w:tcW w:w="200" w:type="dxa"/>
            <w:vAlign w:val="bottom"/>
            <w:shd w:val="clear" w:color="auto" w:fill="434F69"/>
          </w:tcPr>
          <w:p>
            <w:pPr>
              <w:spacing w:after="0"/>
              <w:rPr>
                <w:sz w:val="21"/>
                <w:szCs w:val="21"/>
                <w:color w:val="auto"/>
              </w:rPr>
            </w:pPr>
          </w:p>
        </w:tc>
        <w:tc>
          <w:tcPr>
            <w:tcW w:w="920" w:type="dxa"/>
            <w:vAlign w:val="bottom"/>
            <w:shd w:val="clear" w:color="auto" w:fill="434F69"/>
          </w:tcPr>
          <w:p>
            <w:pPr>
              <w:jc w:val="center"/>
              <w:ind w:right="183"/>
              <w:spacing w:after="0"/>
              <w:rPr>
                <w:sz w:val="20"/>
                <w:szCs w:val="20"/>
                <w:color w:val="auto"/>
              </w:rPr>
            </w:pPr>
            <w:r>
              <w:rPr>
                <w:rFonts w:ascii="Arial" w:cs="Arial" w:eastAsia="Arial" w:hAnsi="Arial"/>
                <w:sz w:val="14"/>
                <w:szCs w:val="14"/>
                <w:b w:val="1"/>
                <w:bCs w:val="1"/>
                <w:color w:val="FFFFFF"/>
              </w:rPr>
              <w:t>Total</w:t>
            </w:r>
          </w:p>
        </w:tc>
        <w:tc>
          <w:tcPr>
            <w:tcW w:w="10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12/31/21</w:t>
            </w:r>
          </w:p>
        </w:tc>
        <w:tc>
          <w:tcPr>
            <w:tcW w:w="960" w:type="dxa"/>
            <w:vAlign w:val="bottom"/>
            <w:tcBorders>
              <w:right w:val="single" w:sz="8" w:color="434F69"/>
            </w:tcBorders>
            <w:shd w:val="clear" w:color="auto" w:fill="434F69"/>
          </w:tcPr>
          <w:p>
            <w:pPr>
              <w:spacing w:after="0"/>
              <w:rPr>
                <w:sz w:val="21"/>
                <w:szCs w:val="21"/>
                <w:color w:val="auto"/>
              </w:rPr>
            </w:pPr>
          </w:p>
        </w:tc>
      </w:tr>
      <w:tr>
        <w:trPr>
          <w:trHeight w:val="162"/>
        </w:trPr>
        <w:tc>
          <w:tcPr>
            <w:tcW w:w="1940" w:type="dxa"/>
            <w:vAlign w:val="bottom"/>
            <w:tcBorders>
              <w:left w:val="single" w:sz="8" w:color="434F69"/>
            </w:tcBorders>
            <w:shd w:val="clear" w:color="auto" w:fill="434F69"/>
          </w:tcPr>
          <w:p>
            <w:pPr>
              <w:spacing w:after="0"/>
              <w:rPr>
                <w:sz w:val="14"/>
                <w:szCs w:val="14"/>
                <w:color w:val="auto"/>
              </w:rPr>
            </w:pPr>
          </w:p>
        </w:tc>
        <w:tc>
          <w:tcPr>
            <w:tcW w:w="980" w:type="dxa"/>
            <w:vAlign w:val="bottom"/>
            <w:shd w:val="clear" w:color="auto" w:fill="434F69"/>
          </w:tcPr>
          <w:p>
            <w:pPr>
              <w:spacing w:after="0"/>
              <w:rPr>
                <w:sz w:val="14"/>
                <w:szCs w:val="14"/>
                <w:color w:val="auto"/>
              </w:rPr>
            </w:pPr>
          </w:p>
        </w:tc>
        <w:tc>
          <w:tcPr>
            <w:tcW w:w="240" w:type="dxa"/>
            <w:vAlign w:val="bottom"/>
            <w:shd w:val="clear" w:color="auto" w:fill="434F69"/>
          </w:tcPr>
          <w:p>
            <w:pPr>
              <w:spacing w:after="0"/>
              <w:rPr>
                <w:sz w:val="14"/>
                <w:szCs w:val="14"/>
                <w:color w:val="auto"/>
              </w:rPr>
            </w:pPr>
          </w:p>
        </w:tc>
        <w:tc>
          <w:tcPr>
            <w:tcW w:w="960" w:type="dxa"/>
            <w:vAlign w:val="bottom"/>
            <w:shd w:val="clear" w:color="auto" w:fill="434F69"/>
          </w:tcPr>
          <w:p>
            <w:pPr>
              <w:spacing w:after="0"/>
              <w:rPr>
                <w:sz w:val="14"/>
                <w:szCs w:val="14"/>
                <w:color w:val="auto"/>
              </w:rPr>
            </w:pPr>
          </w:p>
        </w:tc>
        <w:tc>
          <w:tcPr>
            <w:tcW w:w="940" w:type="dxa"/>
            <w:vAlign w:val="bottom"/>
            <w:shd w:val="clear" w:color="auto" w:fill="434F69"/>
          </w:tcPr>
          <w:p>
            <w:pPr>
              <w:spacing w:after="0"/>
              <w:rPr>
                <w:sz w:val="14"/>
                <w:szCs w:val="14"/>
                <w:color w:val="auto"/>
              </w:rPr>
            </w:pPr>
          </w:p>
        </w:tc>
        <w:tc>
          <w:tcPr>
            <w:tcW w:w="1120" w:type="dxa"/>
            <w:vAlign w:val="bottom"/>
            <w:gridSpan w:val="2"/>
            <w:shd w:val="clear" w:color="auto" w:fill="434F69"/>
          </w:tcPr>
          <w:p>
            <w:pPr>
              <w:jc w:val="center"/>
              <w:spacing w:after="0"/>
              <w:rPr>
                <w:sz w:val="20"/>
                <w:szCs w:val="20"/>
                <w:color w:val="auto"/>
              </w:rPr>
            </w:pPr>
            <w:r>
              <w:rPr>
                <w:rFonts w:ascii="Arial" w:cs="Arial" w:eastAsia="Arial" w:hAnsi="Arial"/>
                <w:sz w:val="14"/>
                <w:szCs w:val="14"/>
                <w:b w:val="1"/>
                <w:bCs w:val="1"/>
                <w:color w:val="FFFFFF"/>
              </w:rPr>
              <w:t>Realizable</w:t>
            </w:r>
          </w:p>
        </w:tc>
        <w:tc>
          <w:tcPr>
            <w:tcW w:w="10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Realizable</w:t>
            </w:r>
          </w:p>
        </w:tc>
        <w:tc>
          <w:tcPr>
            <w:tcW w:w="960" w:type="dxa"/>
            <w:vAlign w:val="bottom"/>
            <w:tcBorders>
              <w:right w:val="single" w:sz="8" w:color="434F69"/>
            </w:tcBorders>
            <w:shd w:val="clear" w:color="auto" w:fill="434F69"/>
          </w:tcPr>
          <w:p>
            <w:pPr>
              <w:spacing w:after="0"/>
              <w:rPr>
                <w:sz w:val="14"/>
                <w:szCs w:val="14"/>
                <w:color w:val="auto"/>
              </w:rPr>
            </w:pPr>
          </w:p>
        </w:tc>
      </w:tr>
      <w:tr>
        <w:trPr>
          <w:trHeight w:val="162"/>
        </w:trPr>
        <w:tc>
          <w:tcPr>
            <w:tcW w:w="1940" w:type="dxa"/>
            <w:vAlign w:val="bottom"/>
            <w:tcBorders>
              <w:left w:val="single" w:sz="8" w:color="434F69"/>
            </w:tcBorders>
            <w:shd w:val="clear" w:color="auto" w:fill="434F69"/>
          </w:tcPr>
          <w:p>
            <w:pPr>
              <w:spacing w:after="0"/>
              <w:rPr>
                <w:sz w:val="14"/>
                <w:szCs w:val="14"/>
                <w:color w:val="auto"/>
              </w:rPr>
            </w:pPr>
          </w:p>
        </w:tc>
        <w:tc>
          <w:tcPr>
            <w:tcW w:w="980" w:type="dxa"/>
            <w:vAlign w:val="bottom"/>
            <w:shd w:val="clear" w:color="auto" w:fill="434F69"/>
          </w:tcPr>
          <w:p>
            <w:pPr>
              <w:spacing w:after="0"/>
              <w:rPr>
                <w:sz w:val="14"/>
                <w:szCs w:val="14"/>
                <w:color w:val="auto"/>
              </w:rPr>
            </w:pPr>
          </w:p>
        </w:tc>
        <w:tc>
          <w:tcPr>
            <w:tcW w:w="240" w:type="dxa"/>
            <w:vAlign w:val="bottom"/>
            <w:shd w:val="clear" w:color="auto" w:fill="434F69"/>
          </w:tcPr>
          <w:p>
            <w:pPr>
              <w:spacing w:after="0"/>
              <w:rPr>
                <w:sz w:val="14"/>
                <w:szCs w:val="14"/>
                <w:color w:val="auto"/>
              </w:rPr>
            </w:pPr>
          </w:p>
        </w:tc>
        <w:tc>
          <w:tcPr>
            <w:tcW w:w="960" w:type="dxa"/>
            <w:vAlign w:val="bottom"/>
            <w:shd w:val="clear" w:color="auto" w:fill="434F69"/>
          </w:tcPr>
          <w:p>
            <w:pPr>
              <w:spacing w:after="0"/>
              <w:rPr>
                <w:sz w:val="14"/>
                <w:szCs w:val="14"/>
                <w:color w:val="auto"/>
              </w:rPr>
            </w:pPr>
          </w:p>
        </w:tc>
        <w:tc>
          <w:tcPr>
            <w:tcW w:w="940" w:type="dxa"/>
            <w:vAlign w:val="bottom"/>
            <w:shd w:val="clear" w:color="auto" w:fill="434F69"/>
          </w:tcPr>
          <w:p>
            <w:pPr>
              <w:spacing w:after="0"/>
              <w:rPr>
                <w:sz w:val="14"/>
                <w:szCs w:val="14"/>
                <w:color w:val="auto"/>
              </w:rPr>
            </w:pPr>
          </w:p>
        </w:tc>
        <w:tc>
          <w:tcPr>
            <w:tcW w:w="200" w:type="dxa"/>
            <w:vAlign w:val="bottom"/>
            <w:shd w:val="clear" w:color="auto" w:fill="434F69"/>
          </w:tcPr>
          <w:p>
            <w:pPr>
              <w:spacing w:after="0"/>
              <w:rPr>
                <w:sz w:val="14"/>
                <w:szCs w:val="14"/>
                <w:color w:val="auto"/>
              </w:rPr>
            </w:pPr>
          </w:p>
        </w:tc>
        <w:tc>
          <w:tcPr>
            <w:tcW w:w="920" w:type="dxa"/>
            <w:vAlign w:val="bottom"/>
            <w:shd w:val="clear" w:color="auto" w:fill="434F69"/>
          </w:tcPr>
          <w:p>
            <w:pPr>
              <w:jc w:val="center"/>
              <w:ind w:right="183"/>
              <w:spacing w:after="0"/>
              <w:rPr>
                <w:sz w:val="20"/>
                <w:szCs w:val="20"/>
                <w:color w:val="auto"/>
              </w:rPr>
            </w:pPr>
            <w:r>
              <w:rPr>
                <w:rFonts w:ascii="Arial" w:cs="Arial" w:eastAsia="Arial" w:hAnsi="Arial"/>
                <w:sz w:val="14"/>
                <w:szCs w:val="14"/>
                <w:b w:val="1"/>
                <w:bCs w:val="1"/>
                <w:color w:val="FFFFFF"/>
                <w:w w:val="99"/>
              </w:rPr>
              <w:t>Value of</w:t>
            </w:r>
          </w:p>
        </w:tc>
        <w:tc>
          <w:tcPr>
            <w:tcW w:w="10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Value as</w:t>
            </w:r>
          </w:p>
        </w:tc>
        <w:tc>
          <w:tcPr>
            <w:tcW w:w="960" w:type="dxa"/>
            <w:vAlign w:val="bottom"/>
            <w:tcBorders>
              <w:right w:val="single" w:sz="8" w:color="434F69"/>
            </w:tcBorders>
            <w:shd w:val="clear" w:color="auto" w:fill="434F69"/>
          </w:tcPr>
          <w:p>
            <w:pPr>
              <w:ind w:left="120"/>
              <w:spacing w:after="0"/>
              <w:rPr>
                <w:sz w:val="20"/>
                <w:szCs w:val="20"/>
                <w:color w:val="auto"/>
              </w:rPr>
            </w:pPr>
            <w:r>
              <w:rPr>
                <w:rFonts w:ascii="Arial" w:cs="Arial" w:eastAsia="Arial" w:hAnsi="Arial"/>
                <w:sz w:val="14"/>
                <w:szCs w:val="14"/>
                <w:b w:val="1"/>
                <w:bCs w:val="1"/>
                <w:color w:val="FFFFFF"/>
              </w:rPr>
              <w:t>Change in</w:t>
            </w:r>
          </w:p>
        </w:tc>
      </w:tr>
      <w:tr>
        <w:trPr>
          <w:trHeight w:val="162"/>
        </w:trPr>
        <w:tc>
          <w:tcPr>
            <w:tcW w:w="1940" w:type="dxa"/>
            <w:vAlign w:val="bottom"/>
            <w:tcBorders>
              <w:left w:val="single" w:sz="8" w:color="434F69"/>
            </w:tcBorders>
            <w:shd w:val="clear" w:color="auto" w:fill="434F69"/>
          </w:tcPr>
          <w:p>
            <w:pPr>
              <w:spacing w:after="0"/>
              <w:rPr>
                <w:sz w:val="14"/>
                <w:szCs w:val="14"/>
                <w:color w:val="auto"/>
              </w:rPr>
            </w:pPr>
          </w:p>
        </w:tc>
        <w:tc>
          <w:tcPr>
            <w:tcW w:w="980" w:type="dxa"/>
            <w:vAlign w:val="bottom"/>
            <w:shd w:val="clear" w:color="auto" w:fill="434F69"/>
          </w:tcPr>
          <w:p>
            <w:pPr>
              <w:spacing w:after="0"/>
              <w:rPr>
                <w:sz w:val="14"/>
                <w:szCs w:val="14"/>
                <w:color w:val="auto"/>
              </w:rPr>
            </w:pPr>
          </w:p>
        </w:tc>
        <w:tc>
          <w:tcPr>
            <w:tcW w:w="240" w:type="dxa"/>
            <w:vAlign w:val="bottom"/>
            <w:shd w:val="clear" w:color="auto" w:fill="434F69"/>
          </w:tcPr>
          <w:p>
            <w:pPr>
              <w:spacing w:after="0"/>
              <w:rPr>
                <w:sz w:val="14"/>
                <w:szCs w:val="14"/>
                <w:color w:val="auto"/>
              </w:rPr>
            </w:pPr>
          </w:p>
        </w:tc>
        <w:tc>
          <w:tcPr>
            <w:tcW w:w="960" w:type="dxa"/>
            <w:vAlign w:val="bottom"/>
            <w:shd w:val="clear" w:color="auto" w:fill="434F69"/>
          </w:tcPr>
          <w:p>
            <w:pPr>
              <w:spacing w:after="0"/>
              <w:rPr>
                <w:sz w:val="14"/>
                <w:szCs w:val="14"/>
                <w:color w:val="auto"/>
              </w:rPr>
            </w:pPr>
          </w:p>
        </w:tc>
        <w:tc>
          <w:tcPr>
            <w:tcW w:w="940" w:type="dxa"/>
            <w:vAlign w:val="bottom"/>
            <w:shd w:val="clear" w:color="auto" w:fill="434F69"/>
          </w:tcPr>
          <w:p>
            <w:pPr>
              <w:spacing w:after="0"/>
              <w:rPr>
                <w:sz w:val="14"/>
                <w:szCs w:val="14"/>
                <w:color w:val="auto"/>
              </w:rPr>
            </w:pPr>
          </w:p>
        </w:tc>
        <w:tc>
          <w:tcPr>
            <w:tcW w:w="200" w:type="dxa"/>
            <w:vAlign w:val="bottom"/>
            <w:shd w:val="clear" w:color="auto" w:fill="434F69"/>
          </w:tcPr>
          <w:p>
            <w:pPr>
              <w:spacing w:after="0"/>
              <w:rPr>
                <w:sz w:val="14"/>
                <w:szCs w:val="14"/>
                <w:color w:val="auto"/>
              </w:rPr>
            </w:pPr>
          </w:p>
        </w:tc>
        <w:tc>
          <w:tcPr>
            <w:tcW w:w="920" w:type="dxa"/>
            <w:vAlign w:val="bottom"/>
            <w:shd w:val="clear" w:color="auto" w:fill="434F69"/>
          </w:tcPr>
          <w:p>
            <w:pPr>
              <w:jc w:val="center"/>
              <w:ind w:right="183"/>
              <w:spacing w:after="0"/>
              <w:rPr>
                <w:sz w:val="20"/>
                <w:szCs w:val="20"/>
                <w:color w:val="auto"/>
              </w:rPr>
            </w:pPr>
            <w:r>
              <w:rPr>
                <w:rFonts w:ascii="Arial" w:cs="Arial" w:eastAsia="Arial" w:hAnsi="Arial"/>
                <w:sz w:val="14"/>
                <w:szCs w:val="14"/>
                <w:b w:val="1"/>
                <w:bCs w:val="1"/>
                <w:color w:val="FFFFFF"/>
              </w:rPr>
              <w:t>O/S Units</w:t>
            </w:r>
          </w:p>
        </w:tc>
        <w:tc>
          <w:tcPr>
            <w:tcW w:w="10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 of</w:t>
            </w:r>
          </w:p>
        </w:tc>
        <w:tc>
          <w:tcPr>
            <w:tcW w:w="960" w:type="dxa"/>
            <w:vAlign w:val="bottom"/>
            <w:tcBorders>
              <w:right w:val="single" w:sz="8" w:color="434F69"/>
            </w:tcBorders>
            <w:shd w:val="clear" w:color="auto" w:fill="434F69"/>
          </w:tcPr>
          <w:p>
            <w:pPr>
              <w:ind w:left="100"/>
              <w:spacing w:after="0"/>
              <w:rPr>
                <w:sz w:val="20"/>
                <w:szCs w:val="20"/>
                <w:color w:val="auto"/>
              </w:rPr>
            </w:pPr>
            <w:r>
              <w:rPr>
                <w:rFonts w:ascii="Arial" w:cs="Arial" w:eastAsia="Arial" w:hAnsi="Arial"/>
                <w:sz w:val="14"/>
                <w:szCs w:val="14"/>
                <w:b w:val="1"/>
                <w:bCs w:val="1"/>
                <w:color w:val="FFFFFF"/>
              </w:rPr>
              <w:t>Value from</w:t>
            </w:r>
          </w:p>
        </w:tc>
      </w:tr>
      <w:tr>
        <w:trPr>
          <w:trHeight w:val="151"/>
        </w:trPr>
        <w:tc>
          <w:tcPr>
            <w:tcW w:w="1940" w:type="dxa"/>
            <w:vAlign w:val="bottom"/>
            <w:tcBorders>
              <w:left w:val="single" w:sz="8" w:color="434F69"/>
            </w:tcBorders>
            <w:shd w:val="clear" w:color="auto" w:fill="434F69"/>
          </w:tcPr>
          <w:p>
            <w:pPr>
              <w:spacing w:after="0"/>
              <w:rPr>
                <w:sz w:val="13"/>
                <w:szCs w:val="13"/>
                <w:color w:val="auto"/>
              </w:rPr>
            </w:pPr>
          </w:p>
        </w:tc>
        <w:tc>
          <w:tcPr>
            <w:tcW w:w="980" w:type="dxa"/>
            <w:vAlign w:val="bottom"/>
            <w:shd w:val="clear" w:color="auto" w:fill="434F69"/>
          </w:tcPr>
          <w:p>
            <w:pPr>
              <w:jc w:val="right"/>
              <w:ind w:right="222"/>
              <w:spacing w:after="0" w:line="151" w:lineRule="exact"/>
              <w:rPr>
                <w:sz w:val="20"/>
                <w:szCs w:val="20"/>
                <w:color w:val="auto"/>
              </w:rPr>
            </w:pPr>
            <w:r>
              <w:rPr>
                <w:rFonts w:ascii="Arial" w:cs="Arial" w:eastAsia="Arial" w:hAnsi="Arial"/>
                <w:sz w:val="14"/>
                <w:szCs w:val="14"/>
                <w:b w:val="1"/>
                <w:bCs w:val="1"/>
                <w:color w:val="FFFFFF"/>
              </w:rPr>
              <w:t>Units</w:t>
            </w:r>
          </w:p>
        </w:tc>
        <w:tc>
          <w:tcPr>
            <w:tcW w:w="1200" w:type="dxa"/>
            <w:vAlign w:val="bottom"/>
            <w:gridSpan w:val="2"/>
            <w:shd w:val="clear" w:color="auto" w:fill="434F69"/>
          </w:tcPr>
          <w:p>
            <w:pPr>
              <w:jc w:val="right"/>
              <w:ind w:right="179"/>
              <w:spacing w:after="0" w:line="151" w:lineRule="exact"/>
              <w:rPr>
                <w:sz w:val="20"/>
                <w:szCs w:val="20"/>
                <w:color w:val="auto"/>
              </w:rPr>
            </w:pPr>
            <w:r>
              <w:rPr>
                <w:rFonts w:ascii="Arial" w:cs="Arial" w:eastAsia="Arial" w:hAnsi="Arial"/>
                <w:sz w:val="14"/>
                <w:szCs w:val="14"/>
                <w:b w:val="1"/>
                <w:bCs w:val="1"/>
                <w:color w:val="FFFFFF"/>
              </w:rPr>
              <w:t>Grant Date</w:t>
            </w:r>
          </w:p>
        </w:tc>
        <w:tc>
          <w:tcPr>
            <w:tcW w:w="940" w:type="dxa"/>
            <w:vAlign w:val="bottom"/>
            <w:shd w:val="clear" w:color="auto" w:fill="434F69"/>
          </w:tcPr>
          <w:p>
            <w:pPr>
              <w:spacing w:after="0"/>
              <w:rPr>
                <w:sz w:val="13"/>
                <w:szCs w:val="13"/>
                <w:color w:val="auto"/>
              </w:rPr>
            </w:pPr>
          </w:p>
        </w:tc>
        <w:tc>
          <w:tcPr>
            <w:tcW w:w="200" w:type="dxa"/>
            <w:vAlign w:val="bottom"/>
            <w:shd w:val="clear" w:color="auto" w:fill="434F69"/>
          </w:tcPr>
          <w:p>
            <w:pPr>
              <w:spacing w:after="0"/>
              <w:rPr>
                <w:sz w:val="13"/>
                <w:szCs w:val="13"/>
                <w:color w:val="auto"/>
              </w:rPr>
            </w:pPr>
          </w:p>
        </w:tc>
        <w:tc>
          <w:tcPr>
            <w:tcW w:w="920" w:type="dxa"/>
            <w:vAlign w:val="bottom"/>
            <w:shd w:val="clear" w:color="auto" w:fill="434F69"/>
          </w:tcPr>
          <w:p>
            <w:pPr>
              <w:jc w:val="center"/>
              <w:ind w:right="183"/>
              <w:spacing w:after="0" w:line="151" w:lineRule="exact"/>
              <w:rPr>
                <w:sz w:val="20"/>
                <w:szCs w:val="20"/>
                <w:color w:val="auto"/>
              </w:rPr>
            </w:pPr>
            <w:r>
              <w:rPr>
                <w:rFonts w:ascii="Arial" w:cs="Arial" w:eastAsia="Arial" w:hAnsi="Arial"/>
                <w:sz w:val="14"/>
                <w:szCs w:val="14"/>
                <w:b w:val="1"/>
                <w:bCs w:val="1"/>
                <w:color w:val="FFFFFF"/>
              </w:rPr>
              <w:t>as of</w:t>
            </w:r>
          </w:p>
        </w:tc>
        <w:tc>
          <w:tcPr>
            <w:tcW w:w="1080" w:type="dxa"/>
            <w:vAlign w:val="bottom"/>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Grant Date</w:t>
            </w:r>
          </w:p>
        </w:tc>
        <w:tc>
          <w:tcPr>
            <w:tcW w:w="960" w:type="dxa"/>
            <w:vAlign w:val="bottom"/>
            <w:tcBorders>
              <w:right w:val="single" w:sz="8" w:color="434F69"/>
            </w:tcBorders>
            <w:shd w:val="clear" w:color="auto" w:fill="434F69"/>
          </w:tcPr>
          <w:p>
            <w:pPr>
              <w:ind w:left="100"/>
              <w:spacing w:after="0" w:line="151" w:lineRule="exact"/>
              <w:rPr>
                <w:sz w:val="20"/>
                <w:szCs w:val="20"/>
                <w:color w:val="auto"/>
              </w:rPr>
            </w:pPr>
            <w:r>
              <w:rPr>
                <w:rFonts w:ascii="Arial" w:cs="Arial" w:eastAsia="Arial" w:hAnsi="Arial"/>
                <w:sz w:val="14"/>
                <w:szCs w:val="14"/>
                <w:b w:val="1"/>
                <w:bCs w:val="1"/>
                <w:color w:val="FFFFFF"/>
              </w:rPr>
              <w:t>Grant Date</w:t>
            </w:r>
          </w:p>
        </w:tc>
      </w:tr>
      <w:tr>
        <w:trPr>
          <w:trHeight w:val="226"/>
        </w:trPr>
        <w:tc>
          <w:tcPr>
            <w:tcW w:w="1940" w:type="dxa"/>
            <w:vAlign w:val="bottom"/>
            <w:tcBorders>
              <w:lef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Grant Date</w:t>
            </w:r>
          </w:p>
        </w:tc>
        <w:tc>
          <w:tcPr>
            <w:tcW w:w="980" w:type="dxa"/>
            <w:vAlign w:val="bottom"/>
            <w:shd w:val="clear" w:color="auto" w:fill="434F69"/>
          </w:tcPr>
          <w:p>
            <w:pPr>
              <w:jc w:val="right"/>
              <w:ind w:right="122"/>
              <w:spacing w:after="0"/>
              <w:rPr>
                <w:sz w:val="20"/>
                <w:szCs w:val="20"/>
                <w:color w:val="auto"/>
              </w:rPr>
            </w:pPr>
            <w:r>
              <w:rPr>
                <w:rFonts w:ascii="Arial" w:cs="Arial" w:eastAsia="Arial" w:hAnsi="Arial"/>
                <w:sz w:val="14"/>
                <w:szCs w:val="14"/>
                <w:b w:val="1"/>
                <w:bCs w:val="1"/>
                <w:color w:val="FFFFFF"/>
              </w:rPr>
              <w:t>Granted</w:t>
            </w:r>
          </w:p>
        </w:tc>
        <w:tc>
          <w:tcPr>
            <w:tcW w:w="1200" w:type="dxa"/>
            <w:vAlign w:val="bottom"/>
            <w:gridSpan w:val="2"/>
            <w:shd w:val="clear" w:color="auto" w:fill="434F69"/>
          </w:tcPr>
          <w:p>
            <w:pPr>
              <w:jc w:val="right"/>
              <w:ind w:right="39"/>
              <w:spacing w:after="0"/>
              <w:rPr>
                <w:sz w:val="20"/>
                <w:szCs w:val="20"/>
                <w:color w:val="auto"/>
              </w:rPr>
            </w:pPr>
            <w:r>
              <w:rPr>
                <w:rFonts w:ascii="Arial" w:cs="Arial" w:eastAsia="Arial" w:hAnsi="Arial"/>
                <w:sz w:val="14"/>
                <w:szCs w:val="14"/>
                <w:b w:val="1"/>
                <w:bCs w:val="1"/>
                <w:color w:val="FFFFFF"/>
              </w:rPr>
              <w:t>Market Value</w:t>
            </w:r>
            <w:r>
              <w:rPr>
                <w:rFonts w:ascii="Arial" w:cs="Arial" w:eastAsia="Arial" w:hAnsi="Arial"/>
                <w:sz w:val="17"/>
                <w:szCs w:val="17"/>
                <w:b w:val="1"/>
                <w:bCs w:val="1"/>
                <w:color w:val="FFFFFF"/>
                <w:vertAlign w:val="superscript"/>
              </w:rPr>
              <w:t>(1)</w:t>
            </w:r>
          </w:p>
        </w:tc>
        <w:tc>
          <w:tcPr>
            <w:tcW w:w="940" w:type="dxa"/>
            <w:vAlign w:val="bottom"/>
            <w:shd w:val="clear" w:color="auto" w:fill="434F69"/>
          </w:tcPr>
          <w:p>
            <w:pPr>
              <w:jc w:val="right"/>
              <w:ind w:right="81"/>
              <w:spacing w:after="0"/>
              <w:rPr>
                <w:sz w:val="20"/>
                <w:szCs w:val="20"/>
                <w:color w:val="auto"/>
              </w:rPr>
            </w:pPr>
            <w:r>
              <w:rPr>
                <w:rFonts w:ascii="Arial" w:cs="Arial" w:eastAsia="Arial" w:hAnsi="Arial"/>
                <w:sz w:val="14"/>
                <w:szCs w:val="14"/>
                <w:b w:val="1"/>
                <w:bCs w:val="1"/>
                <w:color w:val="FFFFFF"/>
              </w:rPr>
              <w:t>Units O/S</w:t>
            </w:r>
          </w:p>
        </w:tc>
        <w:tc>
          <w:tcPr>
            <w:tcW w:w="200" w:type="dxa"/>
            <w:vAlign w:val="bottom"/>
            <w:shd w:val="clear" w:color="auto" w:fill="434F69"/>
          </w:tcPr>
          <w:p>
            <w:pPr>
              <w:spacing w:after="0"/>
              <w:rPr>
                <w:sz w:val="19"/>
                <w:szCs w:val="19"/>
                <w:color w:val="auto"/>
              </w:rPr>
            </w:pPr>
          </w:p>
        </w:tc>
        <w:tc>
          <w:tcPr>
            <w:tcW w:w="920" w:type="dxa"/>
            <w:vAlign w:val="bottom"/>
            <w:shd w:val="clear" w:color="auto" w:fill="434F69"/>
          </w:tcPr>
          <w:p>
            <w:pPr>
              <w:jc w:val="center"/>
              <w:ind w:right="143"/>
              <w:spacing w:after="0"/>
              <w:rPr>
                <w:sz w:val="20"/>
                <w:szCs w:val="20"/>
                <w:color w:val="auto"/>
              </w:rPr>
            </w:pPr>
            <w:r>
              <w:rPr>
                <w:rFonts w:ascii="Arial" w:cs="Arial" w:eastAsia="Arial" w:hAnsi="Arial"/>
                <w:sz w:val="14"/>
                <w:szCs w:val="14"/>
                <w:b w:val="1"/>
                <w:bCs w:val="1"/>
                <w:color w:val="FFFFFF"/>
                <w:w w:val="96"/>
              </w:rPr>
              <w:t>12/31/21</w:t>
            </w:r>
            <w:r>
              <w:rPr>
                <w:rFonts w:ascii="Arial" w:cs="Arial" w:eastAsia="Arial" w:hAnsi="Arial"/>
                <w:sz w:val="17"/>
                <w:szCs w:val="17"/>
                <w:b w:val="1"/>
                <w:bCs w:val="1"/>
                <w:color w:val="FFFFFF"/>
                <w:w w:val="96"/>
                <w:vertAlign w:val="superscript"/>
              </w:rPr>
              <w:t>(2)</w:t>
            </w:r>
          </w:p>
        </w:tc>
        <w:tc>
          <w:tcPr>
            <w:tcW w:w="10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Market Value</w:t>
            </w:r>
          </w:p>
        </w:tc>
        <w:tc>
          <w:tcPr>
            <w:tcW w:w="960" w:type="dxa"/>
            <w:vAlign w:val="bottom"/>
            <w:tcBorders>
              <w:right w:val="single" w:sz="8" w:color="434F69"/>
            </w:tcBorders>
            <w:shd w:val="clear" w:color="auto" w:fill="434F69"/>
          </w:tcPr>
          <w:p>
            <w:pPr>
              <w:ind w:left="120"/>
              <w:spacing w:after="0"/>
              <w:rPr>
                <w:sz w:val="20"/>
                <w:szCs w:val="20"/>
                <w:color w:val="auto"/>
              </w:rPr>
            </w:pPr>
            <w:r>
              <w:rPr>
                <w:rFonts w:ascii="Arial" w:cs="Arial" w:eastAsia="Arial" w:hAnsi="Arial"/>
                <w:sz w:val="14"/>
                <w:szCs w:val="14"/>
                <w:b w:val="1"/>
                <w:bCs w:val="1"/>
                <w:color w:val="FFFFFF"/>
              </w:rPr>
              <w:t>to 12/31/21</w:t>
            </w:r>
          </w:p>
        </w:tc>
      </w:tr>
      <w:tr>
        <w:trPr>
          <w:trHeight w:val="236"/>
        </w:trPr>
        <w:tc>
          <w:tcPr>
            <w:tcW w:w="194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6"/>
                <w:szCs w:val="16"/>
                <w:color w:val="auto"/>
              </w:rPr>
              <w:t>8/16/18 (promotion grant)</w:t>
            </w:r>
          </w:p>
        </w:tc>
        <w:tc>
          <w:tcPr>
            <w:tcW w:w="980" w:type="dxa"/>
            <w:vAlign w:val="bottom"/>
            <w:tcBorders>
              <w:bottom w:val="single" w:sz="8" w:color="434F69"/>
            </w:tcBorders>
            <w:shd w:val="clear" w:color="auto" w:fill="D9DCE1"/>
          </w:tcPr>
          <w:p>
            <w:pPr>
              <w:jc w:val="right"/>
              <w:ind w:right="22"/>
              <w:spacing w:after="0"/>
              <w:rPr>
                <w:sz w:val="20"/>
                <w:szCs w:val="20"/>
                <w:color w:val="auto"/>
              </w:rPr>
            </w:pPr>
            <w:r>
              <w:rPr>
                <w:rFonts w:ascii="Arial" w:cs="Arial" w:eastAsia="Arial" w:hAnsi="Arial"/>
                <w:sz w:val="16"/>
                <w:szCs w:val="16"/>
                <w:color w:val="auto"/>
              </w:rPr>
              <w:t>500,000</w:t>
            </w:r>
          </w:p>
        </w:tc>
        <w:tc>
          <w:tcPr>
            <w:tcW w:w="2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34F69"/>
            </w:tcBorders>
            <w:shd w:val="clear" w:color="auto" w:fill="D9DCE1"/>
          </w:tcPr>
          <w:p>
            <w:pPr>
              <w:jc w:val="right"/>
              <w:ind w:right="79"/>
              <w:spacing w:after="0"/>
              <w:rPr>
                <w:sz w:val="20"/>
                <w:szCs w:val="20"/>
                <w:color w:val="auto"/>
              </w:rPr>
            </w:pPr>
            <w:r>
              <w:rPr>
                <w:rFonts w:ascii="Arial" w:cs="Arial" w:eastAsia="Arial" w:hAnsi="Arial"/>
                <w:sz w:val="16"/>
                <w:szCs w:val="16"/>
                <w:color w:val="auto"/>
                <w:w w:val="97"/>
              </w:rPr>
              <w:t>13,425,000</w:t>
            </w:r>
          </w:p>
        </w:tc>
        <w:tc>
          <w:tcPr>
            <w:tcW w:w="940" w:type="dxa"/>
            <w:vAlign w:val="bottom"/>
            <w:tcBorders>
              <w:bottom w:val="single" w:sz="8" w:color="434F69"/>
            </w:tcBorders>
            <w:shd w:val="clear" w:color="auto" w:fill="D9DCE1"/>
          </w:tcPr>
          <w:p>
            <w:pPr>
              <w:jc w:val="right"/>
              <w:ind w:right="21"/>
              <w:spacing w:after="0"/>
              <w:rPr>
                <w:sz w:val="20"/>
                <w:szCs w:val="20"/>
                <w:color w:val="auto"/>
              </w:rPr>
            </w:pPr>
            <w:r>
              <w:rPr>
                <w:rFonts w:ascii="Arial" w:cs="Arial" w:eastAsia="Arial" w:hAnsi="Arial"/>
                <w:sz w:val="16"/>
                <w:szCs w:val="16"/>
                <w:color w:val="auto"/>
              </w:rPr>
              <w:t>500,000</w:t>
            </w:r>
          </w:p>
        </w:tc>
        <w:tc>
          <w:tcPr>
            <w:tcW w:w="2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34F69"/>
            </w:tcBorders>
            <w:shd w:val="clear" w:color="auto" w:fill="D9DCE1"/>
          </w:tcPr>
          <w:p>
            <w:pPr>
              <w:jc w:val="right"/>
              <w:ind w:right="23"/>
              <w:spacing w:after="0"/>
              <w:rPr>
                <w:sz w:val="20"/>
                <w:szCs w:val="20"/>
                <w:color w:val="auto"/>
              </w:rPr>
            </w:pPr>
            <w:r>
              <w:rPr>
                <w:rFonts w:ascii="Arial" w:cs="Arial" w:eastAsia="Arial" w:hAnsi="Arial"/>
                <w:sz w:val="16"/>
                <w:szCs w:val="16"/>
                <w:color w:val="auto"/>
              </w:rPr>
              <w:t>4,670,000</w:t>
            </w:r>
          </w:p>
        </w:tc>
        <w:tc>
          <w:tcPr>
            <w:tcW w:w="1080" w:type="dxa"/>
            <w:vAlign w:val="bottom"/>
            <w:tcBorders>
              <w:bottom w:val="single" w:sz="8" w:color="434F69"/>
            </w:tcBorders>
            <w:shd w:val="clear" w:color="auto" w:fill="D9DCE1"/>
          </w:tcPr>
          <w:p>
            <w:pPr>
              <w:jc w:val="right"/>
              <w:ind w:right="104"/>
              <w:spacing w:after="0"/>
              <w:rPr>
                <w:sz w:val="20"/>
                <w:szCs w:val="20"/>
                <w:color w:val="auto"/>
              </w:rPr>
            </w:pPr>
            <w:r>
              <w:rPr>
                <w:rFonts w:ascii="Arial" w:cs="Arial" w:eastAsia="Arial" w:hAnsi="Arial"/>
                <w:sz w:val="16"/>
                <w:szCs w:val="16"/>
                <w:color w:val="auto"/>
              </w:rPr>
              <w:t>34.8%</w:t>
            </w:r>
          </w:p>
        </w:tc>
        <w:tc>
          <w:tcPr>
            <w:tcW w:w="960" w:type="dxa"/>
            <w:vAlign w:val="bottom"/>
            <w:tcBorders>
              <w:bottom w:val="single" w:sz="8" w:color="434F69"/>
              <w:right w:val="single" w:sz="8" w:color="434F69"/>
            </w:tcBorders>
            <w:shd w:val="clear" w:color="auto" w:fill="D9DCE1"/>
          </w:tcPr>
          <w:p>
            <w:pPr>
              <w:jc w:val="right"/>
              <w:ind w:right="43"/>
              <w:spacing w:after="0"/>
              <w:rPr>
                <w:sz w:val="20"/>
                <w:szCs w:val="20"/>
                <w:color w:val="auto"/>
              </w:rPr>
            </w:pPr>
            <w:r>
              <w:rPr>
                <w:rFonts w:ascii="Arial" w:cs="Arial" w:eastAsia="Arial" w:hAnsi="Arial"/>
                <w:sz w:val="16"/>
                <w:szCs w:val="16"/>
                <w:color w:val="FC0014"/>
              </w:rPr>
              <w:t>-65.2%</w:t>
            </w:r>
          </w:p>
        </w:tc>
      </w:tr>
      <w:tr>
        <w:trPr>
          <w:trHeight w:val="237"/>
        </w:trPr>
        <w:tc>
          <w:tcPr>
            <w:tcW w:w="1940" w:type="dxa"/>
            <w:vAlign w:val="bottom"/>
            <w:tcBorders>
              <w:left w:val="single" w:sz="8" w:color="434F69"/>
              <w:bottom w:val="single" w:sz="8" w:color="434F69"/>
            </w:tcBorders>
          </w:tcPr>
          <w:p>
            <w:pPr>
              <w:ind w:left="60"/>
              <w:spacing w:after="0"/>
              <w:rPr>
                <w:sz w:val="20"/>
                <w:szCs w:val="20"/>
                <w:color w:val="auto"/>
              </w:rPr>
            </w:pPr>
            <w:r>
              <w:rPr>
                <w:rFonts w:ascii="Arial" w:cs="Arial" w:eastAsia="Arial" w:hAnsi="Arial"/>
                <w:sz w:val="16"/>
                <w:szCs w:val="16"/>
                <w:color w:val="auto"/>
              </w:rPr>
              <w:t>8/15/19 (annual grant)</w:t>
            </w:r>
          </w:p>
        </w:tc>
        <w:tc>
          <w:tcPr>
            <w:tcW w:w="980" w:type="dxa"/>
            <w:vAlign w:val="bottom"/>
            <w:tcBorders>
              <w:bottom w:val="single" w:sz="8" w:color="434F69"/>
            </w:tcBorders>
          </w:tcPr>
          <w:p>
            <w:pPr>
              <w:jc w:val="right"/>
              <w:ind w:right="22"/>
              <w:spacing w:after="0"/>
              <w:rPr>
                <w:sz w:val="20"/>
                <w:szCs w:val="20"/>
                <w:color w:val="auto"/>
              </w:rPr>
            </w:pPr>
            <w:r>
              <w:rPr>
                <w:rFonts w:ascii="Arial" w:cs="Arial" w:eastAsia="Arial" w:hAnsi="Arial"/>
                <w:sz w:val="16"/>
                <w:szCs w:val="16"/>
                <w:color w:val="auto"/>
              </w:rPr>
              <w:t>125,740</w:t>
            </w:r>
          </w:p>
        </w:tc>
        <w:tc>
          <w:tcPr>
            <w:tcW w:w="24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34F69"/>
            </w:tcBorders>
          </w:tcPr>
          <w:p>
            <w:pPr>
              <w:jc w:val="right"/>
              <w:ind w:right="79"/>
              <w:spacing w:after="0"/>
              <w:rPr>
                <w:sz w:val="20"/>
                <w:szCs w:val="20"/>
                <w:color w:val="auto"/>
              </w:rPr>
            </w:pPr>
            <w:r>
              <w:rPr>
                <w:rFonts w:ascii="Arial" w:cs="Arial" w:eastAsia="Arial" w:hAnsi="Arial"/>
                <w:sz w:val="16"/>
                <w:szCs w:val="16"/>
                <w:color w:val="auto"/>
              </w:rPr>
              <w:t>2,683,292</w:t>
            </w:r>
          </w:p>
        </w:tc>
        <w:tc>
          <w:tcPr>
            <w:tcW w:w="940" w:type="dxa"/>
            <w:vAlign w:val="bottom"/>
            <w:tcBorders>
              <w:bottom w:val="single" w:sz="8" w:color="434F69"/>
            </w:tcBorders>
          </w:tcPr>
          <w:p>
            <w:pPr>
              <w:jc w:val="right"/>
              <w:ind w:right="21"/>
              <w:spacing w:after="0"/>
              <w:rPr>
                <w:sz w:val="20"/>
                <w:szCs w:val="20"/>
                <w:color w:val="auto"/>
              </w:rPr>
            </w:pPr>
            <w:r>
              <w:rPr>
                <w:rFonts w:ascii="Arial" w:cs="Arial" w:eastAsia="Arial" w:hAnsi="Arial"/>
                <w:sz w:val="16"/>
                <w:szCs w:val="16"/>
                <w:color w:val="auto"/>
              </w:rPr>
              <w:t>125,740</w:t>
            </w:r>
          </w:p>
        </w:tc>
        <w:tc>
          <w:tcPr>
            <w:tcW w:w="20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34F69"/>
            </w:tcBorders>
          </w:tcPr>
          <w:p>
            <w:pPr>
              <w:jc w:val="right"/>
              <w:ind w:right="23"/>
              <w:spacing w:after="0"/>
              <w:rPr>
                <w:sz w:val="20"/>
                <w:szCs w:val="20"/>
                <w:color w:val="auto"/>
              </w:rPr>
            </w:pPr>
            <w:r>
              <w:rPr>
                <w:rFonts w:ascii="Arial" w:cs="Arial" w:eastAsia="Arial" w:hAnsi="Arial"/>
                <w:sz w:val="16"/>
                <w:szCs w:val="16"/>
                <w:color w:val="auto"/>
              </w:rPr>
              <w:t>1,174,412</w:t>
            </w:r>
          </w:p>
        </w:tc>
        <w:tc>
          <w:tcPr>
            <w:tcW w:w="1080" w:type="dxa"/>
            <w:vAlign w:val="bottom"/>
            <w:tcBorders>
              <w:bottom w:val="single" w:sz="8" w:color="434F69"/>
            </w:tcBorders>
          </w:tcPr>
          <w:p>
            <w:pPr>
              <w:jc w:val="right"/>
              <w:ind w:right="104"/>
              <w:spacing w:after="0"/>
              <w:rPr>
                <w:sz w:val="20"/>
                <w:szCs w:val="20"/>
                <w:color w:val="auto"/>
              </w:rPr>
            </w:pPr>
            <w:r>
              <w:rPr>
                <w:rFonts w:ascii="Arial" w:cs="Arial" w:eastAsia="Arial" w:hAnsi="Arial"/>
                <w:sz w:val="16"/>
                <w:szCs w:val="16"/>
                <w:color w:val="auto"/>
              </w:rPr>
              <w:t>43.8%</w:t>
            </w:r>
          </w:p>
        </w:tc>
        <w:tc>
          <w:tcPr>
            <w:tcW w:w="960" w:type="dxa"/>
            <w:vAlign w:val="bottom"/>
            <w:tcBorders>
              <w:bottom w:val="single" w:sz="8" w:color="434F69"/>
              <w:right w:val="single" w:sz="8" w:color="434F69"/>
            </w:tcBorders>
          </w:tcPr>
          <w:p>
            <w:pPr>
              <w:jc w:val="right"/>
              <w:ind w:right="43"/>
              <w:spacing w:after="0"/>
              <w:rPr>
                <w:sz w:val="20"/>
                <w:szCs w:val="20"/>
                <w:color w:val="auto"/>
              </w:rPr>
            </w:pPr>
            <w:r>
              <w:rPr>
                <w:rFonts w:ascii="Arial" w:cs="Arial" w:eastAsia="Arial" w:hAnsi="Arial"/>
                <w:sz w:val="16"/>
                <w:szCs w:val="16"/>
                <w:color w:val="FC0014"/>
              </w:rPr>
              <w:t>-56.2%</w:t>
            </w:r>
          </w:p>
        </w:tc>
      </w:tr>
      <w:tr>
        <w:trPr>
          <w:trHeight w:val="236"/>
        </w:trPr>
        <w:tc>
          <w:tcPr>
            <w:tcW w:w="194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6"/>
                <w:szCs w:val="16"/>
                <w:color w:val="auto"/>
              </w:rPr>
              <w:t>8/13/20 (annual grant)</w:t>
            </w:r>
          </w:p>
        </w:tc>
        <w:tc>
          <w:tcPr>
            <w:tcW w:w="980" w:type="dxa"/>
            <w:vAlign w:val="bottom"/>
            <w:tcBorders>
              <w:bottom w:val="single" w:sz="8" w:color="434F69"/>
            </w:tcBorders>
            <w:shd w:val="clear" w:color="auto" w:fill="D9DCE1"/>
          </w:tcPr>
          <w:p>
            <w:pPr>
              <w:jc w:val="right"/>
              <w:ind w:right="22"/>
              <w:spacing w:after="0"/>
              <w:rPr>
                <w:sz w:val="20"/>
                <w:szCs w:val="20"/>
                <w:color w:val="auto"/>
              </w:rPr>
            </w:pPr>
            <w:r>
              <w:rPr>
                <w:rFonts w:ascii="Arial" w:cs="Arial" w:eastAsia="Arial" w:hAnsi="Arial"/>
                <w:sz w:val="16"/>
                <w:szCs w:val="16"/>
                <w:color w:val="auto"/>
              </w:rPr>
              <w:t>375,940</w:t>
            </w:r>
          </w:p>
        </w:tc>
        <w:tc>
          <w:tcPr>
            <w:tcW w:w="2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34F69"/>
            </w:tcBorders>
            <w:shd w:val="clear" w:color="auto" w:fill="D9DCE1"/>
          </w:tcPr>
          <w:p>
            <w:pPr>
              <w:jc w:val="right"/>
              <w:ind w:right="79"/>
              <w:spacing w:after="0"/>
              <w:rPr>
                <w:sz w:val="20"/>
                <w:szCs w:val="20"/>
                <w:color w:val="auto"/>
              </w:rPr>
            </w:pPr>
            <w:r>
              <w:rPr>
                <w:rFonts w:ascii="Arial" w:cs="Arial" w:eastAsia="Arial" w:hAnsi="Arial"/>
                <w:sz w:val="16"/>
                <w:szCs w:val="16"/>
                <w:color w:val="auto"/>
              </w:rPr>
              <w:t>2,996,242</w:t>
            </w:r>
          </w:p>
        </w:tc>
        <w:tc>
          <w:tcPr>
            <w:tcW w:w="940" w:type="dxa"/>
            <w:vAlign w:val="bottom"/>
            <w:tcBorders>
              <w:bottom w:val="single" w:sz="8" w:color="434F69"/>
            </w:tcBorders>
            <w:shd w:val="clear" w:color="auto" w:fill="D9DCE1"/>
          </w:tcPr>
          <w:p>
            <w:pPr>
              <w:jc w:val="right"/>
              <w:ind w:right="21"/>
              <w:spacing w:after="0"/>
              <w:rPr>
                <w:sz w:val="20"/>
                <w:szCs w:val="20"/>
                <w:color w:val="auto"/>
              </w:rPr>
            </w:pPr>
            <w:r>
              <w:rPr>
                <w:rFonts w:ascii="Arial" w:cs="Arial" w:eastAsia="Arial" w:hAnsi="Arial"/>
                <w:sz w:val="16"/>
                <w:szCs w:val="16"/>
                <w:color w:val="auto"/>
              </w:rPr>
              <w:t>375,940</w:t>
            </w:r>
          </w:p>
        </w:tc>
        <w:tc>
          <w:tcPr>
            <w:tcW w:w="2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34F69"/>
            </w:tcBorders>
            <w:shd w:val="clear" w:color="auto" w:fill="D9DCE1"/>
          </w:tcPr>
          <w:p>
            <w:pPr>
              <w:jc w:val="right"/>
              <w:ind w:right="23"/>
              <w:spacing w:after="0"/>
              <w:rPr>
                <w:sz w:val="20"/>
                <w:szCs w:val="20"/>
                <w:color w:val="auto"/>
              </w:rPr>
            </w:pPr>
            <w:r>
              <w:rPr>
                <w:rFonts w:ascii="Arial" w:cs="Arial" w:eastAsia="Arial" w:hAnsi="Arial"/>
                <w:sz w:val="16"/>
                <w:szCs w:val="16"/>
                <w:color w:val="auto"/>
              </w:rPr>
              <w:t>3,511,280</w:t>
            </w:r>
          </w:p>
        </w:tc>
        <w:tc>
          <w:tcPr>
            <w:tcW w:w="1080" w:type="dxa"/>
            <w:vAlign w:val="bottom"/>
            <w:tcBorders>
              <w:bottom w:val="single" w:sz="8" w:color="434F69"/>
            </w:tcBorders>
            <w:shd w:val="clear" w:color="auto" w:fill="D9DCE1"/>
          </w:tcPr>
          <w:p>
            <w:pPr>
              <w:jc w:val="right"/>
              <w:ind w:right="104"/>
              <w:spacing w:after="0"/>
              <w:rPr>
                <w:sz w:val="20"/>
                <w:szCs w:val="20"/>
                <w:color w:val="auto"/>
              </w:rPr>
            </w:pPr>
            <w:r>
              <w:rPr>
                <w:rFonts w:ascii="Arial" w:cs="Arial" w:eastAsia="Arial" w:hAnsi="Arial"/>
                <w:sz w:val="16"/>
                <w:szCs w:val="16"/>
                <w:color w:val="auto"/>
              </w:rPr>
              <w:t>117.2%</w:t>
            </w:r>
          </w:p>
        </w:tc>
        <w:tc>
          <w:tcPr>
            <w:tcW w:w="960" w:type="dxa"/>
            <w:vAlign w:val="bottom"/>
            <w:tcBorders>
              <w:bottom w:val="single" w:sz="8" w:color="434F69"/>
              <w:right w:val="single" w:sz="8" w:color="434F69"/>
            </w:tcBorders>
            <w:shd w:val="clear" w:color="auto" w:fill="D9DCE1"/>
          </w:tcPr>
          <w:p>
            <w:pPr>
              <w:jc w:val="right"/>
              <w:ind w:right="43"/>
              <w:spacing w:after="0"/>
              <w:rPr>
                <w:sz w:val="20"/>
                <w:szCs w:val="20"/>
                <w:color w:val="auto"/>
              </w:rPr>
            </w:pPr>
            <w:r>
              <w:rPr>
                <w:rFonts w:ascii="Arial" w:cs="Arial" w:eastAsia="Arial" w:hAnsi="Arial"/>
                <w:sz w:val="16"/>
                <w:szCs w:val="16"/>
                <w:color w:val="auto"/>
              </w:rPr>
              <w:t>+17.2%</w:t>
            </w:r>
          </w:p>
        </w:tc>
      </w:tr>
      <w:tr>
        <w:trPr>
          <w:trHeight w:val="237"/>
        </w:trPr>
        <w:tc>
          <w:tcPr>
            <w:tcW w:w="1940" w:type="dxa"/>
            <w:vAlign w:val="bottom"/>
            <w:tcBorders>
              <w:left w:val="single" w:sz="8" w:color="434F69"/>
              <w:bottom w:val="single" w:sz="8" w:color="434F69"/>
            </w:tcBorders>
          </w:tcPr>
          <w:p>
            <w:pPr>
              <w:ind w:left="60"/>
              <w:spacing w:after="0"/>
              <w:rPr>
                <w:sz w:val="20"/>
                <w:szCs w:val="20"/>
                <w:color w:val="auto"/>
              </w:rPr>
            </w:pPr>
            <w:r>
              <w:rPr>
                <w:rFonts w:ascii="Arial" w:cs="Arial" w:eastAsia="Arial" w:hAnsi="Arial"/>
                <w:sz w:val="16"/>
                <w:szCs w:val="16"/>
                <w:color w:val="auto"/>
              </w:rPr>
              <w:t>8/19/21 (annual grant)</w:t>
            </w:r>
          </w:p>
        </w:tc>
        <w:tc>
          <w:tcPr>
            <w:tcW w:w="980" w:type="dxa"/>
            <w:vAlign w:val="bottom"/>
            <w:tcBorders>
              <w:bottom w:val="single" w:sz="8" w:color="434F69"/>
            </w:tcBorders>
          </w:tcPr>
          <w:p>
            <w:pPr>
              <w:jc w:val="right"/>
              <w:ind w:right="22"/>
              <w:spacing w:after="0"/>
              <w:rPr>
                <w:sz w:val="20"/>
                <w:szCs w:val="20"/>
                <w:color w:val="auto"/>
              </w:rPr>
            </w:pPr>
            <w:r>
              <w:rPr>
                <w:rFonts w:ascii="Arial" w:cs="Arial" w:eastAsia="Arial" w:hAnsi="Arial"/>
                <w:sz w:val="16"/>
                <w:szCs w:val="16"/>
                <w:color w:val="auto"/>
              </w:rPr>
              <w:t>300,600</w:t>
            </w:r>
          </w:p>
        </w:tc>
        <w:tc>
          <w:tcPr>
            <w:tcW w:w="24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34F69"/>
            </w:tcBorders>
          </w:tcPr>
          <w:p>
            <w:pPr>
              <w:jc w:val="right"/>
              <w:ind w:right="79"/>
              <w:spacing w:after="0"/>
              <w:rPr>
                <w:sz w:val="20"/>
                <w:szCs w:val="20"/>
                <w:color w:val="auto"/>
              </w:rPr>
            </w:pPr>
            <w:r>
              <w:rPr>
                <w:rFonts w:ascii="Arial" w:cs="Arial" w:eastAsia="Arial" w:hAnsi="Arial"/>
                <w:sz w:val="16"/>
                <w:szCs w:val="16"/>
                <w:color w:val="auto"/>
              </w:rPr>
              <w:t>2,738,466</w:t>
            </w:r>
          </w:p>
        </w:tc>
        <w:tc>
          <w:tcPr>
            <w:tcW w:w="940" w:type="dxa"/>
            <w:vAlign w:val="bottom"/>
            <w:tcBorders>
              <w:bottom w:val="single" w:sz="8" w:color="434F69"/>
            </w:tcBorders>
          </w:tcPr>
          <w:p>
            <w:pPr>
              <w:jc w:val="right"/>
              <w:ind w:right="21"/>
              <w:spacing w:after="0"/>
              <w:rPr>
                <w:sz w:val="20"/>
                <w:szCs w:val="20"/>
                <w:color w:val="auto"/>
              </w:rPr>
            </w:pPr>
            <w:r>
              <w:rPr>
                <w:rFonts w:ascii="Arial" w:cs="Arial" w:eastAsia="Arial" w:hAnsi="Arial"/>
                <w:sz w:val="16"/>
                <w:szCs w:val="16"/>
                <w:color w:val="auto"/>
              </w:rPr>
              <w:t>300,600</w:t>
            </w:r>
          </w:p>
        </w:tc>
        <w:tc>
          <w:tcPr>
            <w:tcW w:w="20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34F69"/>
            </w:tcBorders>
          </w:tcPr>
          <w:p>
            <w:pPr>
              <w:jc w:val="right"/>
              <w:ind w:right="23"/>
              <w:spacing w:after="0"/>
              <w:rPr>
                <w:sz w:val="20"/>
                <w:szCs w:val="20"/>
                <w:color w:val="auto"/>
              </w:rPr>
            </w:pPr>
            <w:r>
              <w:rPr>
                <w:rFonts w:ascii="Arial" w:cs="Arial" w:eastAsia="Arial" w:hAnsi="Arial"/>
                <w:sz w:val="16"/>
                <w:szCs w:val="16"/>
                <w:color w:val="auto"/>
              </w:rPr>
              <w:t>2,807,604</w:t>
            </w:r>
          </w:p>
        </w:tc>
        <w:tc>
          <w:tcPr>
            <w:tcW w:w="1080" w:type="dxa"/>
            <w:vAlign w:val="bottom"/>
            <w:tcBorders>
              <w:bottom w:val="single" w:sz="8" w:color="434F69"/>
            </w:tcBorders>
          </w:tcPr>
          <w:p>
            <w:pPr>
              <w:jc w:val="right"/>
              <w:ind w:right="104"/>
              <w:spacing w:after="0"/>
              <w:rPr>
                <w:sz w:val="20"/>
                <w:szCs w:val="20"/>
                <w:color w:val="auto"/>
              </w:rPr>
            </w:pPr>
            <w:r>
              <w:rPr>
                <w:rFonts w:ascii="Arial" w:cs="Arial" w:eastAsia="Arial" w:hAnsi="Arial"/>
                <w:sz w:val="16"/>
                <w:szCs w:val="16"/>
                <w:color w:val="auto"/>
              </w:rPr>
              <w:t>102.5%</w:t>
            </w:r>
          </w:p>
        </w:tc>
        <w:tc>
          <w:tcPr>
            <w:tcW w:w="960" w:type="dxa"/>
            <w:vAlign w:val="bottom"/>
            <w:tcBorders>
              <w:bottom w:val="single" w:sz="8" w:color="434F69"/>
              <w:right w:val="single" w:sz="8" w:color="434F69"/>
            </w:tcBorders>
          </w:tcPr>
          <w:p>
            <w:pPr>
              <w:jc w:val="right"/>
              <w:ind w:right="43"/>
              <w:spacing w:after="0"/>
              <w:rPr>
                <w:sz w:val="20"/>
                <w:szCs w:val="20"/>
                <w:color w:val="auto"/>
              </w:rPr>
            </w:pPr>
            <w:r>
              <w:rPr>
                <w:rFonts w:ascii="Arial" w:cs="Arial" w:eastAsia="Arial" w:hAnsi="Arial"/>
                <w:sz w:val="16"/>
                <w:szCs w:val="16"/>
                <w:color w:val="auto"/>
              </w:rPr>
              <w:t>+2.5%</w:t>
            </w:r>
          </w:p>
        </w:tc>
      </w:tr>
      <w:tr>
        <w:trPr>
          <w:trHeight w:val="198"/>
        </w:trPr>
        <w:tc>
          <w:tcPr>
            <w:tcW w:w="1940" w:type="dxa"/>
            <w:vAlign w:val="bottom"/>
            <w:tcBorders>
              <w:left w:val="single" w:sz="8" w:color="434F69"/>
            </w:tcBorders>
            <w:shd w:val="clear" w:color="auto" w:fill="D9DCE1"/>
          </w:tcPr>
          <w:p>
            <w:pPr>
              <w:ind w:left="220"/>
              <w:spacing w:after="0"/>
              <w:rPr>
                <w:sz w:val="20"/>
                <w:szCs w:val="20"/>
                <w:color w:val="auto"/>
              </w:rPr>
            </w:pPr>
            <w:r>
              <w:rPr>
                <w:rFonts w:ascii="Arial" w:cs="Arial" w:eastAsia="Arial" w:hAnsi="Arial"/>
                <w:sz w:val="16"/>
                <w:szCs w:val="16"/>
                <w:b w:val="1"/>
                <w:bCs w:val="1"/>
                <w:color w:val="auto"/>
              </w:rPr>
              <w:t>Unadjusted Total</w:t>
            </w:r>
          </w:p>
        </w:tc>
        <w:tc>
          <w:tcPr>
            <w:tcW w:w="980" w:type="dxa"/>
            <w:vAlign w:val="bottom"/>
            <w:shd w:val="clear" w:color="auto" w:fill="D9DCE1"/>
          </w:tcPr>
          <w:p>
            <w:pPr>
              <w:spacing w:after="0"/>
              <w:rPr>
                <w:sz w:val="17"/>
                <w:szCs w:val="17"/>
                <w:color w:val="auto"/>
              </w:rPr>
            </w:pPr>
          </w:p>
        </w:tc>
        <w:tc>
          <w:tcPr>
            <w:tcW w:w="240" w:type="dxa"/>
            <w:vAlign w:val="bottom"/>
            <w:shd w:val="clear" w:color="auto" w:fill="D9DCE1"/>
          </w:tcPr>
          <w:p>
            <w:pPr>
              <w:spacing w:after="0"/>
              <w:rPr>
                <w:sz w:val="17"/>
                <w:szCs w:val="17"/>
                <w:color w:val="auto"/>
              </w:rPr>
            </w:pPr>
          </w:p>
        </w:tc>
        <w:tc>
          <w:tcPr>
            <w:tcW w:w="960" w:type="dxa"/>
            <w:vAlign w:val="bottom"/>
            <w:shd w:val="clear" w:color="auto" w:fill="D9DCE1"/>
          </w:tcPr>
          <w:p>
            <w:pPr>
              <w:spacing w:after="0"/>
              <w:rPr>
                <w:sz w:val="17"/>
                <w:szCs w:val="17"/>
                <w:color w:val="auto"/>
              </w:rPr>
            </w:pPr>
          </w:p>
        </w:tc>
        <w:tc>
          <w:tcPr>
            <w:tcW w:w="940" w:type="dxa"/>
            <w:vAlign w:val="bottom"/>
            <w:shd w:val="clear" w:color="auto" w:fill="D9DCE1"/>
          </w:tcPr>
          <w:p>
            <w:pPr>
              <w:spacing w:after="0"/>
              <w:rPr>
                <w:sz w:val="17"/>
                <w:szCs w:val="17"/>
                <w:color w:val="auto"/>
              </w:rPr>
            </w:pPr>
          </w:p>
        </w:tc>
        <w:tc>
          <w:tcPr>
            <w:tcW w:w="200" w:type="dxa"/>
            <w:vAlign w:val="bottom"/>
            <w:shd w:val="clear" w:color="auto" w:fill="D9DCE1"/>
          </w:tcPr>
          <w:p>
            <w:pPr>
              <w:spacing w:after="0"/>
              <w:rPr>
                <w:sz w:val="17"/>
                <w:szCs w:val="17"/>
                <w:color w:val="auto"/>
              </w:rPr>
            </w:pPr>
          </w:p>
        </w:tc>
        <w:tc>
          <w:tcPr>
            <w:tcW w:w="920" w:type="dxa"/>
            <w:vAlign w:val="bottom"/>
            <w:shd w:val="clear" w:color="auto" w:fill="D9DCE1"/>
          </w:tcPr>
          <w:p>
            <w:pPr>
              <w:spacing w:after="0"/>
              <w:rPr>
                <w:sz w:val="17"/>
                <w:szCs w:val="17"/>
                <w:color w:val="auto"/>
              </w:rPr>
            </w:pPr>
          </w:p>
        </w:tc>
        <w:tc>
          <w:tcPr>
            <w:tcW w:w="1080" w:type="dxa"/>
            <w:vAlign w:val="bottom"/>
            <w:shd w:val="clear" w:color="auto" w:fill="D9DCE1"/>
          </w:tcPr>
          <w:p>
            <w:pPr>
              <w:spacing w:after="0"/>
              <w:rPr>
                <w:sz w:val="17"/>
                <w:szCs w:val="17"/>
                <w:color w:val="auto"/>
              </w:rPr>
            </w:pPr>
          </w:p>
        </w:tc>
        <w:tc>
          <w:tcPr>
            <w:tcW w:w="960" w:type="dxa"/>
            <w:vAlign w:val="bottom"/>
            <w:tcBorders>
              <w:right w:val="single" w:sz="8" w:color="434F69"/>
            </w:tcBorders>
            <w:shd w:val="clear" w:color="auto" w:fill="D9DCE1"/>
          </w:tcPr>
          <w:p>
            <w:pPr>
              <w:spacing w:after="0"/>
              <w:rPr>
                <w:sz w:val="17"/>
                <w:szCs w:val="17"/>
                <w:color w:val="auto"/>
              </w:rPr>
            </w:pPr>
          </w:p>
        </w:tc>
      </w:tr>
      <w:tr>
        <w:trPr>
          <w:trHeight w:val="189"/>
        </w:trPr>
        <w:tc>
          <w:tcPr>
            <w:tcW w:w="1940" w:type="dxa"/>
            <w:vAlign w:val="bottom"/>
            <w:tcBorders>
              <w:left w:val="single" w:sz="8" w:color="434F69"/>
            </w:tcBorders>
            <w:shd w:val="clear" w:color="auto" w:fill="D9DCE1"/>
          </w:tcPr>
          <w:p>
            <w:pPr>
              <w:ind w:left="380"/>
              <w:spacing w:after="0"/>
              <w:rPr>
                <w:sz w:val="20"/>
                <w:szCs w:val="20"/>
                <w:color w:val="auto"/>
              </w:rPr>
            </w:pPr>
            <w:r>
              <w:rPr>
                <w:rFonts w:ascii="Arial" w:cs="Arial" w:eastAsia="Arial" w:hAnsi="Arial"/>
                <w:sz w:val="16"/>
                <w:szCs w:val="16"/>
                <w:b w:val="1"/>
                <w:bCs w:val="1"/>
                <w:color w:val="auto"/>
              </w:rPr>
              <w:t>(includes 2018</w:t>
            </w:r>
          </w:p>
        </w:tc>
        <w:tc>
          <w:tcPr>
            <w:tcW w:w="980" w:type="dxa"/>
            <w:vAlign w:val="bottom"/>
            <w:shd w:val="clear" w:color="auto" w:fill="D9DCE1"/>
          </w:tcPr>
          <w:p>
            <w:pPr>
              <w:spacing w:after="0"/>
              <w:rPr>
                <w:sz w:val="16"/>
                <w:szCs w:val="16"/>
                <w:color w:val="auto"/>
              </w:rPr>
            </w:pPr>
          </w:p>
        </w:tc>
        <w:tc>
          <w:tcPr>
            <w:tcW w:w="240" w:type="dxa"/>
            <w:vAlign w:val="bottom"/>
            <w:shd w:val="clear" w:color="auto" w:fill="D9DCE1"/>
          </w:tcPr>
          <w:p>
            <w:pPr>
              <w:spacing w:after="0"/>
              <w:rPr>
                <w:sz w:val="16"/>
                <w:szCs w:val="16"/>
                <w:color w:val="auto"/>
              </w:rPr>
            </w:pPr>
          </w:p>
        </w:tc>
        <w:tc>
          <w:tcPr>
            <w:tcW w:w="960" w:type="dxa"/>
            <w:vAlign w:val="bottom"/>
            <w:shd w:val="clear" w:color="auto" w:fill="D9DCE1"/>
          </w:tcPr>
          <w:p>
            <w:pPr>
              <w:spacing w:after="0"/>
              <w:rPr>
                <w:sz w:val="16"/>
                <w:szCs w:val="16"/>
                <w:color w:val="auto"/>
              </w:rPr>
            </w:pPr>
          </w:p>
        </w:tc>
        <w:tc>
          <w:tcPr>
            <w:tcW w:w="940" w:type="dxa"/>
            <w:vAlign w:val="bottom"/>
            <w:shd w:val="clear" w:color="auto" w:fill="D9DCE1"/>
          </w:tcPr>
          <w:p>
            <w:pPr>
              <w:spacing w:after="0"/>
              <w:rPr>
                <w:sz w:val="16"/>
                <w:szCs w:val="16"/>
                <w:color w:val="auto"/>
              </w:rPr>
            </w:pPr>
          </w:p>
        </w:tc>
        <w:tc>
          <w:tcPr>
            <w:tcW w:w="200" w:type="dxa"/>
            <w:vAlign w:val="bottom"/>
            <w:shd w:val="clear" w:color="auto" w:fill="D9DCE1"/>
          </w:tcPr>
          <w:p>
            <w:pPr>
              <w:spacing w:after="0"/>
              <w:rPr>
                <w:sz w:val="16"/>
                <w:szCs w:val="16"/>
                <w:color w:val="auto"/>
              </w:rPr>
            </w:pPr>
          </w:p>
        </w:tc>
        <w:tc>
          <w:tcPr>
            <w:tcW w:w="920" w:type="dxa"/>
            <w:vAlign w:val="bottom"/>
            <w:shd w:val="clear" w:color="auto" w:fill="D9DCE1"/>
          </w:tcPr>
          <w:p>
            <w:pPr>
              <w:spacing w:after="0"/>
              <w:rPr>
                <w:sz w:val="16"/>
                <w:szCs w:val="16"/>
                <w:color w:val="auto"/>
              </w:rPr>
            </w:pPr>
          </w:p>
        </w:tc>
        <w:tc>
          <w:tcPr>
            <w:tcW w:w="1080" w:type="dxa"/>
            <w:vAlign w:val="bottom"/>
            <w:shd w:val="clear" w:color="auto" w:fill="D9DCE1"/>
          </w:tcPr>
          <w:p>
            <w:pPr>
              <w:spacing w:after="0"/>
              <w:rPr>
                <w:sz w:val="16"/>
                <w:szCs w:val="16"/>
                <w:color w:val="auto"/>
              </w:rPr>
            </w:pPr>
          </w:p>
        </w:tc>
        <w:tc>
          <w:tcPr>
            <w:tcW w:w="960" w:type="dxa"/>
            <w:vAlign w:val="bottom"/>
            <w:tcBorders>
              <w:right w:val="single" w:sz="8" w:color="434F69"/>
            </w:tcBorders>
            <w:shd w:val="clear" w:color="auto" w:fill="D9DCE1"/>
          </w:tcPr>
          <w:p>
            <w:pPr>
              <w:spacing w:after="0"/>
              <w:rPr>
                <w:sz w:val="16"/>
                <w:szCs w:val="16"/>
                <w:color w:val="auto"/>
              </w:rPr>
            </w:pPr>
          </w:p>
        </w:tc>
      </w:tr>
      <w:tr>
        <w:trPr>
          <w:trHeight w:val="228"/>
        </w:trPr>
        <w:tc>
          <w:tcPr>
            <w:tcW w:w="1940" w:type="dxa"/>
            <w:vAlign w:val="bottom"/>
            <w:tcBorders>
              <w:left w:val="single" w:sz="8" w:color="434F69"/>
              <w:bottom w:val="single" w:sz="8" w:color="434F69"/>
            </w:tcBorders>
            <w:shd w:val="clear" w:color="auto" w:fill="D9DCE1"/>
          </w:tcPr>
          <w:p>
            <w:pPr>
              <w:ind w:left="380"/>
              <w:spacing w:after="0"/>
              <w:rPr>
                <w:sz w:val="20"/>
                <w:szCs w:val="20"/>
                <w:color w:val="auto"/>
              </w:rPr>
            </w:pPr>
            <w:r>
              <w:rPr>
                <w:rFonts w:ascii="Arial" w:cs="Arial" w:eastAsia="Arial" w:hAnsi="Arial"/>
                <w:sz w:val="16"/>
                <w:szCs w:val="16"/>
                <w:b w:val="1"/>
                <w:bCs w:val="1"/>
                <w:color w:val="auto"/>
              </w:rPr>
              <w:t>promotion grant)</w:t>
            </w:r>
          </w:p>
        </w:tc>
        <w:tc>
          <w:tcPr>
            <w:tcW w:w="980" w:type="dxa"/>
            <w:vAlign w:val="bottom"/>
            <w:tcBorders>
              <w:bottom w:val="single" w:sz="8" w:color="434F69"/>
            </w:tcBorders>
            <w:shd w:val="clear" w:color="auto" w:fill="D9DCE1"/>
          </w:tcPr>
          <w:p>
            <w:pPr>
              <w:jc w:val="right"/>
              <w:ind w:right="22"/>
              <w:spacing w:after="0"/>
              <w:rPr>
                <w:sz w:val="20"/>
                <w:szCs w:val="20"/>
                <w:color w:val="auto"/>
              </w:rPr>
            </w:pPr>
            <w:r>
              <w:rPr>
                <w:rFonts w:ascii="Arial" w:cs="Arial" w:eastAsia="Arial" w:hAnsi="Arial"/>
                <w:sz w:val="16"/>
                <w:szCs w:val="16"/>
                <w:b w:val="1"/>
                <w:bCs w:val="1"/>
                <w:color w:val="auto"/>
              </w:rPr>
              <w:t>1,302,280</w:t>
            </w:r>
          </w:p>
        </w:tc>
        <w:tc>
          <w:tcPr>
            <w:tcW w:w="2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434F69"/>
            </w:tcBorders>
            <w:shd w:val="clear" w:color="auto" w:fill="D9DCE1"/>
          </w:tcPr>
          <w:p>
            <w:pPr>
              <w:jc w:val="right"/>
              <w:ind w:right="79"/>
              <w:spacing w:after="0"/>
              <w:rPr>
                <w:sz w:val="20"/>
                <w:szCs w:val="20"/>
                <w:color w:val="auto"/>
              </w:rPr>
            </w:pPr>
            <w:r>
              <w:rPr>
                <w:rFonts w:ascii="Arial" w:cs="Arial" w:eastAsia="Arial" w:hAnsi="Arial"/>
                <w:sz w:val="16"/>
                <w:szCs w:val="16"/>
                <w:b w:val="1"/>
                <w:bCs w:val="1"/>
                <w:color w:val="auto"/>
                <w:w w:val="97"/>
              </w:rPr>
              <w:t>21,843,000</w:t>
            </w:r>
          </w:p>
        </w:tc>
        <w:tc>
          <w:tcPr>
            <w:tcW w:w="940" w:type="dxa"/>
            <w:vAlign w:val="bottom"/>
            <w:tcBorders>
              <w:bottom w:val="single" w:sz="8" w:color="434F69"/>
            </w:tcBorders>
            <w:shd w:val="clear" w:color="auto" w:fill="D9DCE1"/>
          </w:tcPr>
          <w:p>
            <w:pPr>
              <w:jc w:val="right"/>
              <w:ind w:right="21"/>
              <w:spacing w:after="0"/>
              <w:rPr>
                <w:sz w:val="20"/>
                <w:szCs w:val="20"/>
                <w:color w:val="auto"/>
              </w:rPr>
            </w:pPr>
            <w:r>
              <w:rPr>
                <w:rFonts w:ascii="Arial" w:cs="Arial" w:eastAsia="Arial" w:hAnsi="Arial"/>
                <w:sz w:val="16"/>
                <w:szCs w:val="16"/>
                <w:b w:val="1"/>
                <w:bCs w:val="1"/>
                <w:color w:val="auto"/>
              </w:rPr>
              <w:t>1,302,280</w:t>
            </w:r>
          </w:p>
        </w:tc>
        <w:tc>
          <w:tcPr>
            <w:tcW w:w="2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434F69"/>
            </w:tcBorders>
            <w:shd w:val="clear" w:color="auto" w:fill="D9DCE1"/>
          </w:tcPr>
          <w:p>
            <w:pPr>
              <w:jc w:val="right"/>
              <w:ind w:right="23"/>
              <w:spacing w:after="0"/>
              <w:rPr>
                <w:sz w:val="20"/>
                <w:szCs w:val="20"/>
                <w:color w:val="auto"/>
              </w:rPr>
            </w:pPr>
            <w:r>
              <w:rPr>
                <w:rFonts w:ascii="Arial" w:cs="Arial" w:eastAsia="Arial" w:hAnsi="Arial"/>
                <w:sz w:val="16"/>
                <w:szCs w:val="16"/>
                <w:b w:val="1"/>
                <w:bCs w:val="1"/>
                <w:color w:val="auto"/>
                <w:w w:val="99"/>
              </w:rPr>
              <w:t>12,163,296</w:t>
            </w:r>
          </w:p>
        </w:tc>
        <w:tc>
          <w:tcPr>
            <w:tcW w:w="1080" w:type="dxa"/>
            <w:vAlign w:val="bottom"/>
            <w:tcBorders>
              <w:bottom w:val="single" w:sz="8" w:color="434F69"/>
            </w:tcBorders>
            <w:shd w:val="clear" w:color="auto" w:fill="D9DCE1"/>
          </w:tcPr>
          <w:p>
            <w:pPr>
              <w:jc w:val="right"/>
              <w:ind w:right="104"/>
              <w:spacing w:after="0"/>
              <w:rPr>
                <w:sz w:val="20"/>
                <w:szCs w:val="20"/>
                <w:color w:val="auto"/>
              </w:rPr>
            </w:pPr>
            <w:r>
              <w:rPr>
                <w:rFonts w:ascii="Arial" w:cs="Arial" w:eastAsia="Arial" w:hAnsi="Arial"/>
                <w:sz w:val="16"/>
                <w:szCs w:val="16"/>
                <w:b w:val="1"/>
                <w:bCs w:val="1"/>
                <w:color w:val="auto"/>
              </w:rPr>
              <w:t>55.7%</w:t>
            </w:r>
          </w:p>
        </w:tc>
        <w:tc>
          <w:tcPr>
            <w:tcW w:w="960" w:type="dxa"/>
            <w:vAlign w:val="bottom"/>
            <w:tcBorders>
              <w:bottom w:val="single" w:sz="8" w:color="434F69"/>
              <w:right w:val="single" w:sz="8" w:color="434F69"/>
            </w:tcBorders>
            <w:shd w:val="clear" w:color="auto" w:fill="D9DCE1"/>
          </w:tcPr>
          <w:p>
            <w:pPr>
              <w:jc w:val="right"/>
              <w:ind w:right="43"/>
              <w:spacing w:after="0"/>
              <w:rPr>
                <w:sz w:val="20"/>
                <w:szCs w:val="20"/>
                <w:color w:val="auto"/>
              </w:rPr>
            </w:pPr>
            <w:r>
              <w:rPr>
                <w:rFonts w:ascii="Arial" w:cs="Arial" w:eastAsia="Arial" w:hAnsi="Arial"/>
                <w:sz w:val="16"/>
                <w:szCs w:val="16"/>
                <w:b w:val="1"/>
                <w:bCs w:val="1"/>
                <w:color w:val="FC0014"/>
              </w:rPr>
              <w:t>-44.3%</w:t>
            </w:r>
          </w:p>
        </w:tc>
      </w:tr>
      <w:tr>
        <w:trPr>
          <w:trHeight w:val="198"/>
        </w:trPr>
        <w:tc>
          <w:tcPr>
            <w:tcW w:w="1940" w:type="dxa"/>
            <w:vAlign w:val="bottom"/>
            <w:tcBorders>
              <w:left w:val="single" w:sz="8" w:color="434F69"/>
            </w:tcBorders>
          </w:tcPr>
          <w:p>
            <w:pPr>
              <w:ind w:left="220"/>
              <w:spacing w:after="0"/>
              <w:rPr>
                <w:sz w:val="20"/>
                <w:szCs w:val="20"/>
                <w:color w:val="auto"/>
              </w:rPr>
            </w:pPr>
            <w:r>
              <w:rPr>
                <w:rFonts w:ascii="Arial" w:cs="Arial" w:eastAsia="Arial" w:hAnsi="Arial"/>
                <w:sz w:val="16"/>
                <w:szCs w:val="16"/>
                <w:b w:val="1"/>
                <w:bCs w:val="1"/>
                <w:color w:val="auto"/>
              </w:rPr>
              <w:t>Adjusted Total</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Borders>
              <w:right w:val="single" w:sz="8" w:color="434F69"/>
            </w:tcBorders>
          </w:tcPr>
          <w:p>
            <w:pPr>
              <w:spacing w:after="0"/>
              <w:rPr>
                <w:sz w:val="17"/>
                <w:szCs w:val="17"/>
                <w:color w:val="auto"/>
              </w:rPr>
            </w:pPr>
          </w:p>
        </w:tc>
      </w:tr>
      <w:tr>
        <w:trPr>
          <w:trHeight w:val="189"/>
        </w:trPr>
        <w:tc>
          <w:tcPr>
            <w:tcW w:w="1940" w:type="dxa"/>
            <w:vAlign w:val="bottom"/>
            <w:tcBorders>
              <w:left w:val="single" w:sz="8" w:color="434F69"/>
            </w:tcBorders>
          </w:tcPr>
          <w:p>
            <w:pPr>
              <w:ind w:left="380"/>
              <w:spacing w:after="0"/>
              <w:rPr>
                <w:sz w:val="20"/>
                <w:szCs w:val="20"/>
                <w:color w:val="auto"/>
              </w:rPr>
            </w:pPr>
            <w:r>
              <w:rPr>
                <w:rFonts w:ascii="Arial" w:cs="Arial" w:eastAsia="Arial" w:hAnsi="Arial"/>
                <w:sz w:val="16"/>
                <w:szCs w:val="16"/>
                <w:b w:val="1"/>
                <w:bCs w:val="1"/>
                <w:color w:val="auto"/>
              </w:rPr>
              <w:t>(attributes no value</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Borders>
              <w:right w:val="single" w:sz="8" w:color="434F69"/>
            </w:tcBorders>
          </w:tcPr>
          <w:p>
            <w:pPr>
              <w:spacing w:after="0"/>
              <w:rPr>
                <w:sz w:val="16"/>
                <w:szCs w:val="16"/>
                <w:color w:val="auto"/>
              </w:rPr>
            </w:pPr>
          </w:p>
        </w:tc>
      </w:tr>
      <w:tr>
        <w:trPr>
          <w:trHeight w:val="189"/>
        </w:trPr>
        <w:tc>
          <w:tcPr>
            <w:tcW w:w="1940" w:type="dxa"/>
            <w:vAlign w:val="bottom"/>
            <w:tcBorders>
              <w:left w:val="single" w:sz="8" w:color="434F69"/>
            </w:tcBorders>
          </w:tcPr>
          <w:p>
            <w:pPr>
              <w:ind w:left="380"/>
              <w:spacing w:after="0"/>
              <w:rPr>
                <w:sz w:val="20"/>
                <w:szCs w:val="20"/>
                <w:color w:val="auto"/>
              </w:rPr>
            </w:pPr>
            <w:r>
              <w:rPr>
                <w:rFonts w:ascii="Arial" w:cs="Arial" w:eastAsia="Arial" w:hAnsi="Arial"/>
                <w:sz w:val="16"/>
                <w:szCs w:val="16"/>
                <w:b w:val="1"/>
                <w:bCs w:val="1"/>
                <w:color w:val="auto"/>
              </w:rPr>
              <w:t>to 2018 promotion</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Borders>
              <w:right w:val="single" w:sz="8" w:color="434F69"/>
            </w:tcBorders>
          </w:tcPr>
          <w:p>
            <w:pPr>
              <w:spacing w:after="0"/>
              <w:rPr>
                <w:sz w:val="16"/>
                <w:szCs w:val="16"/>
                <w:color w:val="auto"/>
              </w:rPr>
            </w:pPr>
          </w:p>
        </w:tc>
      </w:tr>
      <w:tr>
        <w:trPr>
          <w:trHeight w:val="228"/>
        </w:trPr>
        <w:tc>
          <w:tcPr>
            <w:tcW w:w="1940" w:type="dxa"/>
            <w:vAlign w:val="bottom"/>
            <w:tcBorders>
              <w:left w:val="single" w:sz="8" w:color="434F69"/>
              <w:bottom w:val="single" w:sz="8" w:color="434F69"/>
            </w:tcBorders>
          </w:tcPr>
          <w:p>
            <w:pPr>
              <w:ind w:left="380"/>
              <w:spacing w:after="0"/>
              <w:rPr>
                <w:sz w:val="20"/>
                <w:szCs w:val="20"/>
                <w:color w:val="auto"/>
              </w:rPr>
            </w:pPr>
            <w:r>
              <w:rPr>
                <w:rFonts w:ascii="Arial" w:cs="Arial" w:eastAsia="Arial" w:hAnsi="Arial"/>
                <w:sz w:val="16"/>
                <w:szCs w:val="16"/>
                <w:b w:val="1"/>
                <w:bCs w:val="1"/>
                <w:color w:val="auto"/>
              </w:rPr>
              <w:t>grant)</w:t>
            </w:r>
          </w:p>
        </w:tc>
        <w:tc>
          <w:tcPr>
            <w:tcW w:w="980" w:type="dxa"/>
            <w:vAlign w:val="bottom"/>
            <w:tcBorders>
              <w:bottom w:val="single" w:sz="8" w:color="434F69"/>
            </w:tcBorders>
          </w:tcPr>
          <w:p>
            <w:pPr>
              <w:spacing w:after="0"/>
              <w:rPr>
                <w:sz w:val="19"/>
                <w:szCs w:val="19"/>
                <w:color w:val="auto"/>
              </w:rPr>
            </w:pPr>
          </w:p>
        </w:tc>
        <w:tc>
          <w:tcPr>
            <w:tcW w:w="240" w:type="dxa"/>
            <w:vAlign w:val="bottom"/>
            <w:tcBorders>
              <w:bottom w:val="single" w:sz="8" w:color="434F69"/>
            </w:tcBorders>
          </w:tcPr>
          <w:p>
            <w:pPr>
              <w:spacing w:after="0"/>
              <w:rPr>
                <w:sz w:val="19"/>
                <w:szCs w:val="19"/>
                <w:color w:val="auto"/>
              </w:rPr>
            </w:pPr>
          </w:p>
        </w:tc>
        <w:tc>
          <w:tcPr>
            <w:tcW w:w="960" w:type="dxa"/>
            <w:vAlign w:val="bottom"/>
            <w:tcBorders>
              <w:bottom w:val="single" w:sz="8" w:color="434F69"/>
            </w:tcBorders>
          </w:tcPr>
          <w:p>
            <w:pPr>
              <w:spacing w:after="0"/>
              <w:rPr>
                <w:sz w:val="19"/>
                <w:szCs w:val="19"/>
                <w:color w:val="auto"/>
              </w:rPr>
            </w:pPr>
          </w:p>
        </w:tc>
        <w:tc>
          <w:tcPr>
            <w:tcW w:w="940" w:type="dxa"/>
            <w:vAlign w:val="bottom"/>
            <w:tcBorders>
              <w:bottom w:val="single" w:sz="8" w:color="434F69"/>
            </w:tcBorders>
          </w:tcPr>
          <w:p>
            <w:pPr>
              <w:spacing w:after="0"/>
              <w:rPr>
                <w:sz w:val="19"/>
                <w:szCs w:val="19"/>
                <w:color w:val="auto"/>
              </w:rPr>
            </w:pPr>
          </w:p>
        </w:tc>
        <w:tc>
          <w:tcPr>
            <w:tcW w:w="200" w:type="dxa"/>
            <w:vAlign w:val="bottom"/>
            <w:tcBorders>
              <w:bottom w:val="single" w:sz="8" w:color="434F69"/>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434F69"/>
            </w:tcBorders>
          </w:tcPr>
          <w:p>
            <w:pPr>
              <w:jc w:val="right"/>
              <w:ind w:right="23"/>
              <w:spacing w:after="0"/>
              <w:rPr>
                <w:sz w:val="20"/>
                <w:szCs w:val="20"/>
                <w:color w:val="auto"/>
              </w:rPr>
            </w:pPr>
            <w:r>
              <w:rPr>
                <w:rFonts w:ascii="Arial" w:cs="Arial" w:eastAsia="Arial" w:hAnsi="Arial"/>
                <w:sz w:val="16"/>
                <w:szCs w:val="16"/>
                <w:b w:val="1"/>
                <w:bCs w:val="1"/>
                <w:color w:val="auto"/>
              </w:rPr>
              <w:t>7,493,296</w:t>
            </w:r>
          </w:p>
        </w:tc>
        <w:tc>
          <w:tcPr>
            <w:tcW w:w="1080" w:type="dxa"/>
            <w:vAlign w:val="bottom"/>
            <w:tcBorders>
              <w:bottom w:val="single" w:sz="8" w:color="434F69"/>
            </w:tcBorders>
          </w:tcPr>
          <w:p>
            <w:pPr>
              <w:jc w:val="right"/>
              <w:ind w:right="104"/>
              <w:spacing w:after="0"/>
              <w:rPr>
                <w:sz w:val="20"/>
                <w:szCs w:val="20"/>
                <w:color w:val="auto"/>
              </w:rPr>
            </w:pPr>
            <w:r>
              <w:rPr>
                <w:rFonts w:ascii="Arial" w:cs="Arial" w:eastAsia="Arial" w:hAnsi="Arial"/>
                <w:sz w:val="16"/>
                <w:szCs w:val="16"/>
                <w:b w:val="1"/>
                <w:bCs w:val="1"/>
                <w:color w:val="auto"/>
              </w:rPr>
              <w:t>34.3%</w:t>
            </w:r>
          </w:p>
        </w:tc>
        <w:tc>
          <w:tcPr>
            <w:tcW w:w="960" w:type="dxa"/>
            <w:vAlign w:val="bottom"/>
            <w:tcBorders>
              <w:bottom w:val="single" w:sz="8" w:color="434F69"/>
              <w:right w:val="single" w:sz="8" w:color="434F69"/>
            </w:tcBorders>
          </w:tcPr>
          <w:p>
            <w:pPr>
              <w:jc w:val="right"/>
              <w:ind w:right="43"/>
              <w:spacing w:after="0"/>
              <w:rPr>
                <w:sz w:val="20"/>
                <w:szCs w:val="20"/>
                <w:color w:val="auto"/>
              </w:rPr>
            </w:pPr>
            <w:r>
              <w:rPr>
                <w:rFonts w:ascii="Arial" w:cs="Arial" w:eastAsia="Arial" w:hAnsi="Arial"/>
                <w:sz w:val="16"/>
                <w:szCs w:val="16"/>
                <w:b w:val="1"/>
                <w:bCs w:val="1"/>
                <w:color w:val="FC0014"/>
              </w:rPr>
              <w:t>-65.7%</w:t>
            </w:r>
          </w:p>
        </w:tc>
      </w:tr>
      <w:tr>
        <w:trPr>
          <w:trHeight w:val="311"/>
        </w:trPr>
        <w:tc>
          <w:tcPr>
            <w:tcW w:w="194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83" w:lineRule="exact"/>
        <w:rPr>
          <w:sz w:val="20"/>
          <w:szCs w:val="20"/>
          <w:color w:val="auto"/>
        </w:rPr>
      </w:pPr>
    </w:p>
    <w:p>
      <w:pPr>
        <w:ind w:left="1620" w:right="1299" w:hanging="360"/>
        <w:spacing w:after="0" w:line="261"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Values in table exclude value of distributions received or payments made with respect to distribution equivalent rights (“DERs”).</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620" w:right="659" w:hanging="360"/>
        <w:spacing w:after="0" w:line="214"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Grant Date Market Value calculated by multiplying the closing price of PAA common units on the applicable grant date by number of units granted with no discount for performance thresholds or service requirements.</w:t>
      </w:r>
    </w:p>
    <w:p>
      <w:pPr>
        <w:spacing w:after="0" w:line="69" w:lineRule="exact"/>
        <w:rPr>
          <w:rFonts w:ascii="Arial" w:cs="Arial" w:eastAsia="Arial" w:hAnsi="Arial"/>
          <w:sz w:val="27"/>
          <w:szCs w:val="27"/>
          <w:color w:val="auto"/>
          <w:vertAlign w:val="superscript"/>
        </w:rPr>
      </w:pPr>
    </w:p>
    <w:p>
      <w:pPr>
        <w:ind w:left="1620" w:right="719" w:hanging="360"/>
        <w:spacing w:after="0" w:line="200"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Equals realizable market value of outstanding unvested units based on the closing market price ($9.34) of PAA common units on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112395</wp:posOffset>
            </wp:positionV>
            <wp:extent cx="5151755" cy="3625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51755"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Elements and Objectives</w:t>
      </w:r>
    </w:p>
    <w:p>
      <w:pPr>
        <w:spacing w:after="0" w:line="180"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We use three primary elements of compensation to achieve our executive compensation program objectives — salary, annual cash incentive awards and long-term equity incentive awards. Our mix of compensation elements is designed to reinforce near-term and long-term business and strategic objectives, recognize and reward performance, motivate long-term value creation and align the interests of our executives with those of our equity holders. The following table sets forth the key elements of our 2021 executive compensation program, which are relatively unchanged compared to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70" w:type="dxa"/>
        <w:tblCellMar>
          <w:top w:w="0" w:type="dxa"/>
          <w:left w:w="0" w:type="dxa"/>
          <w:bottom w:w="0" w:type="dxa"/>
          <w:right w:w="0" w:type="dxa"/>
        </w:tblCellMar>
      </w:tblPr>
      <w:tr>
        <w:trPr>
          <w:trHeight w:val="237"/>
        </w:trPr>
        <w:tc>
          <w:tcPr>
            <w:tcW w:w="1920" w:type="dxa"/>
            <w:vAlign w:val="bottom"/>
            <w:tcBorders>
              <w:top w:val="single" w:sz="8" w:color="auto"/>
              <w:left w:val="single" w:sz="8" w:color="auto"/>
              <w:bottom w:val="single" w:sz="8" w:color="auto"/>
              <w:right w:val="single" w:sz="8" w:color="auto"/>
            </w:tcBorders>
            <w:shd w:val="clear" w:color="auto" w:fill="434F69"/>
          </w:tcPr>
          <w:p>
            <w:pPr>
              <w:ind w:left="500"/>
              <w:spacing w:after="0"/>
              <w:rPr>
                <w:sz w:val="20"/>
                <w:szCs w:val="20"/>
                <w:color w:val="auto"/>
              </w:rPr>
            </w:pPr>
            <w:r>
              <w:rPr>
                <w:rFonts w:ascii="Arial" w:cs="Arial" w:eastAsia="Arial" w:hAnsi="Arial"/>
                <w:sz w:val="14"/>
                <w:szCs w:val="14"/>
                <w:b w:val="1"/>
                <w:bCs w:val="1"/>
                <w:color w:val="FFFFFF"/>
              </w:rPr>
              <w:t>What We Pay</w:t>
            </w:r>
          </w:p>
        </w:tc>
        <w:tc>
          <w:tcPr>
            <w:tcW w:w="2360" w:type="dxa"/>
            <w:vAlign w:val="bottom"/>
            <w:tcBorders>
              <w:top w:val="single" w:sz="8" w:color="auto"/>
              <w:bottom w:val="single" w:sz="8" w:color="auto"/>
              <w:right w:val="single" w:sz="8" w:color="auto"/>
            </w:tcBorders>
            <w:shd w:val="clear" w:color="auto" w:fill="434F69"/>
          </w:tcPr>
          <w:p>
            <w:pPr>
              <w:ind w:left="680"/>
              <w:spacing w:after="0"/>
              <w:rPr>
                <w:sz w:val="20"/>
                <w:szCs w:val="20"/>
                <w:color w:val="auto"/>
              </w:rPr>
            </w:pPr>
            <w:r>
              <w:rPr>
                <w:rFonts w:ascii="Arial" w:cs="Arial" w:eastAsia="Arial" w:hAnsi="Arial"/>
                <w:sz w:val="14"/>
                <w:szCs w:val="14"/>
                <w:b w:val="1"/>
                <w:bCs w:val="1"/>
                <w:color w:val="FFFFFF"/>
              </w:rPr>
              <w:t>Why We Pay It</w:t>
            </w:r>
          </w:p>
        </w:tc>
        <w:tc>
          <w:tcPr>
            <w:tcW w:w="220" w:type="dxa"/>
            <w:vAlign w:val="bottom"/>
            <w:tcBorders>
              <w:top w:val="single" w:sz="8" w:color="auto"/>
              <w:bottom w:val="single" w:sz="8" w:color="auto"/>
            </w:tcBorders>
            <w:shd w:val="clear" w:color="auto" w:fill="434F69"/>
          </w:tcPr>
          <w:p>
            <w:pPr>
              <w:spacing w:after="0"/>
              <w:rPr>
                <w:sz w:val="20"/>
                <w:szCs w:val="20"/>
                <w:color w:val="auto"/>
              </w:rPr>
            </w:pPr>
          </w:p>
        </w:tc>
        <w:tc>
          <w:tcPr>
            <w:tcW w:w="3720" w:type="dxa"/>
            <w:vAlign w:val="bottom"/>
            <w:tcBorders>
              <w:top w:val="single" w:sz="8" w:color="auto"/>
              <w:bottom w:val="single" w:sz="8" w:color="auto"/>
              <w:right w:val="single" w:sz="8" w:color="auto"/>
            </w:tcBorders>
            <w:shd w:val="clear" w:color="auto" w:fill="434F69"/>
          </w:tcPr>
          <w:p>
            <w:pPr>
              <w:ind w:left="1300"/>
              <w:spacing w:after="0"/>
              <w:rPr>
                <w:sz w:val="20"/>
                <w:szCs w:val="20"/>
                <w:color w:val="auto"/>
              </w:rPr>
            </w:pPr>
            <w:r>
              <w:rPr>
                <w:rFonts w:ascii="Arial" w:cs="Arial" w:eastAsia="Arial" w:hAnsi="Arial"/>
                <w:sz w:val="14"/>
                <w:szCs w:val="14"/>
                <w:b w:val="1"/>
                <w:bCs w:val="1"/>
                <w:color w:val="FFFFFF"/>
              </w:rPr>
              <w:t>Key Features</w:t>
            </w:r>
          </w:p>
        </w:tc>
        <w:tc>
          <w:tcPr>
            <w:tcW w:w="0" w:type="dxa"/>
            <w:vAlign w:val="bottom"/>
          </w:tcPr>
          <w:p>
            <w:pPr>
              <w:spacing w:after="0"/>
              <w:rPr>
                <w:sz w:val="1"/>
                <w:szCs w:val="1"/>
                <w:color w:val="auto"/>
              </w:rPr>
            </w:pPr>
          </w:p>
        </w:tc>
      </w:tr>
      <w:tr>
        <w:trPr>
          <w:trHeight w:val="269"/>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Base Salary</w:t>
            </w: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Attract and retain high-</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Foundational element of our compensation</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performing executives by</w:t>
            </w: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program; short-term and long-term incentive</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providing a secure and</w:t>
            </w: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compensation components are based on</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appropriate level of base</w:t>
            </w: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 percentage of base salary</w:t>
            </w:r>
          </w:p>
        </w:tc>
        <w:tc>
          <w:tcPr>
            <w:tcW w:w="0" w:type="dxa"/>
            <w:vAlign w:val="bottom"/>
          </w:tcPr>
          <w:p>
            <w:pPr>
              <w:spacing w:after="0"/>
              <w:rPr>
                <w:sz w:val="1"/>
                <w:szCs w:val="1"/>
                <w:color w:val="auto"/>
              </w:rPr>
            </w:pPr>
          </w:p>
        </w:tc>
      </w:tr>
      <w:tr>
        <w:trPr>
          <w:trHeight w:val="217"/>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pay</w:t>
            </w:r>
          </w:p>
        </w:tc>
        <w:tc>
          <w:tcPr>
            <w:tcW w:w="39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 Subject to adjustment periodically; smallest</w:t>
            </w:r>
          </w:p>
        </w:tc>
        <w:tc>
          <w:tcPr>
            <w:tcW w:w="0" w:type="dxa"/>
            <w:vAlign w:val="bottom"/>
          </w:tcPr>
          <w:p>
            <w:pPr>
              <w:spacing w:after="0"/>
              <w:rPr>
                <w:sz w:val="1"/>
                <w:szCs w:val="1"/>
                <w:color w:val="auto"/>
              </w:rPr>
            </w:pPr>
          </w:p>
        </w:tc>
      </w:tr>
      <w:tr>
        <w:trPr>
          <w:trHeight w:val="80"/>
        </w:trPr>
        <w:tc>
          <w:tcPr>
            <w:tcW w:w="1920" w:type="dxa"/>
            <w:vAlign w:val="bottom"/>
            <w:tcBorders>
              <w:left w:val="single" w:sz="8" w:color="auto"/>
              <w:right w:val="single" w:sz="8" w:color="auto"/>
            </w:tcBorders>
          </w:tcPr>
          <w:p>
            <w:pPr>
              <w:spacing w:after="0"/>
              <w:rPr>
                <w:sz w:val="6"/>
                <w:szCs w:val="6"/>
                <w:color w:val="auto"/>
              </w:rPr>
            </w:pPr>
          </w:p>
        </w:tc>
        <w:tc>
          <w:tcPr>
            <w:tcW w:w="2360" w:type="dxa"/>
            <w:vAlign w:val="bottom"/>
            <w:tcBorders>
              <w:right w:val="single" w:sz="8" w:color="auto"/>
            </w:tcBorders>
          </w:tcPr>
          <w:p>
            <w:pPr>
              <w:spacing w:after="0"/>
              <w:rPr>
                <w:sz w:val="6"/>
                <w:szCs w:val="6"/>
                <w:color w:val="auto"/>
              </w:rPr>
            </w:pPr>
          </w:p>
        </w:tc>
        <w:tc>
          <w:tcPr>
            <w:tcW w:w="39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component of NEO compensation</w:t>
            </w:r>
          </w:p>
        </w:tc>
        <w:tc>
          <w:tcPr>
            <w:tcW w:w="0" w:type="dxa"/>
            <w:vAlign w:val="bottom"/>
          </w:tcPr>
          <w:p>
            <w:pPr>
              <w:spacing w:after="0"/>
              <w:rPr>
                <w:sz w:val="1"/>
                <w:szCs w:val="1"/>
                <w:color w:val="auto"/>
              </w:rPr>
            </w:pPr>
          </w:p>
        </w:tc>
      </w:tr>
      <w:tr>
        <w:trPr>
          <w:trHeight w:val="40"/>
        </w:trPr>
        <w:tc>
          <w:tcPr>
            <w:tcW w:w="1920" w:type="dxa"/>
            <w:vAlign w:val="bottom"/>
            <w:tcBorders>
              <w:left w:val="single" w:sz="8" w:color="auto"/>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Annual Cash</w:t>
            </w: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Motivate and reward near-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performance based</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Incentive Awards</w:t>
            </w: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term performance and</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Encourages achievement of objective and</w:t>
            </w:r>
          </w:p>
        </w:tc>
        <w:tc>
          <w:tcPr>
            <w:tcW w:w="0" w:type="dxa"/>
            <w:vAlign w:val="bottom"/>
          </w:tcPr>
          <w:p>
            <w:pPr>
              <w:spacing w:after="0"/>
              <w:rPr>
                <w:sz w:val="1"/>
                <w:szCs w:val="1"/>
                <w:color w:val="auto"/>
              </w:rPr>
            </w:pPr>
          </w:p>
        </w:tc>
      </w:tr>
      <w:tr>
        <w:trPr>
          <w:trHeight w:val="256"/>
        </w:trPr>
        <w:tc>
          <w:tcPr>
            <w:tcW w:w="1920" w:type="dxa"/>
            <w:vAlign w:val="bottom"/>
            <w:tcBorders>
              <w:left w:val="single" w:sz="8" w:color="auto"/>
              <w:right w:val="single" w:sz="8" w:color="auto"/>
            </w:tcBorders>
          </w:tcPr>
          <w:p>
            <w:pPr>
              <w:spacing w:after="0"/>
              <w:rPr>
                <w:sz w:val="22"/>
                <w:szCs w:val="22"/>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retention</w:t>
            </w:r>
          </w:p>
        </w:tc>
        <w:tc>
          <w:tcPr>
            <w:tcW w:w="220" w:type="dxa"/>
            <w:vAlign w:val="bottom"/>
          </w:tcPr>
          <w:p>
            <w:pPr>
              <w:spacing w:after="0"/>
              <w:rPr>
                <w:sz w:val="22"/>
                <w:szCs w:val="22"/>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transparent annual business, ESG and</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individual goals established at beginning of</w:t>
            </w:r>
          </w:p>
        </w:tc>
        <w:tc>
          <w:tcPr>
            <w:tcW w:w="0" w:type="dxa"/>
            <w:vAlign w:val="bottom"/>
          </w:tcPr>
          <w:p>
            <w:pPr>
              <w:spacing w:after="0"/>
              <w:rPr>
                <w:sz w:val="1"/>
                <w:szCs w:val="1"/>
                <w:color w:val="auto"/>
              </w:rPr>
            </w:pPr>
          </w:p>
        </w:tc>
      </w:tr>
      <w:tr>
        <w:trPr>
          <w:trHeight w:val="217"/>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97"/>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Payout based on formulaic framework</w:t>
            </w:r>
          </w:p>
        </w:tc>
        <w:tc>
          <w:tcPr>
            <w:tcW w:w="0" w:type="dxa"/>
            <w:vAlign w:val="bottom"/>
          </w:tcPr>
          <w:p>
            <w:pPr>
              <w:spacing w:after="0"/>
              <w:rPr>
                <w:sz w:val="1"/>
                <w:szCs w:val="1"/>
                <w:color w:val="auto"/>
              </w:rPr>
            </w:pPr>
          </w:p>
        </w:tc>
      </w:tr>
      <w:tr>
        <w:trPr>
          <w:trHeight w:val="263"/>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Long-Term Equity</w:t>
            </w: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Motivate and reward long-</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Long-term equity incentives are 50%</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Incentive Awards</w:t>
            </w: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term performance and</w:t>
            </w: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performance based and 50% time based</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retention and create</w:t>
            </w: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Performance-based awards earned based</w:t>
            </w:r>
          </w:p>
        </w:tc>
        <w:tc>
          <w:tcPr>
            <w:tcW w:w="0" w:type="dxa"/>
            <w:vAlign w:val="bottom"/>
          </w:tcPr>
          <w:p>
            <w:pPr>
              <w:spacing w:after="0"/>
              <w:rPr>
                <w:sz w:val="1"/>
                <w:szCs w:val="1"/>
                <w:color w:val="auto"/>
              </w:rPr>
            </w:pPr>
          </w:p>
        </w:tc>
      </w:tr>
      <w:tr>
        <w:trPr>
          <w:trHeight w:val="81"/>
        </w:trPr>
        <w:tc>
          <w:tcPr>
            <w:tcW w:w="1920" w:type="dxa"/>
            <w:vAlign w:val="bottom"/>
            <w:tcBorders>
              <w:left w:val="single" w:sz="8" w:color="auto"/>
              <w:right w:val="single" w:sz="8" w:color="auto"/>
            </w:tcBorders>
          </w:tcPr>
          <w:p>
            <w:pPr>
              <w:spacing w:after="0"/>
              <w:rPr>
                <w:sz w:val="7"/>
                <w:szCs w:val="7"/>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additional alignment with</w:t>
            </w:r>
          </w:p>
        </w:tc>
        <w:tc>
          <w:tcPr>
            <w:tcW w:w="220" w:type="dxa"/>
            <w:vAlign w:val="bottom"/>
            <w:vMerge w:val="continue"/>
          </w:tcPr>
          <w:p>
            <w:pPr>
              <w:spacing w:after="0"/>
              <w:rPr>
                <w:sz w:val="7"/>
                <w:szCs w:val="7"/>
                <w:color w:val="auto"/>
              </w:rPr>
            </w:pPr>
          </w:p>
        </w:tc>
        <w:tc>
          <w:tcPr>
            <w:tcW w:w="3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920" w:type="dxa"/>
            <w:vAlign w:val="bottom"/>
            <w:tcBorders>
              <w:left w:val="single" w:sz="8" w:color="auto"/>
              <w:right w:val="single" w:sz="8" w:color="auto"/>
            </w:tcBorders>
          </w:tcPr>
          <w:p>
            <w:pPr>
              <w:spacing w:after="0"/>
              <w:rPr>
                <w:sz w:val="11"/>
                <w:szCs w:val="11"/>
                <w:color w:val="auto"/>
              </w:rPr>
            </w:pPr>
          </w:p>
        </w:tc>
        <w:tc>
          <w:tcPr>
            <w:tcW w:w="2360" w:type="dxa"/>
            <w:vAlign w:val="bottom"/>
            <w:tcBorders>
              <w:right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3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upon performance over cumulative three-</w:t>
            </w:r>
          </w:p>
        </w:tc>
        <w:tc>
          <w:tcPr>
            <w:tcW w:w="0" w:type="dxa"/>
            <w:vAlign w:val="bottom"/>
          </w:tcPr>
          <w:p>
            <w:pPr>
              <w:spacing w:after="0"/>
              <w:rPr>
                <w:sz w:val="1"/>
                <w:szCs w:val="1"/>
                <w:color w:val="auto"/>
              </w:rPr>
            </w:pPr>
          </w:p>
        </w:tc>
      </w:tr>
      <w:tr>
        <w:trPr>
          <w:trHeight w:val="81"/>
        </w:trPr>
        <w:tc>
          <w:tcPr>
            <w:tcW w:w="1920" w:type="dxa"/>
            <w:vAlign w:val="bottom"/>
            <w:tcBorders>
              <w:left w:val="single" w:sz="8" w:color="auto"/>
              <w:right w:val="single" w:sz="8" w:color="auto"/>
            </w:tcBorders>
          </w:tcPr>
          <w:p>
            <w:pPr>
              <w:spacing w:after="0"/>
              <w:rPr>
                <w:sz w:val="7"/>
                <w:szCs w:val="7"/>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investors</w:t>
            </w:r>
          </w:p>
        </w:tc>
        <w:tc>
          <w:tcPr>
            <w:tcW w:w="220" w:type="dxa"/>
            <w:vAlign w:val="bottom"/>
          </w:tcPr>
          <w:p>
            <w:pPr>
              <w:spacing w:after="0"/>
              <w:rPr>
                <w:sz w:val="7"/>
                <w:szCs w:val="7"/>
                <w:color w:val="auto"/>
              </w:rPr>
            </w:pPr>
          </w:p>
        </w:tc>
        <w:tc>
          <w:tcPr>
            <w:tcW w:w="3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920" w:type="dxa"/>
            <w:vAlign w:val="bottom"/>
            <w:tcBorders>
              <w:left w:val="single" w:sz="8" w:color="auto"/>
              <w:right w:val="single" w:sz="8" w:color="auto"/>
            </w:tcBorders>
          </w:tcPr>
          <w:p>
            <w:pPr>
              <w:spacing w:after="0"/>
              <w:rPr>
                <w:sz w:val="11"/>
                <w:szCs w:val="11"/>
                <w:color w:val="auto"/>
              </w:rPr>
            </w:pPr>
          </w:p>
        </w:tc>
        <w:tc>
          <w:tcPr>
            <w:tcW w:w="2360" w:type="dxa"/>
            <w:vAlign w:val="bottom"/>
            <w:tcBorders>
              <w:right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3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year period</w:t>
            </w:r>
          </w:p>
        </w:tc>
        <w:tc>
          <w:tcPr>
            <w:tcW w:w="0" w:type="dxa"/>
            <w:vAlign w:val="bottom"/>
          </w:tcPr>
          <w:p>
            <w:pPr>
              <w:spacing w:after="0"/>
              <w:rPr>
                <w:sz w:val="1"/>
                <w:szCs w:val="1"/>
                <w:color w:val="auto"/>
              </w:rPr>
            </w:pPr>
          </w:p>
        </w:tc>
      </w:tr>
      <w:tr>
        <w:trPr>
          <w:trHeight w:val="81"/>
        </w:trPr>
        <w:tc>
          <w:tcPr>
            <w:tcW w:w="1920" w:type="dxa"/>
            <w:vAlign w:val="bottom"/>
            <w:tcBorders>
              <w:left w:val="single" w:sz="8" w:color="auto"/>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192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Performance metrics include relative TSR</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negative TSR modifier, and DCF/CUE</w:t>
            </w:r>
          </w:p>
        </w:tc>
        <w:tc>
          <w:tcPr>
            <w:tcW w:w="0" w:type="dxa"/>
            <w:vAlign w:val="bottom"/>
          </w:tcPr>
          <w:p>
            <w:pPr>
              <w:spacing w:after="0"/>
              <w:rPr>
                <w:sz w:val="1"/>
                <w:szCs w:val="1"/>
                <w:color w:val="auto"/>
              </w:rPr>
            </w:pPr>
          </w:p>
        </w:tc>
      </w:tr>
      <w:tr>
        <w:trPr>
          <w:trHeight w:val="217"/>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leverage modifier</w:t>
            </w:r>
          </w:p>
        </w:tc>
        <w:tc>
          <w:tcPr>
            <w:tcW w:w="0" w:type="dxa"/>
            <w:vAlign w:val="bottom"/>
          </w:tcPr>
          <w:p>
            <w:pPr>
              <w:spacing w:after="0"/>
              <w:rPr>
                <w:sz w:val="1"/>
                <w:szCs w:val="1"/>
                <w:color w:val="auto"/>
              </w:rPr>
            </w:pPr>
          </w:p>
        </w:tc>
      </w:tr>
      <w:tr>
        <w:trPr>
          <w:trHeight w:val="310"/>
        </w:trPr>
        <w:tc>
          <w:tcPr>
            <w:tcW w:w="192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DERs associated with long-term equity</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awards provide additional potential</w:t>
            </w:r>
          </w:p>
        </w:tc>
        <w:tc>
          <w:tcPr>
            <w:tcW w:w="0" w:type="dxa"/>
            <w:vAlign w:val="bottom"/>
          </w:tcPr>
          <w:p>
            <w:pPr>
              <w:spacing w:after="0"/>
              <w:rPr>
                <w:sz w:val="1"/>
                <w:szCs w:val="1"/>
                <w:color w:val="auto"/>
              </w:rPr>
            </w:pPr>
          </w:p>
        </w:tc>
      </w:tr>
      <w:tr>
        <w:trPr>
          <w:trHeight w:val="217"/>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motivation and alignment</w:t>
            </w:r>
          </w:p>
        </w:tc>
        <w:tc>
          <w:tcPr>
            <w:tcW w:w="0" w:type="dxa"/>
            <w:vAlign w:val="bottom"/>
          </w:tcPr>
          <w:p>
            <w:pPr>
              <w:spacing w:after="0"/>
              <w:rPr>
                <w:sz w:val="1"/>
                <w:szCs w:val="1"/>
                <w:color w:val="auto"/>
              </w:rPr>
            </w:pPr>
          </w:p>
        </w:tc>
      </w:tr>
      <w:tr>
        <w:trPr>
          <w:trHeight w:val="27"/>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Employee Benefits</w:t>
            </w: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Attract and retain talent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Customary health and welfare benefits for all</w:t>
            </w:r>
          </w:p>
        </w:tc>
        <w:tc>
          <w:tcPr>
            <w:tcW w:w="0" w:type="dxa"/>
            <w:vAlign w:val="bottom"/>
          </w:tcPr>
          <w:p>
            <w:pPr>
              <w:spacing w:after="0"/>
              <w:rPr>
                <w:sz w:val="1"/>
                <w:szCs w:val="1"/>
                <w:color w:val="auto"/>
              </w:rPr>
            </w:pPr>
          </w:p>
        </w:tc>
      </w:tr>
      <w:tr>
        <w:trPr>
          <w:trHeight w:val="217"/>
        </w:trPr>
        <w:tc>
          <w:tcPr>
            <w:tcW w:w="192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 employees, including 401(k) Plan</w:t>
            </w:r>
          </w:p>
        </w:tc>
        <w:tc>
          <w:tcPr>
            <w:tcW w:w="0" w:type="dxa"/>
            <w:vAlign w:val="bottom"/>
          </w:tcPr>
          <w:p>
            <w:pPr>
              <w:spacing w:after="0"/>
              <w:rPr>
                <w:sz w:val="1"/>
                <w:szCs w:val="1"/>
                <w:color w:val="auto"/>
              </w:rPr>
            </w:pPr>
          </w:p>
        </w:tc>
      </w:tr>
      <w:tr>
        <w:trPr>
          <w:trHeight w:val="283"/>
        </w:trPr>
        <w:tc>
          <w:tcPr>
            <w:tcW w:w="192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No defined benefit or pension plans</w:t>
            </w:r>
          </w:p>
        </w:tc>
        <w:tc>
          <w:tcPr>
            <w:tcW w:w="0" w:type="dxa"/>
            <w:vAlign w:val="bottom"/>
          </w:tcPr>
          <w:p>
            <w:pPr>
              <w:spacing w:after="0"/>
              <w:rPr>
                <w:sz w:val="1"/>
                <w:szCs w:val="1"/>
                <w:color w:val="auto"/>
              </w:rPr>
            </w:pPr>
          </w:p>
        </w:tc>
      </w:tr>
      <w:tr>
        <w:trPr>
          <w:trHeight w:val="270"/>
        </w:trPr>
        <w:tc>
          <w:tcPr>
            <w:tcW w:w="1920" w:type="dxa"/>
            <w:vAlign w:val="bottom"/>
            <w:tcBorders>
              <w:left w:val="single" w:sz="8" w:color="auto"/>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 significant perquisites</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2021 Independent Benchmark Study of Executive Compensation</w:t>
      </w:r>
    </w:p>
    <w:p>
      <w:pPr>
        <w:spacing w:after="0" w:line="180"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color w:val="auto"/>
        </w:rPr>
        <w:t>During 2021, our compensation committee engaged Meridian Compensation Partners, LLC (“Meridian”) to provide independent counsel, including a benchmarking review of our executive officer compensation. In connection with its engagement of Meridian, the compensation committee evaluated and confirmed Meridian’s independence relative to existing PAA or PAGP relationships or potential conflicts, in line with Nasdaq requirements.</w:t>
      </w:r>
    </w:p>
    <w:p>
      <w:pPr>
        <w:spacing w:after="0" w:line="13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Business consolidation and unique operating models create some challenges in identifying directly comparable peer companies. Accordingly, we take a broad view of comparability to include organizations that are similar to ours and that we believe we compete with for attracting and retaining executive talent. Our compensation benchmarking peer group for 2021 included 11 companies across a wide range of revenues, asset values and enterprise values that are primarily engaged in the midstream business in the United States (the entities in the benchmarking peer group for 2021 are listed in the table below).</w:t>
      </w:r>
    </w:p>
    <w:p>
      <w:pPr>
        <w:spacing w:after="0" w:line="126"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Meridian utilized publicly available information to analyze compensation practices of the companies in the benchmarking peer group, including how pay is divided among long-term incentives, annual incentives, base pay and other forms of compensation. Meridian also compared the total compensation and components thereof for our executive officers to the total compensation and components thereof for the benchmarking peer group. Meridian’s benchmark study was completed in July and presented to the compensation committee in August 2021.</w:t>
      </w:r>
    </w:p>
    <w:p>
      <w:pPr>
        <w:sectPr>
          <w:pgSz w:w="11900" w:h="16838" w:orient="portrait"/>
          <w:cols w:equalWidth="0" w:num="1">
            <w:col w:w="9879"/>
          </w:cols>
          <w:pgMar w:left="580" w:top="131" w:right="1440" w:bottom="1440" w:gutter="0" w:footer="0" w:header="0"/>
        </w:sectPr>
      </w:pPr>
    </w:p>
    <w:p>
      <w:pPr>
        <w:spacing w:after="0" w:line="39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39" w:firstLine="360"/>
        <w:spacing w:after="0" w:line="254" w:lineRule="auto"/>
        <w:rPr>
          <w:sz w:val="20"/>
          <w:szCs w:val="20"/>
          <w:color w:val="auto"/>
        </w:rPr>
      </w:pPr>
      <w:r>
        <w:rPr>
          <w:rFonts w:ascii="Arial" w:cs="Arial" w:eastAsia="Arial" w:hAnsi="Arial"/>
          <w:sz w:val="18"/>
          <w:szCs w:val="18"/>
          <w:color w:val="auto"/>
        </w:rPr>
        <w:t>The compensation committee also considered similar information from a broader sample of companies in the energy sector, including upstream, refining and regulated utilities, although the benchmarking peer group listed in the table below served as the primary source of external comparative information.</w:t>
      </w:r>
    </w:p>
    <w:p>
      <w:pPr>
        <w:spacing w:after="0" w:line="123"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The results of Meridian’s study validate our view that our 2021 NEO base salary and long-term incentive target levels are significantly lower than the median of our peer group, our aggregate cash compensation levels (salary and bonus) are generally at or above the median of our peer group, and our total compensation levels (cash plus equity) are either at or below the median of our peer group for top executive roles (but are moderate relative to the larger and broader spectrum of energy industry competitors that compete for similar talent). Each component of our CEO’s 2021 compensation was at or significantly below median, with total CEO compensation falling well below median.</w:t>
      </w:r>
    </w:p>
    <w:p>
      <w:pPr>
        <w:spacing w:after="0" w:line="127"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For a portion (25%) of our long-term incentive awards granted in 2021, we included relative TSR as a performance metric for the three-year performance period ending June 30, 2024. The entities in our 2021 benchmarking peer group and the entities and indices in our TSR Comparator Peer Group for the 2021 long-term incentive awards include the following:</w:t>
      </w:r>
    </w:p>
    <w:p>
      <w:pPr>
        <w:spacing w:after="0" w:line="144"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4900" w:type="dxa"/>
            <w:vAlign w:val="bottom"/>
            <w:tcBorders>
              <w:top w:val="single" w:sz="8" w:color="auto"/>
              <w:left w:val="single" w:sz="8" w:color="auto"/>
              <w:right w:val="single" w:sz="8" w:color="auto"/>
            </w:tcBorders>
            <w:shd w:val="clear" w:color="auto" w:fill="434F69"/>
          </w:tcPr>
          <w:p>
            <w:pPr>
              <w:spacing w:after="0"/>
              <w:rPr>
                <w:sz w:val="21"/>
                <w:szCs w:val="21"/>
                <w:color w:val="auto"/>
              </w:rPr>
            </w:pPr>
          </w:p>
        </w:tc>
        <w:tc>
          <w:tcPr>
            <w:tcW w:w="1620" w:type="dxa"/>
            <w:vAlign w:val="bottom"/>
            <w:tcBorders>
              <w:top w:val="single" w:sz="8" w:color="auto"/>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2021 Benchmarking</w:t>
            </w:r>
          </w:p>
        </w:tc>
        <w:tc>
          <w:tcPr>
            <w:tcW w:w="1700" w:type="dxa"/>
            <w:vAlign w:val="bottom"/>
            <w:tcBorders>
              <w:top w:val="single" w:sz="8" w:color="auto"/>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2021 TSR Comparator</w:t>
            </w:r>
          </w:p>
        </w:tc>
      </w:tr>
      <w:tr>
        <w:trPr>
          <w:trHeight w:val="196"/>
        </w:trPr>
        <w:tc>
          <w:tcPr>
            <w:tcW w:w="4900" w:type="dxa"/>
            <w:vAlign w:val="bottom"/>
            <w:tcBorders>
              <w:left w:val="single" w:sz="8" w:color="auto"/>
              <w:bottom w:val="single" w:sz="8" w:color="auto"/>
              <w:right w:val="single" w:sz="8" w:color="auto"/>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Entity/Index Name (Ticker)</w:t>
            </w:r>
          </w:p>
        </w:tc>
        <w:tc>
          <w:tcPr>
            <w:tcW w:w="1620" w:type="dxa"/>
            <w:vAlign w:val="bottom"/>
            <w:tcBorders>
              <w:bottom w:val="single" w:sz="8" w:color="auto"/>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Peer Group</w:t>
            </w:r>
          </w:p>
        </w:tc>
        <w:tc>
          <w:tcPr>
            <w:tcW w:w="1700" w:type="dxa"/>
            <w:vAlign w:val="bottom"/>
            <w:tcBorders>
              <w:bottom w:val="single" w:sz="8" w:color="auto"/>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Peer Group</w:t>
            </w:r>
          </w:p>
        </w:tc>
      </w:tr>
      <w:tr>
        <w:trPr>
          <w:trHeight w:val="315"/>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Energy Transfer LP (ET)</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3"/>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Enterprise Products Partners LP (EPD)</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0"/>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309"/>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Kinder Morgan Inc. (KMI)</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4"/>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Williams Companies Inc. (WMB)</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1"/>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309"/>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MPLX LP (MPLX)</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4"/>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ONEOK Inc. (OKE)</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0"/>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309"/>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Targa Resources Corp. (TRGP)</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4"/>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Magellan Midstream Partners LP (MMP)</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0"/>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309"/>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Western Midstream Partners LP (WES)</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4"/>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EnLink Midstream LLC (ENLC)</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0"/>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309"/>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Equitrans Midstream Corporation (ETRN)</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4"/>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Phillips 66 Partners LP (PSXP)</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0"/>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309"/>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DCP Midstream LP (DCP)</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3"/>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Holly Energy Partners LP (HEP)</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0"/>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309"/>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NuStar Energy LP (NS)</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3"/>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S&amp;P 500 Index (SPX)</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0"/>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284"/>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Alerian Midstream Energy Index (AMNA)</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0"/>
        </w:trPr>
        <w:tc>
          <w:tcPr>
            <w:tcW w:w="49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-3402330</wp:posOffset>
            </wp:positionV>
            <wp:extent cx="4318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-3402330</wp:posOffset>
            </wp:positionV>
            <wp:extent cx="4318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-3196590</wp:posOffset>
            </wp:positionV>
            <wp:extent cx="4318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-3196590</wp:posOffset>
            </wp:positionV>
            <wp:extent cx="4318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-2990850</wp:posOffset>
            </wp:positionV>
            <wp:extent cx="4318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-2990850</wp:posOffset>
            </wp:positionV>
            <wp:extent cx="43180"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-2785110</wp:posOffset>
            </wp:positionV>
            <wp:extent cx="43180" cy="603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-2785110</wp:posOffset>
            </wp:positionV>
            <wp:extent cx="43180" cy="603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-2579370</wp:posOffset>
            </wp:positionV>
            <wp:extent cx="43180" cy="603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-2579370</wp:posOffset>
            </wp:positionV>
            <wp:extent cx="43180" cy="603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-2373630</wp:posOffset>
            </wp:positionV>
            <wp:extent cx="43180" cy="603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-2373630</wp:posOffset>
            </wp:positionV>
            <wp:extent cx="43180" cy="603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-2167890</wp:posOffset>
            </wp:positionV>
            <wp:extent cx="43180"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-2167890</wp:posOffset>
            </wp:positionV>
            <wp:extent cx="43180"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-1962150</wp:posOffset>
            </wp:positionV>
            <wp:extent cx="43180" cy="603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-1962150</wp:posOffset>
            </wp:positionV>
            <wp:extent cx="43180" cy="603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-1756410</wp:posOffset>
            </wp:positionV>
            <wp:extent cx="43180" cy="603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-1756410</wp:posOffset>
            </wp:positionV>
            <wp:extent cx="43180" cy="603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-1550670</wp:posOffset>
            </wp:positionV>
            <wp:extent cx="4318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-1550670</wp:posOffset>
            </wp:positionV>
            <wp:extent cx="43180"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-1344930</wp:posOffset>
            </wp:positionV>
            <wp:extent cx="43180" cy="603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-1139190</wp:posOffset>
            </wp:positionV>
            <wp:extent cx="43180"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-933450</wp:posOffset>
            </wp:positionV>
            <wp:extent cx="43180" cy="603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-727710</wp:posOffset>
            </wp:positionV>
            <wp:extent cx="43180" cy="603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-521970</wp:posOffset>
            </wp:positionV>
            <wp:extent cx="43180" cy="603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-316230</wp:posOffset>
            </wp:positionV>
            <wp:extent cx="43180" cy="603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-110490</wp:posOffset>
            </wp:positionV>
            <wp:extent cx="43180"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59690"/>
                    </a:xfrm>
                    <a:prstGeom prst="rect">
                      <a:avLst/>
                    </a:prstGeom>
                    <a:noFill/>
                  </pic:spPr>
                </pic:pic>
              </a:graphicData>
            </a:graphic>
          </wp:anchor>
        </w:drawing>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2021 Compensation Committee Process</w:t>
      </w:r>
    </w:p>
    <w:p>
      <w:pPr>
        <w:spacing w:after="0" w:line="180"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Set forth below is additional information regarding our compensation practices as they relate to the elements of our compensation program:</w:t>
      </w:r>
    </w:p>
    <w:p>
      <w:pPr>
        <w:spacing w:after="0" w:line="99"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Historically, we have not made regular annual adjustments to the base salaries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Named Executive Officers (the most recent across the board adjustments were made in 2017), but we have made salary adjustments in connection with promotions or taking on increased responsibilities. No salary adjustments were approved for 2021.</w:t>
      </w:r>
    </w:p>
    <w:p>
      <w:pPr>
        <w:spacing w:after="0" w:line="112"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Annual cash incentive awards for the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are determined within a formulaic framework that includes an annual bonus target for each Named Executive Officer, expressed as a percentage of base salary, and the determination of an actual payout as a percentage of such target amount based on company performance relative to specific goals, and individual contributions. Annual company goals typically include financial, safety, environmental and other</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spacing w:after="0" w:line="236" w:lineRule="auto"/>
        <w:rPr>
          <w:sz w:val="20"/>
          <w:szCs w:val="20"/>
          <w:color w:val="auto"/>
        </w:rPr>
      </w:pPr>
      <w:r>
        <w:rPr>
          <w:rFonts w:ascii="Arial" w:cs="Arial" w:eastAsia="Arial" w:hAnsi="Arial"/>
          <w:sz w:val="18"/>
          <w:szCs w:val="18"/>
          <w:color w:val="auto"/>
        </w:rPr>
        <w:t>specified goals, and each goal, as well as the individual performance component, is assigned a weighting or percentage share of the total payout opportunity. Annual goals and objectives, as well as weightings and potential payout ranges (expressed as a percentage of target) are established at the beginning of each year and are discussed and reviewed with the Board in conjunction with the review and approval of our annual plan. Payout percentages relative to achievement of specified goals may range from 0 – 200% of an individual’s target opportunity. The final amounts that are paid may be adjusted by the compensation committee and the Board based on factors it deems relevant. Such adjustments may be positive or negative depending on the circumstances. For example, in each of 2019 and 2020, based on recommendations made by our CEO, the compensation committee and Board exercised negative discretion to reduce the overall payout relative to what the bonus formula generated (see “— 2021 Performance Overview and Specific Application of Compensation Elements in 2021” for more information regarding 2021).</w:t>
      </w:r>
    </w:p>
    <w:p>
      <w:pPr>
        <w:spacing w:after="0" w:line="18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2021 Annual Bonus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131445</wp:posOffset>
            </wp:positionV>
            <wp:extent cx="3874770" cy="2117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4770"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7"/>
          <w:szCs w:val="17"/>
          <w:color w:val="auto"/>
        </w:rPr>
        <w:t>At the end of each year, the CEO assesses the Company’s performance relative to goals and objectives established at the beginning of the year. The CEO’s written analysis of our performance examines accomplishments and shortfalls relative to established goals and objectives and also assesses overall performance against opportunities and challenges, taking into account controllable and non-controllable factors encountered during the year. The CEO also assesses the individual performance and contributions of each NEO (other than himself) towards the satisfaction of the various goals and objectives established at the beginning of the year. The CEO submits his report and the supporting detail to the compensation committee and Board for review and comment. Based on the conclusions set forth in the annual performance assessment, the CEO submits the results of the formulaic bonus calculations along with any recommendations for adjustments to the compensation committee for all Named Executive Officers other than himself. In connection with his assessment of Company and individual performance, the CEO also considers various factors, including:</w:t>
      </w:r>
    </w:p>
    <w:p>
      <w:pPr>
        <w:spacing w:after="0" w:line="85" w:lineRule="exact"/>
        <w:rPr>
          <w:sz w:val="20"/>
          <w:szCs w:val="20"/>
          <w:color w:val="auto"/>
        </w:rPr>
      </w:pPr>
    </w:p>
    <w:p>
      <w:pPr>
        <w:ind w:left="1800" w:right="499" w:hanging="180"/>
        <w:spacing w:after="0" w:line="261"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or not we achieved the goals established for the year and any notable shortfalls relative to expectations;</w:t>
      </w:r>
    </w:p>
    <w:p>
      <w:pPr>
        <w:spacing w:after="0" w:line="89" w:lineRule="exact"/>
        <w:rPr>
          <w:rFonts w:ascii="Arial" w:cs="Arial" w:eastAsia="Arial" w:hAnsi="Arial"/>
          <w:sz w:val="18"/>
          <w:szCs w:val="18"/>
          <w:color w:val="auto"/>
        </w:rPr>
      </w:pPr>
    </w:p>
    <w:p>
      <w:pPr>
        <w:ind w:left="1800" w:right="659" w:hanging="180"/>
        <w:spacing w:after="0" w:line="261"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difficulty associated with achieving such objectives based on the opportunities and challenges encountered during the year;</w:t>
      </w:r>
    </w:p>
    <w:p>
      <w:pPr>
        <w:spacing w:after="0" w:line="76" w:lineRule="exact"/>
        <w:rPr>
          <w:rFonts w:ascii="Arial" w:cs="Arial" w:eastAsia="Arial" w:hAnsi="Arial"/>
          <w:sz w:val="18"/>
          <w:szCs w:val="18"/>
          <w:color w:val="auto"/>
        </w:rPr>
      </w:pPr>
    </w:p>
    <w:p>
      <w:pPr>
        <w:ind w:left="1800" w:right="419" w:hanging="180"/>
        <w:spacing w:after="0" w:line="261"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current year operating and financial performance relative to both public guidance and prior year’s performance;</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transactions or accomplishments for the period not included in the goals for the year;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relative prospects at the end of the year with respect to future growth and performance; and</w:t>
      </w:r>
    </w:p>
    <w:p>
      <w:pPr>
        <w:spacing w:after="0" w:line="103" w:lineRule="exact"/>
        <w:rPr>
          <w:rFonts w:ascii="Arial" w:cs="Arial" w:eastAsia="Arial" w:hAnsi="Arial"/>
          <w:sz w:val="18"/>
          <w:szCs w:val="18"/>
          <w:color w:val="auto"/>
        </w:rPr>
      </w:pPr>
    </w:p>
    <w:p>
      <w:pPr>
        <w:ind w:left="1800" w:right="699" w:hanging="180"/>
        <w:spacing w:after="0" w:line="261"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equity price performance and returns during the year and our positioning at the end of the year with respect to our targeted leverage metrics and credit profile.</w:t>
      </w:r>
    </w:p>
    <w:p>
      <w:pPr>
        <w:sectPr>
          <w:pgSz w:w="11900" w:h="16838" w:orient="portrait"/>
          <w:cols w:equalWidth="0" w:num="1">
            <w:col w:w="9879"/>
          </w:cols>
          <w:pgMar w:left="580" w:top="131" w:right="1440" w:bottom="1440" w:gutter="0" w:footer="0" w:header="0"/>
        </w:sect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539" w:firstLine="360"/>
        <w:spacing w:after="0" w:line="256" w:lineRule="auto"/>
        <w:rPr>
          <w:sz w:val="20"/>
          <w:szCs w:val="20"/>
          <w:color w:val="auto"/>
        </w:rPr>
      </w:pPr>
      <w:r>
        <w:rPr>
          <w:rFonts w:ascii="Arial" w:cs="Arial" w:eastAsia="Arial" w:hAnsi="Arial"/>
          <w:sz w:val="18"/>
          <w:szCs w:val="18"/>
          <w:color w:val="auto"/>
        </w:rPr>
        <w:t>The compensation committee may adjust the CEO’s recommendations upward or downward in its discretion. The compensation committee’s recommendations are then submitted to the Board for final review and approval.</w:t>
      </w:r>
    </w:p>
    <w:p>
      <w:pPr>
        <w:spacing w:after="0" w:line="121"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As noted above, the CEO does not make a recommendation with respect to his own bonus. The compensation committee assesses the CEO’s performance and contributions toward meeting the goals and objectives established at the beginning of the year, and recommends to the Board a total bonus payout for the CEO that it believes to be commensurate with such performance and contributions.</w:t>
      </w:r>
    </w:p>
    <w:p>
      <w:pPr>
        <w:spacing w:after="0" w:line="105"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We use performance- and time-based phantom unit grants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Long-Term Incentive Plans to incentivize and retain our executive officers and encourage and reward timely achievement of targeted metrics designed to align the long-term interests of the Named Executive Officers with those of our unitholders.</w:t>
      </w:r>
    </w:p>
    <w:p>
      <w:pPr>
        <w:spacing w:after="0" w:line="176"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2021 Annual LTIP Award; Determination of Units for Annual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131445</wp:posOffset>
            </wp:positionV>
            <wp:extent cx="4183380" cy="13284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183380"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260" w:right="639" w:firstLine="360"/>
        <w:spacing w:after="0" w:line="254" w:lineRule="auto"/>
        <w:rPr>
          <w:sz w:val="20"/>
          <w:szCs w:val="20"/>
          <w:color w:val="auto"/>
        </w:rPr>
      </w:pPr>
      <w:r>
        <w:rPr>
          <w:rFonts w:ascii="Arial" w:cs="Arial" w:eastAsia="Arial" w:hAnsi="Arial"/>
          <w:sz w:val="18"/>
          <w:szCs w:val="18"/>
          <w:color w:val="auto"/>
        </w:rPr>
        <w:t>NEOs are eligible to receive an annual grant of phantom units based on a formula tied to salary and PAA’s unit price. The size of the annual grant for a specified individual is based on a designated target percentage of their base salary that takes into account their expected contribution in respect of longer term performance objectives.</w:t>
      </w:r>
    </w:p>
    <w:p>
      <w:pPr>
        <w:spacing w:after="0" w:line="12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Annual equity grants typically require minimum service periods of three years in order to encourage long-term retention. A phantom unit grant provides the holder with the right to receive, upon the satisfaction of vesting criteria specified in the grant, a PAA common unit (or cash equivalent). We do not use options as a form of incentive compensation. Terms of phantom unit grants may vary, but generally phantom units vest upon the later of achievement of designated performance thresholds and continued employment for a full three year period. Phantom unit grants for the Named Executive Officers typically include DERs, and for awards granted in 2021, DERs on the performance-based portion of such awards will be payable only if and to the extent the underlying phantom units vest at the end of the three-year performance period. DERs on the time-based portion of such awards accrue for the first year following the grant date, with such accrued amount being paid out on the first anniversary of the grant date, and then are paid on a quarterly basis thereafter.</w:t>
      </w:r>
    </w:p>
    <w:p>
      <w:pPr>
        <w:spacing w:after="0" w:line="143"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An additional equity incentive tool that has been used in the past involved the issuance to executives of Class B units of AAP (“AAP Management Units”). While no AAP Management Unit awards were granted in 2021, two of our Named Executive Officers (Messrs. Chiang and Goebel) held such awards during 2021. See “Outstanding Equity Awards at Fiscal Year-End” and “Certain Relationships and Related Transactions — AAP Management Units” below for more information regarding the AAP Management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2021 Performance Overview and Specific Application of Compensation Elements in 2021</w:t>
      </w:r>
    </w:p>
    <w:p>
      <w:pPr>
        <w:spacing w:after="0" w:line="162"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7"/>
          <w:szCs w:val="17"/>
          <w:color w:val="auto"/>
        </w:rPr>
        <w:t>At the beginning of 2021, we established key qualitative goals and quantitative financial, safety and environmental objectives. We also set important commercial, operational and organizational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93980</wp:posOffset>
            </wp:positionV>
            <wp:extent cx="5212080" cy="50234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2080" cy="5023485"/>
                    </a:xfrm>
                    <a:prstGeom prst="rect">
                      <a:avLst/>
                    </a:prstGeom>
                    <a:noFill/>
                  </pic:spPr>
                </pic:pic>
              </a:graphicData>
            </a:graphic>
          </wp:anchor>
        </w:drawing>
      </w:r>
    </w:p>
    <w:p>
      <w:pPr>
        <w:spacing w:after="0" w:line="169"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FFFFFF"/>
        </w:rPr>
        <w:t>2021 Performance Objectives and Results (all figures rounded)</w:t>
      </w:r>
    </w:p>
    <w:p>
      <w:pPr>
        <w:spacing w:after="0" w:line="5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Quantitative Goals</w:t>
      </w:r>
    </w:p>
    <w:p>
      <w:pPr>
        <w:spacing w:after="0" w:line="32" w:lineRule="exact"/>
        <w:rPr>
          <w:sz w:val="20"/>
          <w:szCs w:val="20"/>
          <w:color w:val="auto"/>
        </w:rPr>
      </w:pPr>
    </w:p>
    <w:tbl>
      <w:tblPr>
        <w:tblLayout w:type="fixed"/>
        <w:tblInd w:w="126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2720" w:type="dxa"/>
            <w:vAlign w:val="bottom"/>
            <w:tcBorders>
              <w:top w:val="single" w:sz="8" w:color="434F69"/>
              <w:bottom w:val="single" w:sz="8" w:color="434F69"/>
              <w:right w:val="single" w:sz="8" w:color="434F69"/>
            </w:tcBorders>
          </w:tcPr>
          <w:p>
            <w:pPr>
              <w:ind w:left="1020"/>
              <w:spacing w:after="0"/>
              <w:rPr>
                <w:sz w:val="20"/>
                <w:szCs w:val="20"/>
                <w:color w:val="auto"/>
              </w:rPr>
            </w:pPr>
            <w:r>
              <w:rPr>
                <w:rFonts w:ascii="Arial" w:cs="Arial" w:eastAsia="Arial" w:hAnsi="Arial"/>
                <w:sz w:val="18"/>
                <w:szCs w:val="18"/>
                <w:b w:val="1"/>
                <w:bCs w:val="1"/>
                <w:color w:val="auto"/>
              </w:rPr>
              <w:t>Metrics</w:t>
            </w:r>
          </w:p>
        </w:tc>
        <w:tc>
          <w:tcPr>
            <w:tcW w:w="2760" w:type="dxa"/>
            <w:vAlign w:val="bottom"/>
            <w:tcBorders>
              <w:top w:val="single" w:sz="8" w:color="434F69"/>
              <w:bottom w:val="single" w:sz="8" w:color="434F69"/>
              <w:right w:val="single" w:sz="8" w:color="434F69"/>
            </w:tcBorders>
          </w:tcPr>
          <w:p>
            <w:pPr>
              <w:ind w:left="900"/>
              <w:spacing w:after="0"/>
              <w:rPr>
                <w:sz w:val="20"/>
                <w:szCs w:val="20"/>
                <w:color w:val="auto"/>
              </w:rPr>
            </w:pPr>
            <w:r>
              <w:rPr>
                <w:rFonts w:ascii="Arial" w:cs="Arial" w:eastAsia="Arial" w:hAnsi="Arial"/>
                <w:sz w:val="18"/>
                <w:szCs w:val="18"/>
                <w:b w:val="1"/>
                <w:bCs w:val="1"/>
                <w:color w:val="auto"/>
              </w:rPr>
              <w:t>2021 Goals</w:t>
            </w:r>
          </w:p>
        </w:tc>
        <w:tc>
          <w:tcPr>
            <w:tcW w:w="2700" w:type="dxa"/>
            <w:vAlign w:val="bottom"/>
            <w:tcBorders>
              <w:top w:val="single" w:sz="8" w:color="434F69"/>
              <w:bottom w:val="single" w:sz="8" w:color="434F69"/>
            </w:tcBorders>
          </w:tcPr>
          <w:p>
            <w:pPr>
              <w:ind w:left="820"/>
              <w:spacing w:after="0"/>
              <w:rPr>
                <w:sz w:val="20"/>
                <w:szCs w:val="20"/>
                <w:color w:val="auto"/>
              </w:rPr>
            </w:pPr>
            <w:r>
              <w:rPr>
                <w:rFonts w:ascii="Arial" w:cs="Arial" w:eastAsia="Arial" w:hAnsi="Arial"/>
                <w:sz w:val="18"/>
                <w:szCs w:val="18"/>
                <w:b w:val="1"/>
                <w:bCs w:val="1"/>
                <w:color w:val="auto"/>
              </w:rPr>
              <w:t>2021 Results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720" w:type="dxa"/>
            <w:vAlign w:val="bottom"/>
            <w:tcBorders>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27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8"/>
                <w:szCs w:val="18"/>
                <w:color w:val="auto"/>
              </w:rPr>
              <w:t>$2.15 billion</w:t>
            </w:r>
          </w:p>
        </w:tc>
        <w:tc>
          <w:tcPr>
            <w:tcW w:w="2700" w:type="dxa"/>
            <w:vAlign w:val="bottom"/>
            <w:tcBorders>
              <w:bottom w:val="single" w:sz="8" w:color="434F69"/>
            </w:tcBorders>
          </w:tcPr>
          <w:p>
            <w:pPr>
              <w:ind w:left="80"/>
              <w:spacing w:after="0"/>
              <w:rPr>
                <w:sz w:val="20"/>
                <w:szCs w:val="20"/>
                <w:color w:val="auto"/>
              </w:rPr>
            </w:pPr>
            <w:r>
              <w:rPr>
                <w:rFonts w:ascii="Arial" w:cs="Arial" w:eastAsia="Arial" w:hAnsi="Arial"/>
                <w:sz w:val="18"/>
                <w:szCs w:val="18"/>
                <w:color w:val="auto"/>
              </w:rPr>
              <w:t>$2.213 billion</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Borders>
              <w:right w:val="single" w:sz="8" w:color="434F69"/>
            </w:tcBorders>
          </w:tcPr>
          <w:p>
            <w:pPr>
              <w:ind w:left="60"/>
              <w:spacing w:after="0" w:line="198" w:lineRule="exact"/>
              <w:rPr>
                <w:sz w:val="20"/>
                <w:szCs w:val="20"/>
                <w:color w:val="auto"/>
              </w:rPr>
            </w:pPr>
            <w:r>
              <w:rPr>
                <w:rFonts w:ascii="Arial" w:cs="Arial" w:eastAsia="Arial" w:hAnsi="Arial"/>
                <w:sz w:val="18"/>
                <w:szCs w:val="18"/>
                <w:color w:val="auto"/>
              </w:rPr>
              <w:t>Implied DCF per common unit</w:t>
            </w:r>
          </w:p>
        </w:tc>
        <w:tc>
          <w:tcPr>
            <w:tcW w:w="2760" w:type="dxa"/>
            <w:vAlign w:val="bottom"/>
            <w:tcBorders>
              <w:right w:val="single" w:sz="8" w:color="434F69"/>
            </w:tcBorders>
          </w:tcPr>
          <w:p>
            <w:pPr>
              <w:ind w:left="100"/>
              <w:spacing w:after="0" w:line="198" w:lineRule="exact"/>
              <w:rPr>
                <w:sz w:val="20"/>
                <w:szCs w:val="20"/>
                <w:color w:val="auto"/>
              </w:rPr>
            </w:pPr>
            <w:r>
              <w:rPr>
                <w:rFonts w:ascii="Arial" w:cs="Arial" w:eastAsia="Arial" w:hAnsi="Arial"/>
                <w:sz w:val="18"/>
                <w:szCs w:val="18"/>
                <w:color w:val="auto"/>
              </w:rPr>
              <w:t>$1.83</w:t>
            </w:r>
          </w:p>
        </w:tc>
        <w:tc>
          <w:tcPr>
            <w:tcW w:w="2700" w:type="dxa"/>
            <w:vAlign w:val="bottom"/>
          </w:tcPr>
          <w:p>
            <w:pPr>
              <w:ind w:left="80"/>
              <w:spacing w:after="0" w:line="199" w:lineRule="exact"/>
              <w:rPr>
                <w:sz w:val="20"/>
                <w:szCs w:val="20"/>
                <w:color w:val="auto"/>
              </w:rPr>
            </w:pPr>
            <w:r>
              <w:rPr>
                <w:rFonts w:ascii="Arial" w:cs="Arial" w:eastAsia="Arial" w:hAnsi="Arial"/>
                <w:sz w:val="17"/>
                <w:szCs w:val="17"/>
                <w:color w:val="auto"/>
              </w:rPr>
              <w:t>$1.97</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2720" w:type="dxa"/>
            <w:vAlign w:val="bottom"/>
            <w:tcBorders>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and CUE</w:t>
            </w:r>
            <w:r>
              <w:rPr>
                <w:rFonts w:ascii="Arial" w:cs="Arial" w:eastAsia="Arial" w:hAnsi="Arial"/>
                <w:sz w:val="23"/>
                <w:szCs w:val="23"/>
                <w:color w:val="auto"/>
                <w:vertAlign w:val="superscript"/>
              </w:rPr>
              <w:t>(1)</w:t>
            </w:r>
          </w:p>
        </w:tc>
        <w:tc>
          <w:tcPr>
            <w:tcW w:w="2760" w:type="dxa"/>
            <w:vAlign w:val="bottom"/>
            <w:tcBorders>
              <w:bottom w:val="single" w:sz="8" w:color="434F69"/>
              <w:right w:val="single" w:sz="8" w:color="434F69"/>
            </w:tcBorders>
          </w:tcPr>
          <w:p>
            <w:pPr>
              <w:spacing w:after="0"/>
              <w:rPr>
                <w:sz w:val="24"/>
                <w:szCs w:val="24"/>
                <w:color w:val="auto"/>
              </w:rPr>
            </w:pPr>
          </w:p>
        </w:tc>
        <w:tc>
          <w:tcPr>
            <w:tcW w:w="2700" w:type="dxa"/>
            <w:vAlign w:val="bottom"/>
            <w:tcBorders>
              <w:bottom w:val="single" w:sz="8" w:color="434F69"/>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20" w:type="dxa"/>
            <w:vAlign w:val="bottom"/>
            <w:tcBorders>
              <w:right w:val="single" w:sz="8" w:color="434F69"/>
            </w:tcBorders>
          </w:tcPr>
          <w:p>
            <w:pPr>
              <w:ind w:left="60"/>
              <w:spacing w:after="0"/>
              <w:rPr>
                <w:sz w:val="20"/>
                <w:szCs w:val="20"/>
                <w:color w:val="auto"/>
              </w:rPr>
            </w:pPr>
            <w:r>
              <w:rPr>
                <w:rFonts w:ascii="Arial" w:cs="Arial" w:eastAsia="Arial" w:hAnsi="Arial"/>
                <w:sz w:val="18"/>
                <w:szCs w:val="18"/>
                <w:color w:val="auto"/>
              </w:rPr>
              <w:t>Safety and Environmental</w:t>
            </w:r>
          </w:p>
        </w:tc>
        <w:tc>
          <w:tcPr>
            <w:tcW w:w="2760" w:type="dxa"/>
            <w:vAlign w:val="bottom"/>
            <w:tcBorders>
              <w:right w:val="single" w:sz="8" w:color="434F69"/>
            </w:tcBorders>
          </w:tcPr>
          <w:p>
            <w:pPr>
              <w:ind w:left="100"/>
              <w:spacing w:after="0"/>
              <w:rPr>
                <w:sz w:val="20"/>
                <w:szCs w:val="20"/>
                <w:color w:val="auto"/>
              </w:rPr>
            </w:pPr>
            <w:r>
              <w:rPr>
                <w:rFonts w:ascii="Arial" w:cs="Arial" w:eastAsia="Arial" w:hAnsi="Arial"/>
                <w:sz w:val="18"/>
                <w:szCs w:val="18"/>
                <w:color w:val="auto"/>
              </w:rPr>
              <w:t>20% year over year</w:t>
            </w:r>
          </w:p>
        </w:tc>
        <w:tc>
          <w:tcPr>
            <w:tcW w:w="2700" w:type="dxa"/>
            <w:vAlign w:val="bottom"/>
          </w:tcPr>
          <w:p>
            <w:pPr>
              <w:ind w:left="80"/>
              <w:spacing w:after="0"/>
              <w:rPr>
                <w:sz w:val="20"/>
                <w:szCs w:val="20"/>
                <w:color w:val="auto"/>
              </w:rPr>
            </w:pPr>
            <w:r>
              <w:rPr>
                <w:rFonts w:ascii="Arial" w:cs="Arial" w:eastAsia="Arial" w:hAnsi="Arial"/>
                <w:sz w:val="18"/>
                <w:szCs w:val="18"/>
                <w:color w:val="auto"/>
              </w:rPr>
              <w:t>•  ~10% reduction in recordable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right w:val="single" w:sz="8" w:color="434F69"/>
            </w:tcBorders>
          </w:tcPr>
          <w:p>
            <w:pPr>
              <w:spacing w:after="0"/>
              <w:rPr>
                <w:sz w:val="18"/>
                <w:szCs w:val="18"/>
                <w:color w:val="auto"/>
              </w:rPr>
            </w:pPr>
          </w:p>
        </w:tc>
        <w:tc>
          <w:tcPr>
            <w:tcW w:w="2760" w:type="dxa"/>
            <w:vAlign w:val="bottom"/>
            <w:tcBorders>
              <w:right w:val="single" w:sz="8" w:color="434F69"/>
            </w:tcBorders>
          </w:tcPr>
          <w:p>
            <w:pPr>
              <w:ind w:left="100"/>
              <w:spacing w:after="0"/>
              <w:rPr>
                <w:sz w:val="20"/>
                <w:szCs w:val="20"/>
                <w:color w:val="auto"/>
              </w:rPr>
            </w:pPr>
            <w:r>
              <w:rPr>
                <w:rFonts w:ascii="Arial" w:cs="Arial" w:eastAsia="Arial" w:hAnsi="Arial"/>
                <w:sz w:val="18"/>
                <w:szCs w:val="18"/>
                <w:color w:val="auto"/>
              </w:rPr>
              <w:t>improvement in certain safety</w:t>
            </w:r>
          </w:p>
        </w:tc>
        <w:tc>
          <w:tcPr>
            <w:tcW w:w="2700" w:type="dxa"/>
            <w:vAlign w:val="bottom"/>
          </w:tcPr>
          <w:p>
            <w:pPr>
              <w:ind w:left="300"/>
              <w:spacing w:after="0"/>
              <w:rPr>
                <w:sz w:val="20"/>
                <w:szCs w:val="20"/>
                <w:color w:val="auto"/>
              </w:rPr>
            </w:pPr>
            <w:r>
              <w:rPr>
                <w:rFonts w:ascii="Arial" w:cs="Arial" w:eastAsia="Arial" w:hAnsi="Arial"/>
                <w:sz w:val="18"/>
                <w:szCs w:val="18"/>
                <w:color w:val="auto"/>
              </w:rPr>
              <w:t>injuries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20" w:type="dxa"/>
            <w:vAlign w:val="bottom"/>
            <w:tcBorders>
              <w:right w:val="single" w:sz="8" w:color="434F69"/>
            </w:tcBorders>
          </w:tcPr>
          <w:p>
            <w:pPr>
              <w:spacing w:after="0"/>
              <w:rPr>
                <w:sz w:val="18"/>
                <w:szCs w:val="18"/>
                <w:color w:val="auto"/>
              </w:rPr>
            </w:pPr>
          </w:p>
        </w:tc>
        <w:tc>
          <w:tcPr>
            <w:tcW w:w="2760" w:type="dxa"/>
            <w:vAlign w:val="bottom"/>
            <w:tcBorders>
              <w:right w:val="single" w:sz="8" w:color="434F69"/>
            </w:tcBorders>
          </w:tcPr>
          <w:p>
            <w:pPr>
              <w:ind w:left="100"/>
              <w:spacing w:after="0"/>
              <w:rPr>
                <w:sz w:val="20"/>
                <w:szCs w:val="20"/>
                <w:color w:val="auto"/>
              </w:rPr>
            </w:pPr>
            <w:r>
              <w:rPr>
                <w:rFonts w:ascii="Arial" w:cs="Arial" w:eastAsia="Arial" w:hAnsi="Arial"/>
                <w:sz w:val="18"/>
                <w:szCs w:val="18"/>
                <w:color w:val="auto"/>
              </w:rPr>
              <w:t>and environmental metrics</w:t>
            </w:r>
          </w:p>
        </w:tc>
        <w:tc>
          <w:tcPr>
            <w:tcW w:w="2700" w:type="dxa"/>
            <w:vAlign w:val="bottom"/>
            <w:vMerge w:val="restart"/>
          </w:tcPr>
          <w:p>
            <w:pPr>
              <w:ind w:left="80"/>
              <w:spacing w:after="0"/>
              <w:rPr>
                <w:sz w:val="20"/>
                <w:szCs w:val="20"/>
                <w:color w:val="auto"/>
              </w:rPr>
            </w:pPr>
            <w:r>
              <w:rPr>
                <w:rFonts w:ascii="Arial" w:cs="Arial" w:eastAsia="Arial" w:hAnsi="Arial"/>
                <w:sz w:val="18"/>
                <w:szCs w:val="18"/>
                <w:color w:val="auto"/>
              </w:rPr>
              <w:t>• ~33% increase in number of</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720" w:type="dxa"/>
            <w:vAlign w:val="bottom"/>
            <w:tcBorders>
              <w:right w:val="single" w:sz="8" w:color="434F69"/>
            </w:tcBorders>
          </w:tcPr>
          <w:p>
            <w:pPr>
              <w:spacing w:after="0"/>
              <w:rPr>
                <w:sz w:val="6"/>
                <w:szCs w:val="6"/>
                <w:color w:val="auto"/>
              </w:rPr>
            </w:pPr>
          </w:p>
        </w:tc>
        <w:tc>
          <w:tcPr>
            <w:tcW w:w="2760" w:type="dxa"/>
            <w:vAlign w:val="bottom"/>
            <w:tcBorders>
              <w:right w:val="single" w:sz="8" w:color="434F69"/>
            </w:tcBorders>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434F69"/>
            </w:tcBorders>
          </w:tcPr>
          <w:p>
            <w:pPr>
              <w:spacing w:after="0"/>
              <w:rPr>
                <w:sz w:val="19"/>
                <w:szCs w:val="19"/>
                <w:color w:val="auto"/>
              </w:rPr>
            </w:pPr>
          </w:p>
        </w:tc>
        <w:tc>
          <w:tcPr>
            <w:tcW w:w="2720" w:type="dxa"/>
            <w:vAlign w:val="bottom"/>
            <w:tcBorders>
              <w:bottom w:val="single" w:sz="8" w:color="434F69"/>
              <w:right w:val="single" w:sz="8" w:color="434F69"/>
            </w:tcBorders>
          </w:tcPr>
          <w:p>
            <w:pPr>
              <w:spacing w:after="0"/>
              <w:rPr>
                <w:sz w:val="19"/>
                <w:szCs w:val="19"/>
                <w:color w:val="auto"/>
              </w:rPr>
            </w:pPr>
          </w:p>
        </w:tc>
        <w:tc>
          <w:tcPr>
            <w:tcW w:w="2760" w:type="dxa"/>
            <w:vAlign w:val="bottom"/>
            <w:tcBorders>
              <w:bottom w:val="single" w:sz="8" w:color="434F69"/>
              <w:right w:val="single" w:sz="8" w:color="434F69"/>
            </w:tcBorders>
          </w:tcPr>
          <w:p>
            <w:pPr>
              <w:spacing w:after="0"/>
              <w:rPr>
                <w:sz w:val="19"/>
                <w:szCs w:val="19"/>
                <w:color w:val="auto"/>
              </w:rPr>
            </w:pPr>
          </w:p>
        </w:tc>
        <w:tc>
          <w:tcPr>
            <w:tcW w:w="2700" w:type="dxa"/>
            <w:vAlign w:val="bottom"/>
            <w:tcBorders>
              <w:bottom w:val="single" w:sz="8" w:color="434F69"/>
            </w:tcBorders>
          </w:tcPr>
          <w:p>
            <w:pPr>
              <w:ind w:left="260"/>
              <w:spacing w:after="0"/>
              <w:rPr>
                <w:sz w:val="20"/>
                <w:szCs w:val="20"/>
                <w:color w:val="auto"/>
              </w:rPr>
            </w:pPr>
            <w:r>
              <w:rPr>
                <w:rFonts w:ascii="Arial" w:cs="Arial" w:eastAsia="Arial" w:hAnsi="Arial"/>
                <w:sz w:val="18"/>
                <w:szCs w:val="18"/>
                <w:color w:val="auto"/>
              </w:rPr>
              <w:t>federally reportable releases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20" w:type="dxa"/>
            <w:vAlign w:val="bottom"/>
            <w:tcBorders>
              <w:right w:val="single" w:sz="8" w:color="D9DCE1"/>
            </w:tcBorders>
            <w:shd w:val="clear" w:color="auto" w:fill="D9DCE1"/>
          </w:tcPr>
          <w:p>
            <w:pPr>
              <w:ind w:left="40"/>
              <w:spacing w:after="0"/>
              <w:rPr>
                <w:sz w:val="20"/>
                <w:szCs w:val="20"/>
                <w:color w:val="auto"/>
              </w:rPr>
            </w:pPr>
            <w:r>
              <w:rPr>
                <w:rFonts w:ascii="Arial" w:cs="Arial" w:eastAsia="Arial" w:hAnsi="Arial"/>
                <w:sz w:val="18"/>
                <w:szCs w:val="18"/>
                <w:b w:val="1"/>
                <w:bCs w:val="1"/>
                <w:color w:val="auto"/>
              </w:rPr>
              <w:t>Qualitative Goals</w:t>
            </w:r>
          </w:p>
        </w:tc>
        <w:tc>
          <w:tcPr>
            <w:tcW w:w="2760" w:type="dxa"/>
            <w:vAlign w:val="bottom"/>
            <w:tcBorders>
              <w:right w:val="single" w:sz="8" w:color="D9DCE1"/>
            </w:tcBorders>
            <w:shd w:val="clear" w:color="auto" w:fill="D9DCE1"/>
          </w:tcPr>
          <w:p>
            <w:pPr>
              <w:spacing w:after="0"/>
              <w:rPr>
                <w:sz w:val="23"/>
                <w:szCs w:val="23"/>
                <w:color w:val="auto"/>
              </w:rPr>
            </w:pPr>
          </w:p>
        </w:tc>
        <w:tc>
          <w:tcPr>
            <w:tcW w:w="2700" w:type="dxa"/>
            <w:vAlign w:val="bottom"/>
            <w:shd w:val="clear" w:color="auto" w:fill="D9DCE1"/>
          </w:tcPr>
          <w:p>
            <w:pPr>
              <w:spacing w:after="0"/>
              <w:rPr>
                <w:sz w:val="23"/>
                <w:szCs w:val="2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680" w:right="819" w:hanging="172"/>
        <w:spacing w:after="0" w:line="278" w:lineRule="auto"/>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Financial</w:t>
      </w:r>
      <w:r>
        <w:rPr>
          <w:rFonts w:ascii="Arial" w:cs="Arial" w:eastAsia="Arial" w:hAnsi="Arial"/>
          <w:sz w:val="17"/>
          <w:szCs w:val="17"/>
          <w:color w:val="auto"/>
        </w:rPr>
        <w:t>: strengthen financial positioning and flexibility; complete asset sales of $750 million; achieve a total debt to Adjusted EBITDA ratio of 4.75x or lower by year end; and deliver $300 million of free cash flow after distributions (excluding proceeds from asset sales)</w:t>
      </w:r>
    </w:p>
    <w:p>
      <w:pPr>
        <w:spacing w:after="0" w:line="63" w:lineRule="exact"/>
        <w:rPr>
          <w:rFonts w:ascii="Arial" w:cs="Arial" w:eastAsia="Arial" w:hAnsi="Arial"/>
          <w:sz w:val="17"/>
          <w:szCs w:val="17"/>
          <w:color w:val="auto"/>
        </w:rPr>
      </w:pPr>
    </w:p>
    <w:p>
      <w:pPr>
        <w:ind w:left="1680" w:hanging="172"/>
        <w:spacing w:after="0"/>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Investment</w:t>
      </w:r>
      <w:r>
        <w:rPr>
          <w:rFonts w:ascii="Arial" w:cs="Arial" w:eastAsia="Arial" w:hAnsi="Arial"/>
          <w:sz w:val="18"/>
          <w:szCs w:val="18"/>
          <w:color w:val="auto"/>
        </w:rPr>
        <w:t>: maintain capital discipline by limiting capital expenditures to no more than</w:t>
      </w:r>
    </w:p>
    <w:p>
      <w:pPr>
        <w:spacing w:after="0" w:line="9" w:lineRule="exact"/>
        <w:rPr>
          <w:rFonts w:ascii="Arial" w:cs="Arial" w:eastAsia="Arial" w:hAnsi="Arial"/>
          <w:sz w:val="18"/>
          <w:szCs w:val="18"/>
          <w:color w:val="auto"/>
        </w:rPr>
      </w:pPr>
    </w:p>
    <w:p>
      <w:pPr>
        <w:ind w:left="1680" w:right="699"/>
        <w:spacing w:after="0" w:line="261" w:lineRule="auto"/>
        <w:rPr>
          <w:rFonts w:ascii="Arial" w:cs="Arial" w:eastAsia="Arial" w:hAnsi="Arial"/>
          <w:sz w:val="18"/>
          <w:szCs w:val="18"/>
          <w:color w:val="auto"/>
        </w:rPr>
      </w:pPr>
      <w:r>
        <w:rPr>
          <w:rFonts w:ascii="Arial" w:cs="Arial" w:eastAsia="Arial" w:hAnsi="Arial"/>
          <w:sz w:val="18"/>
          <w:szCs w:val="18"/>
          <w:color w:val="auto"/>
        </w:rPr>
        <w:t>$425 million; and advance key projects that will support future growth and returns and optimize existing assets</w:t>
      </w:r>
    </w:p>
    <w:p>
      <w:pPr>
        <w:spacing w:after="0" w:line="62" w:lineRule="exact"/>
        <w:rPr>
          <w:rFonts w:ascii="Arial" w:cs="Arial" w:eastAsia="Arial" w:hAnsi="Arial"/>
          <w:sz w:val="18"/>
          <w:szCs w:val="18"/>
          <w:color w:val="auto"/>
        </w:rPr>
      </w:pPr>
    </w:p>
    <w:p>
      <w:pPr>
        <w:ind w:left="1680" w:right="519" w:hanging="172"/>
        <w:spacing w:after="0" w:line="273" w:lineRule="auto"/>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Operations and Management</w:t>
      </w:r>
      <w:r>
        <w:rPr>
          <w:rFonts w:ascii="Arial" w:cs="Arial" w:eastAsia="Arial" w:hAnsi="Arial"/>
          <w:sz w:val="17"/>
          <w:szCs w:val="17"/>
          <w:color w:val="auto"/>
        </w:rPr>
        <w:t>: advance and complete key programs and initiatives, including convergence efforts, designed to improve the efficiency and scalability of our business processes and information systems; and advance key initiatives related to talent development/management, succession planning, employee wellness and performance management</w:t>
      </w:r>
    </w:p>
    <w:p>
      <w:pPr>
        <w:spacing w:after="0" w:line="136" w:lineRule="exact"/>
        <w:rPr>
          <w:rFonts w:ascii="Arial" w:cs="Arial" w:eastAsia="Arial" w:hAnsi="Arial"/>
          <w:sz w:val="17"/>
          <w:szCs w:val="17"/>
          <w:color w:val="auto"/>
        </w:rPr>
      </w:pPr>
    </w:p>
    <w:p>
      <w:pPr>
        <w:ind w:left="2040" w:right="479" w:hanging="352"/>
        <w:spacing w:after="0" w:line="237" w:lineRule="auto"/>
        <w:tabs>
          <w:tab w:leader="none" w:pos="2040" w:val="left"/>
        </w:tabs>
        <w:numPr>
          <w:ilvl w:val="1"/>
          <w:numId w:val="38"/>
        </w:numPr>
        <w:rPr>
          <w:rFonts w:ascii="Arial" w:cs="Arial" w:eastAsia="Arial" w:hAnsi="Arial"/>
          <w:sz w:val="23"/>
          <w:szCs w:val="23"/>
          <w:color w:val="auto"/>
          <w:vertAlign w:val="superscript"/>
        </w:rPr>
      </w:pPr>
      <w:r>
        <w:rPr>
          <w:rFonts w:ascii="Arial" w:cs="Arial" w:eastAsia="Arial" w:hAnsi="Arial"/>
          <w:sz w:val="18"/>
          <w:szCs w:val="18"/>
          <w:color w:val="auto"/>
        </w:rPr>
        <w:t>Adjusted EBITDA and Implied DCF are non-GAAP financial measures. Information regarding these non-GAAP financial measures, including a reconciliation to the most directly comparable GAAP measures, is included under the caption “Non-GAAP Financial Measures” beginning on page 79 of PAA’s Annual Report on Form 10-K for the year ended December 31, 2021 as filed with the SEC.</w:t>
      </w:r>
    </w:p>
    <w:p>
      <w:pPr>
        <w:spacing w:after="0" w:line="41" w:lineRule="exact"/>
        <w:rPr>
          <w:rFonts w:ascii="Arial" w:cs="Arial" w:eastAsia="Arial" w:hAnsi="Arial"/>
          <w:sz w:val="23"/>
          <w:szCs w:val="23"/>
          <w:color w:val="auto"/>
          <w:vertAlign w:val="superscript"/>
        </w:rPr>
      </w:pPr>
    </w:p>
    <w:p>
      <w:pPr>
        <w:ind w:left="2040" w:right="539" w:hanging="352"/>
        <w:spacing w:after="0" w:line="239" w:lineRule="auto"/>
        <w:tabs>
          <w:tab w:leader="none" w:pos="2040" w:val="left"/>
        </w:tabs>
        <w:numPr>
          <w:ilvl w:val="1"/>
          <w:numId w:val="38"/>
        </w:numPr>
        <w:rPr>
          <w:rFonts w:ascii="Arial" w:cs="Arial" w:eastAsia="Arial" w:hAnsi="Arial"/>
          <w:sz w:val="23"/>
          <w:szCs w:val="23"/>
          <w:color w:val="auto"/>
          <w:vertAlign w:val="superscript"/>
        </w:rPr>
      </w:pPr>
      <w:r>
        <w:rPr>
          <w:rFonts w:ascii="Arial" w:cs="Arial" w:eastAsia="Arial" w:hAnsi="Arial"/>
          <w:sz w:val="18"/>
          <w:szCs w:val="18"/>
          <w:color w:val="auto"/>
        </w:rPr>
        <w:t>For comparison to our 2021 goals, the 2021 results reflected in the table above for Adjusted EBITDA and Implied DCF per common unit and CUE include adjustments to actual amounts reported to exclude approximately $77 million of Adjusted EBITDA attributable to noncontrolling interests in the Plains Oryx Permian Basin LLC joint venture (“Permian JV”) as the financial impact associated with the formation of the Permian JV was not included in the quantitative amounts established for our 2021 goals.</w:t>
      </w:r>
    </w:p>
    <w:p>
      <w:pPr>
        <w:spacing w:after="0" w:line="191"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With respect to the Adjusted EBITDA results included in the table above, we exceeded our goal by 3% driven primarily by volume growth and lower operating expenses.</w:t>
      </w:r>
    </w:p>
    <w:p>
      <w:pPr>
        <w:spacing w:after="0" w:line="117"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In addition to the results set forth in the table above, we also reported Free Cash Flow after Distributions of approximately $1.65 billion, or $780 million excluding proceeds from asset sales (vs. our goal for the year of $300 million).</w:t>
      </w:r>
    </w:p>
    <w:p>
      <w:pPr>
        <w:spacing w:after="0" w:line="134"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We reduced our debt by more than $1 billion (and had $400 million of cash on our balance sheet as of December 31, 2021 reserved for the repayment of senior notes in March 2022); and returned approximately $695 million to common equity holders via distributions and unit repurchases. We exited the year with a total debt to Adjusted EBITDA attributable to PAA multiple of 4.5x and approximately $3.0 billion of committed liquidity. In addition, in November 2021, our credit rating with Moody’s was upgraded to investment grade with a stable outlook.</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480" w:firstLine="360"/>
        <w:spacing w:after="0" w:line="271" w:lineRule="auto"/>
        <w:rPr>
          <w:sz w:val="20"/>
          <w:szCs w:val="20"/>
          <w:color w:val="auto"/>
        </w:rPr>
      </w:pPr>
      <w:r>
        <w:rPr>
          <w:rFonts w:ascii="Arial" w:cs="Arial" w:eastAsia="Arial" w:hAnsi="Arial"/>
          <w:sz w:val="17"/>
          <w:szCs w:val="17"/>
          <w:color w:val="auto"/>
        </w:rPr>
        <w:t>With respect to our stated goals regarding safety and environmental metrics, we did not achieve our 20% reduction targets for federally reportable releases and safety-related total recordable injury rate, experiencing a 33% increase in federally reportable releases and a 10% reduction in recordable injuries. While our 2021 results were less than desired, since 2017, we have improved our safety (TRIR) and environmental (FRR) performance by more than 50% and nearly 40%, respectively.</w:t>
      </w:r>
    </w:p>
    <w:p>
      <w:pPr>
        <w:spacing w:after="0" w:line="111" w:lineRule="exact"/>
        <w:rPr>
          <w:sz w:val="20"/>
          <w:szCs w:val="20"/>
          <w:color w:val="auto"/>
        </w:rPr>
      </w:pPr>
    </w:p>
    <w:p>
      <w:pPr>
        <w:ind w:left="1260" w:right="1300" w:firstLine="360"/>
        <w:spacing w:after="0" w:line="256" w:lineRule="auto"/>
        <w:rPr>
          <w:sz w:val="20"/>
          <w:szCs w:val="20"/>
          <w:color w:val="auto"/>
        </w:rPr>
      </w:pPr>
      <w:r>
        <w:rPr>
          <w:rFonts w:ascii="Arial" w:cs="Arial" w:eastAsia="Arial" w:hAnsi="Arial"/>
          <w:sz w:val="18"/>
          <w:szCs w:val="18"/>
          <w:color w:val="auto"/>
        </w:rPr>
        <w:t>In developing his annual bonus compensation recommendations, our CEO primarily considered the quantitative factors and context described above. Other factors noted by our CEO as being relevant to his assessment of our 2021 performance included the following:</w:t>
      </w:r>
    </w:p>
    <w:p>
      <w:pPr>
        <w:spacing w:after="0" w:line="94" w:lineRule="exact"/>
        <w:rPr>
          <w:sz w:val="20"/>
          <w:szCs w:val="20"/>
          <w:color w:val="auto"/>
        </w:rPr>
      </w:pPr>
    </w:p>
    <w:p>
      <w:pPr>
        <w:ind w:left="1800" w:right="1720" w:hanging="180"/>
        <w:spacing w:after="0" w:line="261"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completed the formation of the Permian JV via a cashless, debt-free and free cash flow accretive transaction;</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completed asset sales of $875 million, which exceeded our target by $125 million;</w:t>
      </w:r>
    </w:p>
    <w:p>
      <w:pPr>
        <w:spacing w:after="0" w:line="117" w:lineRule="exact"/>
        <w:rPr>
          <w:rFonts w:ascii="Arial" w:cs="Arial" w:eastAsia="Arial" w:hAnsi="Arial"/>
          <w:sz w:val="18"/>
          <w:szCs w:val="18"/>
          <w:color w:val="auto"/>
        </w:rPr>
      </w:pPr>
    </w:p>
    <w:p>
      <w:pPr>
        <w:ind w:left="1800" w:right="1660" w:hanging="180"/>
        <w:spacing w:after="0" w:line="261"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reduced capital expenditures by approximately $230 million, or 40% relative to our initial plan;</w:t>
      </w:r>
    </w:p>
    <w:p>
      <w:pPr>
        <w:spacing w:after="0" w:line="89" w:lineRule="exact"/>
        <w:rPr>
          <w:rFonts w:ascii="Arial" w:cs="Arial" w:eastAsia="Arial" w:hAnsi="Arial"/>
          <w:sz w:val="18"/>
          <w:szCs w:val="18"/>
          <w:color w:val="auto"/>
        </w:rPr>
      </w:pPr>
    </w:p>
    <w:p>
      <w:pPr>
        <w:ind w:left="1800" w:right="1280" w:hanging="180"/>
        <w:spacing w:after="0" w:line="261"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Both our Wink-to-Webster and Capline projects commenced partial service and are positioned to commence full service and ramp up volumes in 2022;</w:t>
      </w:r>
    </w:p>
    <w:p>
      <w:pPr>
        <w:spacing w:after="0" w:line="89" w:lineRule="exact"/>
        <w:rPr>
          <w:rFonts w:ascii="Arial" w:cs="Arial" w:eastAsia="Arial" w:hAnsi="Arial"/>
          <w:sz w:val="18"/>
          <w:szCs w:val="18"/>
          <w:color w:val="auto"/>
        </w:rPr>
      </w:pPr>
    </w:p>
    <w:p>
      <w:pPr>
        <w:ind w:left="1800" w:right="1920" w:hanging="180"/>
        <w:spacing w:after="0" w:line="261"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published our first comprehensive Sustainability Report, which included disclosure of Scope 1 and 2 emissions;</w:t>
      </w:r>
    </w:p>
    <w:p>
      <w:pPr>
        <w:spacing w:after="0" w:line="89" w:lineRule="exact"/>
        <w:rPr>
          <w:rFonts w:ascii="Arial" w:cs="Arial" w:eastAsia="Arial" w:hAnsi="Arial"/>
          <w:sz w:val="18"/>
          <w:szCs w:val="18"/>
          <w:color w:val="auto"/>
        </w:rPr>
      </w:pPr>
    </w:p>
    <w:p>
      <w:pPr>
        <w:ind w:left="1800" w:right="1300" w:hanging="180"/>
        <w:spacing w:after="0" w:line="256"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formed a cross-functional Emerging Energy Team, led by a newly appointed VP of Emerging Energy and Process Optimization, focused on positioning PAA to evaluate and participate in emerging energy opportunities;</w:t>
      </w:r>
    </w:p>
    <w:p>
      <w:pPr>
        <w:spacing w:after="0" w:line="93" w:lineRule="exact"/>
        <w:rPr>
          <w:rFonts w:ascii="Arial" w:cs="Arial" w:eastAsia="Arial" w:hAnsi="Arial"/>
          <w:sz w:val="18"/>
          <w:szCs w:val="18"/>
          <w:color w:val="auto"/>
        </w:rPr>
      </w:pPr>
    </w:p>
    <w:p>
      <w:pPr>
        <w:ind w:left="1800" w:right="1760" w:hanging="180"/>
        <w:spacing w:after="0" w:line="256"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formed a Health, Safety, Environmental and Sustainability Board Committee to provide enhanced oversight of our health, safety, environmental and sustainability activities and reporting; and</w:t>
      </w:r>
    </w:p>
    <w:p>
      <w:pPr>
        <w:spacing w:after="0" w:line="93" w:lineRule="exact"/>
        <w:rPr>
          <w:rFonts w:ascii="Arial" w:cs="Arial" w:eastAsia="Arial" w:hAnsi="Arial"/>
          <w:sz w:val="18"/>
          <w:szCs w:val="18"/>
          <w:color w:val="auto"/>
        </w:rPr>
      </w:pPr>
    </w:p>
    <w:p>
      <w:pPr>
        <w:jc w:val="both"/>
        <w:ind w:left="1800" w:right="1340" w:hanging="180"/>
        <w:spacing w:after="0" w:line="254"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enhanced our governance arrangements by amending our underlying governing documents to eliminate the lone remaining previously negotiated “director designation” right, which resulted in all directors being subject to public election and all non-management directors serving on the same basis in terms of their rights, duties and obligations.</w:t>
      </w:r>
    </w:p>
    <w:p>
      <w:pPr>
        <w:spacing w:after="0" w:line="136" w:lineRule="exact"/>
        <w:rPr>
          <w:sz w:val="20"/>
          <w:szCs w:val="20"/>
          <w:color w:val="auto"/>
        </w:rPr>
      </w:pPr>
    </w:p>
    <w:p>
      <w:pPr>
        <w:ind w:left="1260" w:right="1340" w:firstLine="360"/>
        <w:spacing w:after="0" w:line="254" w:lineRule="auto"/>
        <w:rPr>
          <w:sz w:val="20"/>
          <w:szCs w:val="20"/>
          <w:color w:val="auto"/>
        </w:rPr>
      </w:pPr>
      <w:r>
        <w:rPr>
          <w:rFonts w:ascii="Arial" w:cs="Arial" w:eastAsia="Arial" w:hAnsi="Arial"/>
          <w:sz w:val="18"/>
          <w:szCs w:val="18"/>
          <w:color w:val="auto"/>
        </w:rPr>
        <w:t>We also continued to plan for the future within our organizational structure and made a number of changes to improve effectiveness and efficiency, including ongoing development and succession planning efforts, advancement of plans to improve internal systems and processes, and continuation of improvements in the areas of safety, integrity, environmental compliance and sustainability.</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2021 Compensation Elements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2021, the elements of compensation were applied as described below.</w:t>
      </w:r>
    </w:p>
    <w:p>
      <w:pPr>
        <w:spacing w:after="0" w:line="126" w:lineRule="exact"/>
        <w:rPr>
          <w:sz w:val="20"/>
          <w:szCs w:val="20"/>
          <w:color w:val="auto"/>
        </w:rPr>
      </w:pPr>
    </w:p>
    <w:p>
      <w:pPr>
        <w:ind w:left="1260" w:right="1680" w:firstLine="360"/>
        <w:spacing w:after="0" w:line="282"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No salary adjustments for NEOs were recommended or made during 2021. For</w:t>
      </w:r>
      <w:r>
        <w:rPr>
          <w:rFonts w:ascii="Arial" w:cs="Arial" w:eastAsia="Arial" w:hAnsi="Arial"/>
          <w:sz w:val="18"/>
          <w:szCs w:val="18"/>
          <w:i w:val="1"/>
          <w:iCs w:val="1"/>
          <w:color w:val="auto"/>
        </w:rPr>
        <w:t xml:space="preserve"> </w:t>
      </w:r>
      <w:r>
        <w:rPr>
          <w:rFonts w:ascii="Arial" w:cs="Arial" w:eastAsia="Arial" w:hAnsi="Arial"/>
          <w:sz w:val="18"/>
          <w:szCs w:val="18"/>
          <w:color w:val="auto"/>
        </w:rPr>
        <w:t>2021, annual base salaries for the NEOs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640" w:type="dxa"/>
            <w:vAlign w:val="bottom"/>
            <w:tcBorders>
              <w:right w:val="single" w:sz="8" w:color="434F69"/>
            </w:tcBorders>
          </w:tcPr>
          <w:p>
            <w:pPr>
              <w:spacing w:after="0"/>
              <w:rPr>
                <w:sz w:val="24"/>
                <w:szCs w:val="24"/>
                <w:color w:val="auto"/>
              </w:rPr>
            </w:pPr>
          </w:p>
        </w:tc>
        <w:tc>
          <w:tcPr>
            <w:tcW w:w="3600" w:type="dxa"/>
            <w:vAlign w:val="bottom"/>
            <w:tcBorders>
              <w:bottom w:val="single" w:sz="8" w:color="434F69"/>
              <w:right w:val="single" w:sz="8" w:color="434F69"/>
            </w:tcBorders>
            <w:shd w:val="clear" w:color="auto" w:fill="434F69"/>
          </w:tcPr>
          <w:p>
            <w:pPr>
              <w:ind w:left="920"/>
              <w:spacing w:after="0"/>
              <w:rPr>
                <w:sz w:val="20"/>
                <w:szCs w:val="20"/>
                <w:color w:val="auto"/>
              </w:rPr>
            </w:pPr>
            <w:r>
              <w:rPr>
                <w:rFonts w:ascii="Arial" w:cs="Arial" w:eastAsia="Arial" w:hAnsi="Arial"/>
                <w:sz w:val="14"/>
                <w:szCs w:val="14"/>
                <w:b w:val="1"/>
                <w:bCs w:val="1"/>
                <w:color w:val="FFFFFF"/>
              </w:rPr>
              <w:t>Named Executive Officer</w:t>
            </w:r>
          </w:p>
        </w:tc>
        <w:tc>
          <w:tcPr>
            <w:tcW w:w="386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Annual Base Salary</w:t>
            </w:r>
          </w:p>
        </w:tc>
        <w:tc>
          <w:tcPr>
            <w:tcW w:w="1620" w:type="dxa"/>
            <w:vAlign w:val="bottom"/>
          </w:tcPr>
          <w:p>
            <w:pPr>
              <w:spacing w:after="0"/>
              <w:rPr>
                <w:sz w:val="24"/>
                <w:szCs w:val="24"/>
                <w:color w:val="auto"/>
              </w:rPr>
            </w:pPr>
          </w:p>
        </w:tc>
      </w:tr>
      <w:tr>
        <w:trPr>
          <w:trHeight w:val="250"/>
        </w:trPr>
        <w:tc>
          <w:tcPr>
            <w:tcW w:w="1640" w:type="dxa"/>
            <w:vAlign w:val="bottom"/>
            <w:tcBorders>
              <w:right w:val="single" w:sz="8" w:color="434F69"/>
            </w:tcBorders>
          </w:tcPr>
          <w:p>
            <w:pPr>
              <w:spacing w:after="0"/>
              <w:rPr>
                <w:sz w:val="21"/>
                <w:szCs w:val="21"/>
                <w:color w:val="auto"/>
              </w:rPr>
            </w:pPr>
          </w:p>
        </w:tc>
        <w:tc>
          <w:tcPr>
            <w:tcW w:w="3600" w:type="dxa"/>
            <w:vAlign w:val="bottom"/>
            <w:tcBorders>
              <w:bottom w:val="single" w:sz="8" w:color="434F69"/>
              <w:right w:val="single" w:sz="8" w:color="434F69"/>
            </w:tcBorders>
            <w:shd w:val="clear" w:color="auto" w:fill="D9DCE1"/>
          </w:tcPr>
          <w:p>
            <w:pPr>
              <w:ind w:left="40"/>
              <w:spacing w:after="0"/>
              <w:rPr>
                <w:sz w:val="20"/>
                <w:szCs w:val="20"/>
                <w:color w:val="auto"/>
              </w:rPr>
            </w:pPr>
            <w:r>
              <w:rPr>
                <w:rFonts w:ascii="Arial" w:cs="Arial" w:eastAsia="Arial" w:hAnsi="Arial"/>
                <w:sz w:val="18"/>
                <w:szCs w:val="18"/>
                <w:color w:val="auto"/>
              </w:rPr>
              <w:t>Willie Chiang</w:t>
            </w:r>
          </w:p>
        </w:tc>
        <w:tc>
          <w:tcPr>
            <w:tcW w:w="386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$600,000</w:t>
            </w:r>
          </w:p>
        </w:tc>
        <w:tc>
          <w:tcPr>
            <w:tcW w:w="1620" w:type="dxa"/>
            <w:vAlign w:val="bottom"/>
          </w:tcPr>
          <w:p>
            <w:pPr>
              <w:spacing w:after="0"/>
              <w:rPr>
                <w:sz w:val="21"/>
                <w:szCs w:val="21"/>
                <w:color w:val="auto"/>
              </w:rPr>
            </w:pPr>
          </w:p>
        </w:tc>
      </w:tr>
      <w:tr>
        <w:trPr>
          <w:trHeight w:val="250"/>
        </w:trPr>
        <w:tc>
          <w:tcPr>
            <w:tcW w:w="1640" w:type="dxa"/>
            <w:vAlign w:val="bottom"/>
            <w:tcBorders>
              <w:right w:val="single" w:sz="8" w:color="434F69"/>
            </w:tcBorders>
          </w:tcPr>
          <w:p>
            <w:pPr>
              <w:spacing w:after="0"/>
              <w:rPr>
                <w:sz w:val="21"/>
                <w:szCs w:val="21"/>
                <w:color w:val="auto"/>
              </w:rPr>
            </w:pPr>
          </w:p>
        </w:tc>
        <w:tc>
          <w:tcPr>
            <w:tcW w:w="3600" w:type="dxa"/>
            <w:vAlign w:val="bottom"/>
            <w:tcBorders>
              <w:bottom w:val="single" w:sz="8" w:color="434F69"/>
              <w:right w:val="single" w:sz="8" w:color="434F69"/>
            </w:tcBorders>
          </w:tcPr>
          <w:p>
            <w:pPr>
              <w:ind w:left="40"/>
              <w:spacing w:after="0"/>
              <w:rPr>
                <w:sz w:val="20"/>
                <w:szCs w:val="20"/>
                <w:color w:val="auto"/>
              </w:rPr>
            </w:pPr>
            <w:r>
              <w:rPr>
                <w:rFonts w:ascii="Arial" w:cs="Arial" w:eastAsia="Arial" w:hAnsi="Arial"/>
                <w:sz w:val="18"/>
                <w:szCs w:val="18"/>
                <w:color w:val="auto"/>
              </w:rPr>
              <w:t>Harry Pefanis</w:t>
            </w:r>
          </w:p>
        </w:tc>
        <w:tc>
          <w:tcPr>
            <w:tcW w:w="386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rPr>
              <w:t>$400,000</w:t>
            </w:r>
          </w:p>
        </w:tc>
        <w:tc>
          <w:tcPr>
            <w:tcW w:w="1620" w:type="dxa"/>
            <w:vAlign w:val="bottom"/>
          </w:tcPr>
          <w:p>
            <w:pPr>
              <w:spacing w:after="0"/>
              <w:rPr>
                <w:sz w:val="21"/>
                <w:szCs w:val="21"/>
                <w:color w:val="auto"/>
              </w:rPr>
            </w:pPr>
          </w:p>
        </w:tc>
      </w:tr>
      <w:tr>
        <w:trPr>
          <w:trHeight w:val="250"/>
        </w:trPr>
        <w:tc>
          <w:tcPr>
            <w:tcW w:w="1640" w:type="dxa"/>
            <w:vAlign w:val="bottom"/>
            <w:tcBorders>
              <w:right w:val="single" w:sz="8" w:color="434F69"/>
            </w:tcBorders>
          </w:tcPr>
          <w:p>
            <w:pPr>
              <w:spacing w:after="0"/>
              <w:rPr>
                <w:sz w:val="21"/>
                <w:szCs w:val="21"/>
                <w:color w:val="auto"/>
              </w:rPr>
            </w:pPr>
          </w:p>
        </w:tc>
        <w:tc>
          <w:tcPr>
            <w:tcW w:w="3600" w:type="dxa"/>
            <w:vAlign w:val="bottom"/>
            <w:tcBorders>
              <w:bottom w:val="single" w:sz="8" w:color="434F69"/>
              <w:right w:val="single" w:sz="8" w:color="434F69"/>
            </w:tcBorders>
            <w:shd w:val="clear" w:color="auto" w:fill="D9DCE1"/>
          </w:tcPr>
          <w:p>
            <w:pPr>
              <w:ind w:left="40"/>
              <w:spacing w:after="0"/>
              <w:rPr>
                <w:sz w:val="20"/>
                <w:szCs w:val="20"/>
                <w:color w:val="auto"/>
              </w:rPr>
            </w:pPr>
            <w:r>
              <w:rPr>
                <w:rFonts w:ascii="Arial" w:cs="Arial" w:eastAsia="Arial" w:hAnsi="Arial"/>
                <w:sz w:val="18"/>
                <w:szCs w:val="18"/>
                <w:color w:val="auto"/>
              </w:rPr>
              <w:t>Al Swanson</w:t>
            </w:r>
          </w:p>
        </w:tc>
        <w:tc>
          <w:tcPr>
            <w:tcW w:w="386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$400,000</w:t>
            </w:r>
          </w:p>
        </w:tc>
        <w:tc>
          <w:tcPr>
            <w:tcW w:w="1620" w:type="dxa"/>
            <w:vAlign w:val="bottom"/>
          </w:tcPr>
          <w:p>
            <w:pPr>
              <w:spacing w:after="0"/>
              <w:rPr>
                <w:sz w:val="21"/>
                <w:szCs w:val="21"/>
                <w:color w:val="auto"/>
              </w:rPr>
            </w:pPr>
          </w:p>
        </w:tc>
      </w:tr>
      <w:tr>
        <w:trPr>
          <w:trHeight w:val="250"/>
        </w:trPr>
        <w:tc>
          <w:tcPr>
            <w:tcW w:w="1640" w:type="dxa"/>
            <w:vAlign w:val="bottom"/>
            <w:tcBorders>
              <w:right w:val="single" w:sz="8" w:color="434F69"/>
            </w:tcBorders>
          </w:tcPr>
          <w:p>
            <w:pPr>
              <w:spacing w:after="0"/>
              <w:rPr>
                <w:sz w:val="21"/>
                <w:szCs w:val="21"/>
                <w:color w:val="auto"/>
              </w:rPr>
            </w:pPr>
          </w:p>
        </w:tc>
        <w:tc>
          <w:tcPr>
            <w:tcW w:w="3600" w:type="dxa"/>
            <w:vAlign w:val="bottom"/>
            <w:tcBorders>
              <w:bottom w:val="single" w:sz="8" w:color="434F69"/>
              <w:right w:val="single" w:sz="8" w:color="434F69"/>
            </w:tcBorders>
          </w:tcPr>
          <w:p>
            <w:pPr>
              <w:ind w:left="40"/>
              <w:spacing w:after="0"/>
              <w:rPr>
                <w:sz w:val="20"/>
                <w:szCs w:val="20"/>
                <w:color w:val="auto"/>
              </w:rPr>
            </w:pPr>
            <w:r>
              <w:rPr>
                <w:rFonts w:ascii="Arial" w:cs="Arial" w:eastAsia="Arial" w:hAnsi="Arial"/>
                <w:sz w:val="18"/>
                <w:szCs w:val="18"/>
                <w:color w:val="auto"/>
              </w:rPr>
              <w:t>Richard McGee</w:t>
            </w:r>
          </w:p>
        </w:tc>
        <w:tc>
          <w:tcPr>
            <w:tcW w:w="386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rPr>
              <w:t>$400,000</w:t>
            </w:r>
          </w:p>
        </w:tc>
        <w:tc>
          <w:tcPr>
            <w:tcW w:w="1620" w:type="dxa"/>
            <w:vAlign w:val="bottom"/>
          </w:tcPr>
          <w:p>
            <w:pPr>
              <w:spacing w:after="0"/>
              <w:rPr>
                <w:sz w:val="21"/>
                <w:szCs w:val="21"/>
                <w:color w:val="auto"/>
              </w:rPr>
            </w:pPr>
          </w:p>
        </w:tc>
      </w:tr>
      <w:tr>
        <w:trPr>
          <w:trHeight w:val="253"/>
        </w:trPr>
        <w:tc>
          <w:tcPr>
            <w:tcW w:w="1640" w:type="dxa"/>
            <w:vAlign w:val="bottom"/>
            <w:tcBorders>
              <w:right w:val="single" w:sz="8" w:color="434F69"/>
            </w:tcBorders>
          </w:tcPr>
          <w:p>
            <w:pPr>
              <w:spacing w:after="0"/>
              <w:rPr>
                <w:sz w:val="22"/>
                <w:szCs w:val="22"/>
                <w:color w:val="auto"/>
              </w:rPr>
            </w:pPr>
          </w:p>
        </w:tc>
        <w:tc>
          <w:tcPr>
            <w:tcW w:w="3600" w:type="dxa"/>
            <w:vAlign w:val="bottom"/>
            <w:tcBorders>
              <w:bottom w:val="single" w:sz="8" w:color="434F69"/>
              <w:right w:val="single" w:sz="8" w:color="434F69"/>
            </w:tcBorders>
            <w:shd w:val="clear" w:color="auto" w:fill="D9DCE1"/>
          </w:tcPr>
          <w:p>
            <w:pPr>
              <w:ind w:left="40"/>
              <w:spacing w:after="0"/>
              <w:rPr>
                <w:sz w:val="20"/>
                <w:szCs w:val="20"/>
                <w:color w:val="auto"/>
              </w:rPr>
            </w:pPr>
            <w:r>
              <w:rPr>
                <w:rFonts w:ascii="Arial" w:cs="Arial" w:eastAsia="Arial" w:hAnsi="Arial"/>
                <w:sz w:val="18"/>
                <w:szCs w:val="18"/>
                <w:color w:val="auto"/>
              </w:rPr>
              <w:t>Chris Chandler</w:t>
            </w:r>
          </w:p>
        </w:tc>
        <w:tc>
          <w:tcPr>
            <w:tcW w:w="386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$400,000</w:t>
            </w:r>
          </w:p>
        </w:tc>
        <w:tc>
          <w:tcPr>
            <w:tcW w:w="1620" w:type="dxa"/>
            <w:vAlign w:val="bottom"/>
          </w:tcPr>
          <w:p>
            <w:pPr>
              <w:spacing w:after="0"/>
              <w:rPr>
                <w:sz w:val="22"/>
                <w:szCs w:val="22"/>
                <w:color w:val="auto"/>
              </w:rPr>
            </w:pPr>
          </w:p>
        </w:tc>
      </w:tr>
      <w:tr>
        <w:trPr>
          <w:trHeight w:val="247"/>
        </w:trPr>
        <w:tc>
          <w:tcPr>
            <w:tcW w:w="1640" w:type="dxa"/>
            <w:vAlign w:val="bottom"/>
            <w:tcBorders>
              <w:right w:val="single" w:sz="8" w:color="434F69"/>
            </w:tcBorders>
          </w:tcPr>
          <w:p>
            <w:pPr>
              <w:spacing w:after="0"/>
              <w:rPr>
                <w:sz w:val="21"/>
                <w:szCs w:val="21"/>
                <w:color w:val="auto"/>
              </w:rPr>
            </w:pPr>
          </w:p>
        </w:tc>
        <w:tc>
          <w:tcPr>
            <w:tcW w:w="3600" w:type="dxa"/>
            <w:vAlign w:val="bottom"/>
            <w:tcBorders>
              <w:bottom w:val="single" w:sz="8" w:color="434F69"/>
              <w:right w:val="single" w:sz="8" w:color="434F69"/>
            </w:tcBorders>
          </w:tcPr>
          <w:p>
            <w:pPr>
              <w:ind w:left="40"/>
              <w:spacing w:after="0"/>
              <w:rPr>
                <w:sz w:val="20"/>
                <w:szCs w:val="20"/>
                <w:color w:val="auto"/>
              </w:rPr>
            </w:pPr>
            <w:r>
              <w:rPr>
                <w:rFonts w:ascii="Arial" w:cs="Arial" w:eastAsia="Arial" w:hAnsi="Arial"/>
                <w:sz w:val="18"/>
                <w:szCs w:val="18"/>
                <w:color w:val="auto"/>
              </w:rPr>
              <w:t>Jeremy Goebel</w:t>
            </w:r>
          </w:p>
        </w:tc>
        <w:tc>
          <w:tcPr>
            <w:tcW w:w="386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rPr>
              <w:t>$400,000</w:t>
            </w:r>
          </w:p>
        </w:tc>
        <w:tc>
          <w:tcPr>
            <w:tcW w:w="1620" w:type="dxa"/>
            <w:vAlign w:val="bottom"/>
          </w:tcPr>
          <w:p>
            <w:pPr>
              <w:spacing w:after="0"/>
              <w:rPr>
                <w:sz w:val="21"/>
                <w:szCs w:val="21"/>
                <w:color w:val="auto"/>
              </w:rPr>
            </w:pPr>
          </w:p>
        </w:tc>
      </w:tr>
      <w:tr>
        <w:trPr>
          <w:trHeight w:val="607"/>
        </w:trPr>
        <w:tc>
          <w:tcPr>
            <w:tcW w:w="16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60" w:type="dxa"/>
            <w:vAlign w:val="bottom"/>
          </w:tcPr>
          <w:p>
            <w:pPr>
              <w:jc w:val="right"/>
              <w:ind w:right="3572"/>
              <w:spacing w:after="0"/>
              <w:rPr>
                <w:sz w:val="20"/>
                <w:szCs w:val="20"/>
                <w:color w:val="auto"/>
              </w:rPr>
            </w:pPr>
            <w:r>
              <w:rPr>
                <w:rFonts w:ascii="Arial" w:cs="Arial" w:eastAsia="Arial" w:hAnsi="Arial"/>
                <w:sz w:val="18"/>
                <w:szCs w:val="18"/>
                <w:color w:val="auto"/>
                <w:w w:val="89"/>
              </w:rPr>
              <w:t>36</w:t>
            </w:r>
          </w:p>
        </w:tc>
        <w:tc>
          <w:tcPr>
            <w:tcW w:w="1620" w:type="dxa"/>
            <w:vAlign w:val="bottom"/>
          </w:tcPr>
          <w:p>
            <w:pPr>
              <w:spacing w:after="0"/>
              <w:rPr>
                <w:sz w:val="24"/>
                <w:szCs w:val="24"/>
                <w:color w:val="auto"/>
              </w:rPr>
            </w:pPr>
          </w:p>
        </w:tc>
      </w:tr>
      <w:tr>
        <w:trPr>
          <w:trHeight w:val="399"/>
        </w:trPr>
        <w:tc>
          <w:tcPr>
            <w:tcW w:w="16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1119" w:firstLine="360"/>
        <w:spacing w:after="0" w:line="282"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For 2021, annual bonus targets for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expressed as a percentage of base salary, were as follows:</w:t>
      </w:r>
    </w:p>
    <w:p>
      <w:pPr>
        <w:spacing w:after="0" w:line="140" w:lineRule="exact"/>
        <w:rPr>
          <w:sz w:val="20"/>
          <w:szCs w:val="20"/>
          <w:color w:val="auto"/>
        </w:rPr>
      </w:pPr>
    </w:p>
    <w:tbl>
      <w:tblPr>
        <w:tblLayout w:type="fixed"/>
        <w:tblInd w:w="1630" w:type="dxa"/>
        <w:tblCellMar>
          <w:top w:w="0" w:type="dxa"/>
          <w:left w:w="0" w:type="dxa"/>
          <w:bottom w:w="0" w:type="dxa"/>
          <w:right w:w="0" w:type="dxa"/>
        </w:tblCellMar>
      </w:tblPr>
      <w:tr>
        <w:trPr>
          <w:trHeight w:val="243"/>
        </w:trPr>
        <w:tc>
          <w:tcPr>
            <w:tcW w:w="3640" w:type="dxa"/>
            <w:vAlign w:val="bottom"/>
            <w:tcBorders>
              <w:left w:val="single" w:sz="8" w:color="434F69"/>
              <w:right w:val="single" w:sz="8" w:color="434F69"/>
            </w:tcBorders>
            <w:shd w:val="clear" w:color="auto" w:fill="434F69"/>
          </w:tcPr>
          <w:p>
            <w:pPr>
              <w:spacing w:after="0"/>
              <w:rPr>
                <w:sz w:val="21"/>
                <w:szCs w:val="21"/>
                <w:color w:val="auto"/>
              </w:rPr>
            </w:pPr>
          </w:p>
        </w:tc>
        <w:tc>
          <w:tcPr>
            <w:tcW w:w="3840" w:type="dxa"/>
            <w:vAlign w:val="bottom"/>
            <w:tcBorders>
              <w:right w:val="single" w:sz="8" w:color="434F69"/>
            </w:tcBorders>
            <w:shd w:val="clear" w:color="auto" w:fill="434F69"/>
          </w:tcPr>
          <w:p>
            <w:pPr>
              <w:jc w:val="right"/>
              <w:ind w:right="1135"/>
              <w:spacing w:after="0"/>
              <w:rPr>
                <w:sz w:val="20"/>
                <w:szCs w:val="20"/>
                <w:color w:val="auto"/>
              </w:rPr>
            </w:pPr>
            <w:r>
              <w:rPr>
                <w:rFonts w:ascii="Arial" w:cs="Arial" w:eastAsia="Arial" w:hAnsi="Arial"/>
                <w:sz w:val="14"/>
                <w:szCs w:val="14"/>
                <w:b w:val="1"/>
                <w:bCs w:val="1"/>
                <w:color w:val="FFFFFF"/>
              </w:rPr>
              <w:t>Annual Bonus Target</w:t>
            </w:r>
          </w:p>
        </w:tc>
      </w:tr>
      <w:tr>
        <w:trPr>
          <w:trHeight w:val="196"/>
        </w:trPr>
        <w:tc>
          <w:tcPr>
            <w:tcW w:w="3640" w:type="dxa"/>
            <w:vAlign w:val="bottom"/>
            <w:tcBorders>
              <w:left w:val="single" w:sz="8" w:color="434F69"/>
              <w:bottom w:val="single" w:sz="8" w:color="434F69"/>
              <w:right w:val="single" w:sz="8" w:color="434F69"/>
            </w:tcBorders>
            <w:shd w:val="clear" w:color="auto" w:fill="434F69"/>
          </w:tcPr>
          <w:p>
            <w:pPr>
              <w:ind w:left="940"/>
              <w:spacing w:after="0"/>
              <w:rPr>
                <w:sz w:val="20"/>
                <w:szCs w:val="20"/>
                <w:color w:val="auto"/>
              </w:rPr>
            </w:pPr>
            <w:r>
              <w:rPr>
                <w:rFonts w:ascii="Arial" w:cs="Arial" w:eastAsia="Arial" w:hAnsi="Arial"/>
                <w:sz w:val="14"/>
                <w:szCs w:val="14"/>
                <w:b w:val="1"/>
                <w:bCs w:val="1"/>
                <w:color w:val="FFFFFF"/>
              </w:rPr>
              <w:t>Named Executive Officer</w:t>
            </w:r>
          </w:p>
        </w:tc>
        <w:tc>
          <w:tcPr>
            <w:tcW w:w="3840" w:type="dxa"/>
            <w:vAlign w:val="bottom"/>
            <w:tcBorders>
              <w:bottom w:val="single" w:sz="8" w:color="434F69"/>
              <w:right w:val="single" w:sz="8" w:color="434F69"/>
            </w:tcBorders>
            <w:shd w:val="clear" w:color="auto" w:fill="434F69"/>
          </w:tcPr>
          <w:p>
            <w:pPr>
              <w:jc w:val="right"/>
              <w:ind w:right="715"/>
              <w:spacing w:after="0"/>
              <w:rPr>
                <w:sz w:val="20"/>
                <w:szCs w:val="20"/>
                <w:color w:val="auto"/>
              </w:rPr>
            </w:pPr>
            <w:r>
              <w:rPr>
                <w:rFonts w:ascii="Arial" w:cs="Arial" w:eastAsia="Arial" w:hAnsi="Arial"/>
                <w:sz w:val="14"/>
                <w:szCs w:val="14"/>
                <w:b w:val="1"/>
                <w:bCs w:val="1"/>
                <w:color w:val="FFFFFF"/>
              </w:rPr>
              <w:t>(as a Percentage of Base Salary)</w:t>
            </w:r>
          </w:p>
        </w:tc>
      </w:tr>
      <w:tr>
        <w:trPr>
          <w:trHeight w:val="250"/>
        </w:trPr>
        <w:tc>
          <w:tcPr>
            <w:tcW w:w="36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3840" w:type="dxa"/>
            <w:vAlign w:val="bottom"/>
            <w:tcBorders>
              <w:bottom w:val="single" w:sz="8" w:color="434F69"/>
              <w:right w:val="single" w:sz="8" w:color="434F69"/>
            </w:tcBorders>
            <w:shd w:val="clear" w:color="auto" w:fill="D9DCE1"/>
          </w:tcPr>
          <w:p>
            <w:pPr>
              <w:jc w:val="right"/>
              <w:ind w:right="1515"/>
              <w:spacing w:after="0"/>
              <w:rPr>
                <w:sz w:val="20"/>
                <w:szCs w:val="20"/>
                <w:color w:val="auto"/>
              </w:rPr>
            </w:pPr>
            <w:r>
              <w:rPr>
                <w:rFonts w:ascii="Arial" w:cs="Arial" w:eastAsia="Arial" w:hAnsi="Arial"/>
                <w:sz w:val="18"/>
                <w:szCs w:val="18"/>
                <w:color w:val="auto"/>
              </w:rPr>
              <w:t>250%</w:t>
            </w:r>
          </w:p>
        </w:tc>
      </w:tr>
      <w:tr>
        <w:trPr>
          <w:trHeight w:val="250"/>
        </w:trPr>
        <w:tc>
          <w:tcPr>
            <w:tcW w:w="3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3840" w:type="dxa"/>
            <w:vAlign w:val="bottom"/>
            <w:tcBorders>
              <w:bottom w:val="single" w:sz="8" w:color="434F69"/>
              <w:right w:val="single" w:sz="8" w:color="434F69"/>
            </w:tcBorders>
          </w:tcPr>
          <w:p>
            <w:pPr>
              <w:jc w:val="right"/>
              <w:ind w:right="1515"/>
              <w:spacing w:after="0"/>
              <w:rPr>
                <w:sz w:val="20"/>
                <w:szCs w:val="20"/>
                <w:color w:val="auto"/>
              </w:rPr>
            </w:pPr>
            <w:r>
              <w:rPr>
                <w:rFonts w:ascii="Arial" w:cs="Arial" w:eastAsia="Arial" w:hAnsi="Arial"/>
                <w:sz w:val="18"/>
                <w:szCs w:val="18"/>
                <w:color w:val="auto"/>
              </w:rPr>
              <w:t>250%</w:t>
            </w:r>
          </w:p>
        </w:tc>
      </w:tr>
      <w:tr>
        <w:trPr>
          <w:trHeight w:val="250"/>
        </w:trPr>
        <w:tc>
          <w:tcPr>
            <w:tcW w:w="36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3840" w:type="dxa"/>
            <w:vAlign w:val="bottom"/>
            <w:tcBorders>
              <w:bottom w:val="single" w:sz="8" w:color="434F69"/>
              <w:right w:val="single" w:sz="8" w:color="434F69"/>
            </w:tcBorders>
            <w:shd w:val="clear" w:color="auto" w:fill="D9DCE1"/>
          </w:tcPr>
          <w:p>
            <w:pPr>
              <w:jc w:val="right"/>
              <w:ind w:right="1515"/>
              <w:spacing w:after="0"/>
              <w:rPr>
                <w:sz w:val="20"/>
                <w:szCs w:val="20"/>
                <w:color w:val="auto"/>
              </w:rPr>
            </w:pPr>
            <w:r>
              <w:rPr>
                <w:rFonts w:ascii="Arial" w:cs="Arial" w:eastAsia="Arial" w:hAnsi="Arial"/>
                <w:sz w:val="18"/>
                <w:szCs w:val="18"/>
                <w:color w:val="auto"/>
              </w:rPr>
              <w:t>200%</w:t>
            </w:r>
          </w:p>
        </w:tc>
      </w:tr>
      <w:tr>
        <w:trPr>
          <w:trHeight w:val="250"/>
        </w:trPr>
        <w:tc>
          <w:tcPr>
            <w:tcW w:w="3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3840" w:type="dxa"/>
            <w:vAlign w:val="bottom"/>
            <w:tcBorders>
              <w:bottom w:val="single" w:sz="8" w:color="434F69"/>
              <w:right w:val="single" w:sz="8" w:color="434F69"/>
            </w:tcBorders>
          </w:tcPr>
          <w:p>
            <w:pPr>
              <w:jc w:val="right"/>
              <w:ind w:right="1515"/>
              <w:spacing w:after="0"/>
              <w:rPr>
                <w:sz w:val="20"/>
                <w:szCs w:val="20"/>
                <w:color w:val="auto"/>
              </w:rPr>
            </w:pPr>
            <w:r>
              <w:rPr>
                <w:rFonts w:ascii="Arial" w:cs="Arial" w:eastAsia="Arial" w:hAnsi="Arial"/>
                <w:sz w:val="18"/>
                <w:szCs w:val="18"/>
                <w:color w:val="auto"/>
              </w:rPr>
              <w:t>200%</w:t>
            </w:r>
          </w:p>
        </w:tc>
      </w:tr>
      <w:tr>
        <w:trPr>
          <w:trHeight w:val="250"/>
        </w:trPr>
        <w:tc>
          <w:tcPr>
            <w:tcW w:w="36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3840" w:type="dxa"/>
            <w:vAlign w:val="bottom"/>
            <w:tcBorders>
              <w:bottom w:val="single" w:sz="8" w:color="434F69"/>
              <w:right w:val="single" w:sz="8" w:color="434F69"/>
            </w:tcBorders>
            <w:shd w:val="clear" w:color="auto" w:fill="D9DCE1"/>
          </w:tcPr>
          <w:p>
            <w:pPr>
              <w:jc w:val="right"/>
              <w:ind w:right="1515"/>
              <w:spacing w:after="0"/>
              <w:rPr>
                <w:sz w:val="20"/>
                <w:szCs w:val="20"/>
                <w:color w:val="auto"/>
              </w:rPr>
            </w:pPr>
            <w:r>
              <w:rPr>
                <w:rFonts w:ascii="Arial" w:cs="Arial" w:eastAsia="Arial" w:hAnsi="Arial"/>
                <w:sz w:val="18"/>
                <w:szCs w:val="18"/>
                <w:color w:val="auto"/>
              </w:rPr>
              <w:t>200%</w:t>
            </w:r>
          </w:p>
        </w:tc>
      </w:tr>
      <w:tr>
        <w:trPr>
          <w:trHeight w:val="250"/>
        </w:trPr>
        <w:tc>
          <w:tcPr>
            <w:tcW w:w="3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3840" w:type="dxa"/>
            <w:vAlign w:val="bottom"/>
            <w:tcBorders>
              <w:bottom w:val="single" w:sz="8" w:color="434F69"/>
              <w:right w:val="single" w:sz="8" w:color="434F69"/>
            </w:tcBorders>
          </w:tcPr>
          <w:p>
            <w:pPr>
              <w:jc w:val="right"/>
              <w:ind w:right="1515"/>
              <w:spacing w:after="0"/>
              <w:rPr>
                <w:sz w:val="20"/>
                <w:szCs w:val="20"/>
                <w:color w:val="auto"/>
              </w:rPr>
            </w:pPr>
            <w:r>
              <w:rPr>
                <w:rFonts w:ascii="Arial" w:cs="Arial" w:eastAsia="Arial" w:hAnsi="Arial"/>
                <w:sz w:val="18"/>
                <w:szCs w:val="18"/>
                <w:color w:val="auto"/>
              </w:rPr>
              <w:t>200%</w:t>
            </w:r>
          </w:p>
        </w:tc>
      </w:tr>
    </w:tbl>
    <w:p>
      <w:pPr>
        <w:spacing w:after="0" w:line="134"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The goals (and weightings) for 2021 cash incentive awards established at the beginning of the year were company performance (67% overall weighting allocated among Adjusted EBITDA (40%), DCF per common unit and CUE (40%) and safety/environmental (20%)) and individual performance (33% weighting). The minimum and maximum payout levels of 0% and 200%, respectively, for Adjusted EBITDA and DCF per common unit and CUE were set at 92.5% and 110%, respectively, of the applicable target with linear interpolation between those points, while the minimum and maximum payout levels of 0% and 200%, respectively, for safety and environmental metrics were set at 10% improvement and 30% improvement, respectively, with linear interpolation between those points. Individual performance metric payouts were determined by the compensation committee based on its assessment of individual contributions towards our 2021 goals and objectives.</w:t>
      </w:r>
    </w:p>
    <w:p>
      <w:pPr>
        <w:spacing w:after="0" w:line="144" w:lineRule="exact"/>
        <w:rPr>
          <w:sz w:val="20"/>
          <w:szCs w:val="20"/>
          <w:color w:val="auto"/>
        </w:rPr>
      </w:pPr>
    </w:p>
    <w:p>
      <w:pPr>
        <w:ind w:left="1260" w:right="639" w:firstLine="360"/>
        <w:spacing w:after="0" w:line="256" w:lineRule="auto"/>
        <w:rPr>
          <w:sz w:val="20"/>
          <w:szCs w:val="20"/>
          <w:color w:val="auto"/>
        </w:rPr>
      </w:pPr>
      <w:r>
        <w:rPr>
          <w:rFonts w:ascii="Arial" w:cs="Arial" w:eastAsia="Arial" w:hAnsi="Arial"/>
          <w:sz w:val="18"/>
          <w:szCs w:val="18"/>
          <w:color w:val="auto"/>
        </w:rPr>
        <w:t>The tables below reflect the weighting, payout range and actual results for each company performance metric. Individual performance scores and payout calculations are set forth below under “— Individual Performance.”</w:t>
      </w:r>
    </w:p>
    <w:p>
      <w:pPr>
        <w:spacing w:after="0" w:line="180"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Company Performance Payout Thresholds &amp; Ranges: (interpolate between points)</w:t>
      </w:r>
    </w:p>
    <w:p>
      <w:pPr>
        <w:spacing w:after="0" w:line="207" w:lineRule="exact"/>
        <w:rPr>
          <w:sz w:val="20"/>
          <w:szCs w:val="20"/>
          <w:color w:val="auto"/>
        </w:rPr>
      </w:pPr>
    </w:p>
    <w:tbl>
      <w:tblPr>
        <w:tblLayout w:type="fixed"/>
        <w:tblInd w:w="1270" w:type="dxa"/>
        <w:tblCellMar>
          <w:top w:w="0" w:type="dxa"/>
          <w:left w:w="0" w:type="dxa"/>
          <w:bottom w:w="0" w:type="dxa"/>
          <w:right w:w="0" w:type="dxa"/>
        </w:tblCellMar>
      </w:tblPr>
      <w:tr>
        <w:trPr>
          <w:trHeight w:val="263"/>
        </w:trPr>
        <w:tc>
          <w:tcPr>
            <w:tcW w:w="2400" w:type="dxa"/>
            <w:vAlign w:val="bottom"/>
            <w:tcBorders>
              <w:left w:val="single" w:sz="8" w:color="434F69"/>
              <w:bottom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(67% weighting)</w:t>
            </w:r>
          </w:p>
        </w:tc>
        <w:tc>
          <w:tcPr>
            <w:tcW w:w="740" w:type="dxa"/>
            <w:vAlign w:val="bottom"/>
            <w:tcBorders>
              <w:bottom w:val="single" w:sz="8" w:color="434F69"/>
            </w:tcBorders>
            <w:shd w:val="clear" w:color="auto" w:fill="434F69"/>
          </w:tcPr>
          <w:p>
            <w:pPr>
              <w:spacing w:after="0"/>
              <w:rPr>
                <w:sz w:val="22"/>
                <w:szCs w:val="22"/>
                <w:color w:val="auto"/>
              </w:rPr>
            </w:pPr>
          </w:p>
        </w:tc>
        <w:tc>
          <w:tcPr>
            <w:tcW w:w="340" w:type="dxa"/>
            <w:vAlign w:val="bottom"/>
            <w:tcBorders>
              <w:bottom w:val="single" w:sz="8" w:color="434F69"/>
            </w:tcBorders>
            <w:shd w:val="clear" w:color="auto" w:fill="434F69"/>
          </w:tcPr>
          <w:p>
            <w:pPr>
              <w:spacing w:after="0"/>
              <w:rPr>
                <w:sz w:val="22"/>
                <w:szCs w:val="22"/>
                <w:color w:val="auto"/>
              </w:rPr>
            </w:pPr>
          </w:p>
        </w:tc>
        <w:tc>
          <w:tcPr>
            <w:tcW w:w="1380" w:type="dxa"/>
            <w:vAlign w:val="bottom"/>
            <w:tcBorders>
              <w:bottom w:val="single" w:sz="8" w:color="434F69"/>
            </w:tcBorders>
            <w:gridSpan w:val="3"/>
            <w:shd w:val="clear" w:color="auto" w:fill="434F69"/>
          </w:tcPr>
          <w:p>
            <w:pPr>
              <w:jc w:val="center"/>
              <w:ind w:left="114"/>
              <w:spacing w:after="0"/>
              <w:rPr>
                <w:sz w:val="20"/>
                <w:szCs w:val="20"/>
                <w:color w:val="auto"/>
              </w:rPr>
            </w:pPr>
            <w:r>
              <w:rPr>
                <w:rFonts w:ascii="Arial" w:cs="Arial" w:eastAsia="Arial" w:hAnsi="Arial"/>
                <w:sz w:val="14"/>
                <w:szCs w:val="14"/>
                <w:b w:val="1"/>
                <w:bCs w:val="1"/>
                <w:color w:val="FFFFFF"/>
              </w:rPr>
              <w:t>Threshold</w:t>
            </w:r>
          </w:p>
        </w:tc>
        <w:tc>
          <w:tcPr>
            <w:tcW w:w="800" w:type="dxa"/>
            <w:vAlign w:val="bottom"/>
            <w:tcBorders>
              <w:bottom w:val="single" w:sz="8" w:color="434F69"/>
            </w:tcBorders>
            <w:gridSpan w:val="2"/>
            <w:shd w:val="clear" w:color="auto" w:fill="434F69"/>
          </w:tcPr>
          <w:p>
            <w:pPr>
              <w:ind w:left="60"/>
              <w:spacing w:after="0"/>
              <w:rPr>
                <w:sz w:val="20"/>
                <w:szCs w:val="20"/>
                <w:color w:val="auto"/>
              </w:rPr>
            </w:pPr>
            <w:r>
              <w:rPr>
                <w:rFonts w:ascii="Arial" w:cs="Arial" w:eastAsia="Arial" w:hAnsi="Arial"/>
                <w:sz w:val="14"/>
                <w:szCs w:val="14"/>
                <w:b w:val="1"/>
                <w:bCs w:val="1"/>
                <w:color w:val="FFFFFF"/>
              </w:rPr>
              <w:t>Target</w:t>
            </w:r>
          </w:p>
        </w:tc>
        <w:tc>
          <w:tcPr>
            <w:tcW w:w="780" w:type="dxa"/>
            <w:vAlign w:val="bottom"/>
            <w:tcBorders>
              <w:bottom w:val="single" w:sz="8" w:color="434F69"/>
              <w:right w:val="single" w:sz="8" w:color="auto"/>
            </w:tcBorders>
            <w:gridSpan w:val="2"/>
            <w:shd w:val="clear" w:color="auto" w:fill="434F69"/>
          </w:tcPr>
          <w:p>
            <w:pPr>
              <w:jc w:val="right"/>
              <w:ind w:right="233"/>
              <w:spacing w:after="0"/>
              <w:rPr>
                <w:sz w:val="20"/>
                <w:szCs w:val="20"/>
                <w:color w:val="auto"/>
              </w:rPr>
            </w:pPr>
            <w:r>
              <w:rPr>
                <w:rFonts w:ascii="Arial" w:cs="Arial" w:eastAsia="Arial" w:hAnsi="Arial"/>
                <w:sz w:val="14"/>
                <w:szCs w:val="14"/>
                <w:b w:val="1"/>
                <w:bCs w:val="1"/>
                <w:color w:val="FFFFFF"/>
              </w:rPr>
              <w:t>Max</w:t>
            </w: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left w:val="single" w:sz="8" w:color="434F69"/>
              <w:bottom w:val="single" w:sz="8" w:color="434F69"/>
            </w:tcBorders>
            <w:gridSpan w:val="4"/>
            <w:shd w:val="clear" w:color="auto" w:fill="D9DCE1"/>
          </w:tcPr>
          <w:p>
            <w:pPr>
              <w:jc w:val="right"/>
              <w:ind w:right="214"/>
              <w:spacing w:after="0"/>
              <w:rPr>
                <w:sz w:val="20"/>
                <w:szCs w:val="20"/>
                <w:color w:val="auto"/>
              </w:rPr>
            </w:pPr>
            <w:r>
              <w:rPr>
                <w:rFonts w:ascii="Arial" w:cs="Arial" w:eastAsia="Arial" w:hAnsi="Arial"/>
                <w:sz w:val="18"/>
                <w:szCs w:val="18"/>
                <w:color w:val="auto"/>
              </w:rPr>
              <w:t>Adjusted EBITDA/DCF (% Target)</w:t>
            </w:r>
          </w:p>
        </w:tc>
        <w:tc>
          <w:tcPr>
            <w:tcW w:w="840" w:type="dxa"/>
            <w:vAlign w:val="bottom"/>
            <w:tcBorders>
              <w:bottom w:val="single" w:sz="8" w:color="434F69"/>
            </w:tcBorders>
            <w:gridSpan w:val="2"/>
            <w:shd w:val="clear" w:color="auto" w:fill="D9DCE1"/>
          </w:tcPr>
          <w:p>
            <w:pPr>
              <w:jc w:val="right"/>
              <w:ind w:right="110"/>
              <w:spacing w:after="0"/>
              <w:rPr>
                <w:sz w:val="20"/>
                <w:szCs w:val="20"/>
                <w:color w:val="auto"/>
              </w:rPr>
            </w:pPr>
            <w:r>
              <w:rPr>
                <w:rFonts w:ascii="Arial" w:cs="Arial" w:eastAsia="Arial" w:hAnsi="Arial"/>
                <w:sz w:val="18"/>
                <w:szCs w:val="18"/>
                <w:color w:val="auto"/>
              </w:rPr>
              <w:t>92.50%</w:t>
            </w:r>
          </w:p>
        </w:tc>
        <w:tc>
          <w:tcPr>
            <w:tcW w:w="800" w:type="dxa"/>
            <w:vAlign w:val="bottom"/>
            <w:tcBorders>
              <w:bottom w:val="single" w:sz="8" w:color="434F69"/>
            </w:tcBorders>
            <w:gridSpan w:val="2"/>
            <w:shd w:val="clear" w:color="auto" w:fill="D9DCE1"/>
          </w:tcPr>
          <w:p>
            <w:pPr>
              <w:ind w:left="140"/>
              <w:spacing w:after="0"/>
              <w:rPr>
                <w:sz w:val="20"/>
                <w:szCs w:val="20"/>
                <w:color w:val="auto"/>
              </w:rPr>
            </w:pPr>
            <w:r>
              <w:rPr>
                <w:rFonts w:ascii="Arial" w:cs="Arial" w:eastAsia="Arial" w:hAnsi="Arial"/>
                <w:sz w:val="18"/>
                <w:szCs w:val="18"/>
                <w:color w:val="auto"/>
              </w:rPr>
              <w:t>100%</w:t>
            </w:r>
          </w:p>
        </w:tc>
        <w:tc>
          <w:tcPr>
            <w:tcW w:w="780" w:type="dxa"/>
            <w:vAlign w:val="bottom"/>
            <w:tcBorders>
              <w:bottom w:val="single" w:sz="8" w:color="434F69"/>
              <w:right w:val="single" w:sz="8" w:color="auto"/>
            </w:tcBorders>
            <w:gridSpan w:val="2"/>
            <w:shd w:val="clear" w:color="auto" w:fill="D9DCE1"/>
          </w:tcPr>
          <w:p>
            <w:pPr>
              <w:jc w:val="right"/>
              <w:ind w:right="53"/>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20" w:type="dxa"/>
            <w:vAlign w:val="bottom"/>
            <w:tcBorders>
              <w:left w:val="single" w:sz="8" w:color="434F69"/>
              <w:bottom w:val="single" w:sz="8" w:color="434F69"/>
            </w:tcBorders>
            <w:gridSpan w:val="4"/>
          </w:tcPr>
          <w:p>
            <w:pPr>
              <w:jc w:val="right"/>
              <w:ind w:right="214"/>
              <w:spacing w:after="0"/>
              <w:rPr>
                <w:sz w:val="20"/>
                <w:szCs w:val="20"/>
                <w:color w:val="auto"/>
              </w:rPr>
            </w:pPr>
            <w:r>
              <w:rPr>
                <w:rFonts w:ascii="Arial" w:cs="Arial" w:eastAsia="Arial" w:hAnsi="Arial"/>
                <w:sz w:val="18"/>
                <w:szCs w:val="18"/>
                <w:color w:val="auto"/>
              </w:rPr>
              <w:t>Safety/Env Reduction vs. ‘20 (% Target)</w:t>
            </w:r>
          </w:p>
        </w:tc>
        <w:tc>
          <w:tcPr>
            <w:tcW w:w="840" w:type="dxa"/>
            <w:vAlign w:val="bottom"/>
            <w:tcBorders>
              <w:bottom w:val="single" w:sz="8" w:color="434F69"/>
            </w:tcBorders>
            <w:gridSpan w:val="2"/>
          </w:tcPr>
          <w:p>
            <w:pPr>
              <w:jc w:val="right"/>
              <w:ind w:right="110"/>
              <w:spacing w:after="0"/>
              <w:rPr>
                <w:sz w:val="20"/>
                <w:szCs w:val="20"/>
                <w:color w:val="auto"/>
              </w:rPr>
            </w:pPr>
            <w:r>
              <w:rPr>
                <w:rFonts w:ascii="Arial" w:cs="Arial" w:eastAsia="Arial" w:hAnsi="Arial"/>
                <w:sz w:val="18"/>
                <w:szCs w:val="18"/>
                <w:color w:val="auto"/>
              </w:rPr>
              <w:t>-10%</w:t>
            </w:r>
          </w:p>
        </w:tc>
        <w:tc>
          <w:tcPr>
            <w:tcW w:w="800" w:type="dxa"/>
            <w:vAlign w:val="bottom"/>
            <w:tcBorders>
              <w:bottom w:val="single" w:sz="8" w:color="434F69"/>
            </w:tcBorders>
            <w:gridSpan w:val="2"/>
          </w:tcPr>
          <w:p>
            <w:pPr>
              <w:jc w:val="right"/>
              <w:ind w:right="114"/>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434F69"/>
            </w:tcBorders>
          </w:tcPr>
          <w:p>
            <w:pPr>
              <w:spacing w:after="0"/>
              <w:rPr>
                <w:sz w:val="22"/>
                <w:szCs w:val="22"/>
                <w:color w:val="auto"/>
              </w:rPr>
            </w:pPr>
          </w:p>
        </w:tc>
        <w:tc>
          <w:tcPr>
            <w:tcW w:w="560" w:type="dxa"/>
            <w:vAlign w:val="bottom"/>
            <w:tcBorders>
              <w:bottom w:val="single" w:sz="8" w:color="434F69"/>
              <w:right w:val="single" w:sz="8" w:color="auto"/>
            </w:tcBorders>
          </w:tcPr>
          <w:p>
            <w:pPr>
              <w:jc w:val="right"/>
              <w:ind w:right="53"/>
              <w:spacing w:after="0"/>
              <w:rPr>
                <w:sz w:val="20"/>
                <w:szCs w:val="20"/>
                <w:color w:val="auto"/>
              </w:rPr>
            </w:pPr>
            <w:r>
              <w:rPr>
                <w:rFonts w:ascii="Arial" w:cs="Arial" w:eastAsia="Arial" w:hAnsi="Arial"/>
                <w:sz w:val="18"/>
                <w:szCs w:val="18"/>
                <w:color w:val="auto"/>
                <w:w w:val="95"/>
              </w:rPr>
              <w:t>-30%</w:t>
            </w:r>
          </w:p>
        </w:tc>
        <w:tc>
          <w:tcPr>
            <w:tcW w:w="80" w:type="dxa"/>
            <w:vAlign w:val="bottom"/>
          </w:tcPr>
          <w:p>
            <w:pPr>
              <w:spacing w:after="0"/>
              <w:rPr>
                <w:sz w:val="22"/>
                <w:szCs w:val="22"/>
                <w:color w:val="auto"/>
              </w:rPr>
            </w:pPr>
          </w:p>
        </w:tc>
        <w:tc>
          <w:tcPr>
            <w:tcW w:w="1700" w:type="dxa"/>
            <w:vAlign w:val="bottom"/>
            <w:gridSpan w:val="2"/>
            <w:vMerge w:val="restart"/>
          </w:tcPr>
          <w:p>
            <w:pPr>
              <w:jc w:val="right"/>
              <w:ind w:right="53"/>
              <w:spacing w:after="0"/>
              <w:rPr>
                <w:sz w:val="20"/>
                <w:szCs w:val="20"/>
                <w:color w:val="auto"/>
              </w:rPr>
            </w:pPr>
            <w:r>
              <w:rPr>
                <w:rFonts w:ascii="Arial" w:cs="Arial" w:eastAsia="Arial" w:hAnsi="Arial"/>
                <w:sz w:val="14"/>
                <w:szCs w:val="14"/>
                <w:b w:val="1"/>
                <w:bCs w:val="1"/>
                <w:color w:val="auto"/>
              </w:rPr>
              <w:t>2021 Formulaic Payout</w:t>
            </w:r>
          </w:p>
        </w:tc>
        <w:tc>
          <w:tcPr>
            <w:tcW w:w="0" w:type="dxa"/>
            <w:vAlign w:val="bottom"/>
          </w:tcPr>
          <w:p>
            <w:pPr>
              <w:spacing w:after="0"/>
              <w:rPr>
                <w:sz w:val="1"/>
                <w:szCs w:val="1"/>
                <w:color w:val="auto"/>
              </w:rPr>
            </w:pPr>
          </w:p>
        </w:tc>
      </w:tr>
      <w:tr>
        <w:trPr>
          <w:trHeight w:val="95"/>
        </w:trPr>
        <w:tc>
          <w:tcPr>
            <w:tcW w:w="2400" w:type="dxa"/>
            <w:vAlign w:val="bottom"/>
            <w:tcBorders>
              <w:left w:val="single" w:sz="8" w:color="434F69"/>
            </w:tcBorders>
            <w:shd w:val="clear" w:color="auto" w:fill="D9DCE1"/>
          </w:tcPr>
          <w:p>
            <w:pPr>
              <w:spacing w:after="0"/>
              <w:rPr>
                <w:sz w:val="8"/>
                <w:szCs w:val="8"/>
                <w:color w:val="auto"/>
              </w:rPr>
            </w:pPr>
          </w:p>
        </w:tc>
        <w:tc>
          <w:tcPr>
            <w:tcW w:w="740" w:type="dxa"/>
            <w:vAlign w:val="bottom"/>
            <w:shd w:val="clear" w:color="auto" w:fill="D9DCE1"/>
          </w:tcPr>
          <w:p>
            <w:pPr>
              <w:spacing w:after="0"/>
              <w:rPr>
                <w:sz w:val="8"/>
                <w:szCs w:val="8"/>
                <w:color w:val="auto"/>
              </w:rPr>
            </w:pPr>
          </w:p>
        </w:tc>
        <w:tc>
          <w:tcPr>
            <w:tcW w:w="880" w:type="dxa"/>
            <w:vAlign w:val="bottom"/>
            <w:gridSpan w:val="2"/>
            <w:vMerge w:val="restart"/>
            <w:shd w:val="clear" w:color="auto" w:fill="D9DCE1"/>
          </w:tcPr>
          <w:p>
            <w:pPr>
              <w:jc w:val="right"/>
              <w:ind w:right="214"/>
              <w:spacing w:after="0"/>
              <w:rPr>
                <w:sz w:val="20"/>
                <w:szCs w:val="20"/>
                <w:color w:val="auto"/>
              </w:rPr>
            </w:pPr>
            <w:r>
              <w:rPr>
                <w:rFonts w:ascii="Arial" w:cs="Arial" w:eastAsia="Arial" w:hAnsi="Arial"/>
                <w:sz w:val="18"/>
                <w:szCs w:val="18"/>
                <w:color w:val="auto"/>
                <w:w w:val="99"/>
              </w:rPr>
              <w:t>Payout</w:t>
            </w:r>
          </w:p>
        </w:tc>
        <w:tc>
          <w:tcPr>
            <w:tcW w:w="300" w:type="dxa"/>
            <w:vAlign w:val="bottom"/>
            <w:shd w:val="clear" w:color="auto" w:fill="D9DCE1"/>
          </w:tcPr>
          <w:p>
            <w:pPr>
              <w:spacing w:after="0"/>
              <w:rPr>
                <w:sz w:val="8"/>
                <w:szCs w:val="8"/>
                <w:color w:val="auto"/>
              </w:rPr>
            </w:pPr>
          </w:p>
        </w:tc>
        <w:tc>
          <w:tcPr>
            <w:tcW w:w="540" w:type="dxa"/>
            <w:vAlign w:val="bottom"/>
            <w:vMerge w:val="restart"/>
            <w:shd w:val="clear" w:color="auto" w:fill="D9DCE1"/>
          </w:tcPr>
          <w:p>
            <w:pPr>
              <w:jc w:val="right"/>
              <w:ind w:right="110"/>
              <w:spacing w:after="0"/>
              <w:rPr>
                <w:sz w:val="20"/>
                <w:szCs w:val="20"/>
                <w:color w:val="auto"/>
              </w:rPr>
            </w:pPr>
            <w:r>
              <w:rPr>
                <w:rFonts w:ascii="Arial" w:cs="Arial" w:eastAsia="Arial" w:hAnsi="Arial"/>
                <w:sz w:val="18"/>
                <w:szCs w:val="18"/>
                <w:color w:val="auto"/>
              </w:rPr>
              <w:t>0%</w:t>
            </w:r>
          </w:p>
        </w:tc>
        <w:tc>
          <w:tcPr>
            <w:tcW w:w="800" w:type="dxa"/>
            <w:vAlign w:val="bottom"/>
            <w:gridSpan w:val="2"/>
            <w:vMerge w:val="restart"/>
            <w:shd w:val="clear" w:color="auto" w:fill="D9DCE1"/>
          </w:tcPr>
          <w:p>
            <w:pPr>
              <w:ind w:left="140"/>
              <w:spacing w:after="0"/>
              <w:rPr>
                <w:sz w:val="20"/>
                <w:szCs w:val="20"/>
                <w:color w:val="auto"/>
              </w:rPr>
            </w:pPr>
            <w:r>
              <w:rPr>
                <w:rFonts w:ascii="Arial" w:cs="Arial" w:eastAsia="Arial" w:hAnsi="Arial"/>
                <w:sz w:val="18"/>
                <w:szCs w:val="18"/>
                <w:color w:val="auto"/>
              </w:rPr>
              <w:t>100%</w:t>
            </w:r>
          </w:p>
        </w:tc>
        <w:tc>
          <w:tcPr>
            <w:tcW w:w="780" w:type="dxa"/>
            <w:vAlign w:val="bottom"/>
            <w:tcBorders>
              <w:right w:val="single" w:sz="8" w:color="auto"/>
            </w:tcBorders>
            <w:gridSpan w:val="2"/>
            <w:vMerge w:val="restart"/>
            <w:shd w:val="clear" w:color="auto" w:fill="D9DCE1"/>
          </w:tcPr>
          <w:p>
            <w:pPr>
              <w:jc w:val="right"/>
              <w:ind w:right="53"/>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400" w:type="dxa"/>
            <w:vAlign w:val="bottom"/>
            <w:tcBorders>
              <w:left w:val="single" w:sz="8" w:color="434F69"/>
              <w:bottom w:val="single" w:sz="8" w:color="434F69"/>
            </w:tcBorders>
            <w:shd w:val="clear" w:color="auto" w:fill="D9DCE1"/>
          </w:tcPr>
          <w:p>
            <w:pPr>
              <w:spacing w:after="0"/>
              <w:rPr>
                <w:sz w:val="15"/>
                <w:szCs w:val="15"/>
                <w:color w:val="auto"/>
              </w:rPr>
            </w:pPr>
          </w:p>
        </w:tc>
        <w:tc>
          <w:tcPr>
            <w:tcW w:w="740" w:type="dxa"/>
            <w:vAlign w:val="bottom"/>
            <w:tcBorders>
              <w:bottom w:val="single" w:sz="8" w:color="434F69"/>
            </w:tcBorders>
            <w:shd w:val="clear" w:color="auto" w:fill="D9DCE1"/>
          </w:tcPr>
          <w:p>
            <w:pPr>
              <w:spacing w:after="0"/>
              <w:rPr>
                <w:sz w:val="15"/>
                <w:szCs w:val="15"/>
                <w:color w:val="auto"/>
              </w:rPr>
            </w:pPr>
          </w:p>
        </w:tc>
        <w:tc>
          <w:tcPr>
            <w:tcW w:w="880" w:type="dxa"/>
            <w:vAlign w:val="bottom"/>
            <w:tcBorders>
              <w:bottom w:val="single" w:sz="8" w:color="434F69"/>
            </w:tcBorders>
            <w:gridSpan w:val="2"/>
            <w:vMerge w:val="continue"/>
            <w:shd w:val="clear" w:color="auto" w:fill="D9DCE1"/>
          </w:tcPr>
          <w:p>
            <w:pPr>
              <w:spacing w:after="0"/>
              <w:rPr>
                <w:sz w:val="15"/>
                <w:szCs w:val="15"/>
                <w:color w:val="auto"/>
              </w:rPr>
            </w:pPr>
          </w:p>
        </w:tc>
        <w:tc>
          <w:tcPr>
            <w:tcW w:w="300" w:type="dxa"/>
            <w:vAlign w:val="bottom"/>
            <w:tcBorders>
              <w:bottom w:val="single" w:sz="8" w:color="434F69"/>
            </w:tcBorders>
            <w:shd w:val="clear" w:color="auto" w:fill="D9DCE1"/>
          </w:tcPr>
          <w:p>
            <w:pPr>
              <w:spacing w:after="0"/>
              <w:rPr>
                <w:sz w:val="15"/>
                <w:szCs w:val="15"/>
                <w:color w:val="auto"/>
              </w:rPr>
            </w:pPr>
          </w:p>
        </w:tc>
        <w:tc>
          <w:tcPr>
            <w:tcW w:w="540" w:type="dxa"/>
            <w:vAlign w:val="bottom"/>
            <w:tcBorders>
              <w:bottom w:val="single" w:sz="8" w:color="434F69"/>
            </w:tcBorders>
            <w:vMerge w:val="continue"/>
            <w:shd w:val="clear" w:color="auto" w:fill="D9DCE1"/>
          </w:tcPr>
          <w:p>
            <w:pPr>
              <w:spacing w:after="0"/>
              <w:rPr>
                <w:sz w:val="15"/>
                <w:szCs w:val="15"/>
                <w:color w:val="auto"/>
              </w:rPr>
            </w:pPr>
          </w:p>
        </w:tc>
        <w:tc>
          <w:tcPr>
            <w:tcW w:w="800" w:type="dxa"/>
            <w:vAlign w:val="bottom"/>
            <w:tcBorders>
              <w:bottom w:val="single" w:sz="8" w:color="434F69"/>
            </w:tcBorders>
            <w:gridSpan w:val="2"/>
            <w:vMerge w:val="continue"/>
            <w:shd w:val="clear" w:color="auto" w:fill="D9DCE1"/>
          </w:tcPr>
          <w:p>
            <w:pPr>
              <w:spacing w:after="0"/>
              <w:rPr>
                <w:sz w:val="15"/>
                <w:szCs w:val="15"/>
                <w:color w:val="auto"/>
              </w:rPr>
            </w:pPr>
          </w:p>
        </w:tc>
        <w:tc>
          <w:tcPr>
            <w:tcW w:w="780" w:type="dxa"/>
            <w:vAlign w:val="bottom"/>
            <w:tcBorders>
              <w:bottom w:val="single" w:sz="8" w:color="434F69"/>
              <w:right w:val="single" w:sz="8" w:color="auto"/>
            </w:tcBorders>
            <w:gridSpan w:val="2"/>
            <w:vMerge w:val="continue"/>
            <w:shd w:val="clear" w:color="auto" w:fill="D9DCE1"/>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jc w:val="right"/>
              <w:ind w:right="413"/>
              <w:spacing w:after="0"/>
              <w:rPr>
                <w:sz w:val="20"/>
                <w:szCs w:val="20"/>
                <w:color w:val="auto"/>
              </w:rPr>
            </w:pPr>
            <w:r>
              <w:rPr>
                <w:rFonts w:ascii="Arial" w:cs="Arial" w:eastAsia="Arial" w:hAnsi="Arial"/>
                <w:sz w:val="14"/>
                <w:szCs w:val="14"/>
                <w:b w:val="1"/>
                <w:bCs w:val="1"/>
                <w:color w:val="auto"/>
              </w:rPr>
              <w:t>Calculation</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gridSpan w:val="2"/>
          </w:tcPr>
          <w:p>
            <w:pPr>
              <w:spacing w:after="0"/>
              <w:rPr>
                <w:sz w:val="12"/>
                <w:szCs w:val="12"/>
                <w:color w:val="auto"/>
              </w:rPr>
            </w:pPr>
          </w:p>
        </w:tc>
        <w:tc>
          <w:tcPr>
            <w:tcW w:w="84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0" w:type="dxa"/>
            <w:vAlign w:val="bottom"/>
            <w:tcBorders>
              <w:left w:val="single" w:sz="8" w:color="434F69"/>
              <w:bottom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Company Performance Metrics</w:t>
            </w:r>
          </w:p>
        </w:tc>
        <w:tc>
          <w:tcPr>
            <w:tcW w:w="740" w:type="dxa"/>
            <w:vAlign w:val="bottom"/>
            <w:tcBorders>
              <w:bottom w:val="single" w:sz="8" w:color="434F69"/>
            </w:tcBorders>
            <w:shd w:val="clear" w:color="auto" w:fill="434F69"/>
          </w:tcPr>
          <w:p>
            <w:pPr>
              <w:jc w:val="right"/>
              <w:spacing w:after="0"/>
              <w:rPr>
                <w:sz w:val="20"/>
                <w:szCs w:val="20"/>
                <w:color w:val="auto"/>
              </w:rPr>
            </w:pPr>
            <w:r>
              <w:rPr>
                <w:rFonts w:ascii="Arial" w:cs="Arial" w:eastAsia="Arial" w:hAnsi="Arial"/>
                <w:sz w:val="14"/>
                <w:szCs w:val="14"/>
                <w:b w:val="1"/>
                <w:bCs w:val="1"/>
                <w:color w:val="FFFFFF"/>
              </w:rPr>
              <w:t>Weight</w:t>
            </w:r>
          </w:p>
        </w:tc>
        <w:tc>
          <w:tcPr>
            <w:tcW w:w="880" w:type="dxa"/>
            <w:vAlign w:val="bottom"/>
            <w:tcBorders>
              <w:bottom w:val="single" w:sz="8" w:color="434F69"/>
            </w:tcBorders>
            <w:gridSpan w:val="2"/>
            <w:shd w:val="clear" w:color="auto" w:fill="434F69"/>
          </w:tcPr>
          <w:p>
            <w:pPr>
              <w:jc w:val="right"/>
              <w:spacing w:after="0"/>
              <w:rPr>
                <w:sz w:val="20"/>
                <w:szCs w:val="20"/>
                <w:color w:val="auto"/>
              </w:rPr>
            </w:pPr>
            <w:r>
              <w:rPr>
                <w:rFonts w:ascii="Arial" w:cs="Arial" w:eastAsia="Arial" w:hAnsi="Arial"/>
                <w:sz w:val="14"/>
                <w:szCs w:val="14"/>
                <w:b w:val="1"/>
                <w:bCs w:val="1"/>
                <w:color w:val="FFFFFF"/>
              </w:rPr>
              <w:t>Threshold</w:t>
            </w:r>
          </w:p>
        </w:tc>
        <w:tc>
          <w:tcPr>
            <w:tcW w:w="840" w:type="dxa"/>
            <w:vAlign w:val="bottom"/>
            <w:tcBorders>
              <w:bottom w:val="single" w:sz="8" w:color="434F69"/>
            </w:tcBorders>
            <w:gridSpan w:val="2"/>
            <w:shd w:val="clear" w:color="auto" w:fill="434F69"/>
          </w:tcPr>
          <w:p>
            <w:pPr>
              <w:jc w:val="right"/>
              <w:ind w:right="70"/>
              <w:spacing w:after="0"/>
              <w:rPr>
                <w:sz w:val="20"/>
                <w:szCs w:val="20"/>
                <w:color w:val="auto"/>
              </w:rPr>
            </w:pPr>
            <w:r>
              <w:rPr>
                <w:rFonts w:ascii="Arial" w:cs="Arial" w:eastAsia="Arial" w:hAnsi="Arial"/>
                <w:sz w:val="14"/>
                <w:szCs w:val="14"/>
                <w:b w:val="1"/>
                <w:bCs w:val="1"/>
                <w:color w:val="FFFFFF"/>
              </w:rPr>
              <w:t>Target</w:t>
            </w:r>
          </w:p>
        </w:tc>
        <w:tc>
          <w:tcPr>
            <w:tcW w:w="240" w:type="dxa"/>
            <w:vAlign w:val="bottom"/>
            <w:tcBorders>
              <w:bottom w:val="single" w:sz="8" w:color="434F69"/>
            </w:tcBorders>
            <w:shd w:val="clear" w:color="auto" w:fill="434F69"/>
          </w:tcPr>
          <w:p>
            <w:pPr>
              <w:spacing w:after="0"/>
              <w:rPr>
                <w:sz w:val="24"/>
                <w:szCs w:val="24"/>
                <w:color w:val="auto"/>
              </w:rPr>
            </w:pPr>
          </w:p>
        </w:tc>
        <w:tc>
          <w:tcPr>
            <w:tcW w:w="560" w:type="dxa"/>
            <w:vAlign w:val="bottom"/>
            <w:tcBorders>
              <w:bottom w:val="single" w:sz="8" w:color="434F69"/>
            </w:tcBorders>
            <w:shd w:val="clear" w:color="auto" w:fill="434F69"/>
          </w:tcPr>
          <w:p>
            <w:pPr>
              <w:jc w:val="center"/>
              <w:ind w:right="154"/>
              <w:spacing w:after="0"/>
              <w:rPr>
                <w:sz w:val="20"/>
                <w:szCs w:val="20"/>
                <w:color w:val="auto"/>
              </w:rPr>
            </w:pPr>
            <w:r>
              <w:rPr>
                <w:rFonts w:ascii="Arial" w:cs="Arial" w:eastAsia="Arial" w:hAnsi="Arial"/>
                <w:sz w:val="14"/>
                <w:szCs w:val="14"/>
                <w:b w:val="1"/>
                <w:bCs w:val="1"/>
                <w:color w:val="FFFFFF"/>
              </w:rPr>
              <w:t>Max</w:t>
            </w:r>
          </w:p>
        </w:tc>
        <w:tc>
          <w:tcPr>
            <w:tcW w:w="220" w:type="dxa"/>
            <w:vAlign w:val="bottom"/>
            <w:tcBorders>
              <w:bottom w:val="single" w:sz="8" w:color="434F69"/>
            </w:tcBorders>
            <w:shd w:val="clear" w:color="auto" w:fill="434F69"/>
          </w:tcPr>
          <w:p>
            <w:pPr>
              <w:spacing w:after="0"/>
              <w:rPr>
                <w:sz w:val="24"/>
                <w:szCs w:val="24"/>
                <w:color w:val="auto"/>
              </w:rPr>
            </w:pPr>
          </w:p>
        </w:tc>
        <w:tc>
          <w:tcPr>
            <w:tcW w:w="640" w:type="dxa"/>
            <w:vAlign w:val="bottom"/>
            <w:tcBorders>
              <w:bottom w:val="single" w:sz="8" w:color="434F69"/>
            </w:tcBorders>
            <w:gridSpan w:val="2"/>
            <w:shd w:val="clear" w:color="auto" w:fill="434F69"/>
          </w:tcPr>
          <w:p>
            <w:pPr>
              <w:jc w:val="right"/>
              <w:ind w:right="200"/>
              <w:spacing w:after="0"/>
              <w:rPr>
                <w:sz w:val="20"/>
                <w:szCs w:val="20"/>
                <w:color w:val="auto"/>
              </w:rPr>
            </w:pPr>
            <w:r>
              <w:rPr>
                <w:rFonts w:ascii="Arial" w:cs="Arial" w:eastAsia="Arial" w:hAnsi="Arial"/>
                <w:sz w:val="14"/>
                <w:szCs w:val="14"/>
                <w:b w:val="1"/>
                <w:bCs w:val="1"/>
                <w:color w:val="FFFFFF"/>
                <w:w w:val="98"/>
              </w:rPr>
              <w:t>Result</w:t>
            </w:r>
          </w:p>
        </w:tc>
        <w:tc>
          <w:tcPr>
            <w:tcW w:w="960" w:type="dxa"/>
            <w:vAlign w:val="bottom"/>
            <w:tcBorders>
              <w:bottom w:val="single" w:sz="8" w:color="434F69"/>
            </w:tcBorders>
            <w:shd w:val="clear" w:color="auto" w:fill="434F69"/>
          </w:tcPr>
          <w:p>
            <w:pPr>
              <w:jc w:val="right"/>
              <w:ind w:right="58"/>
              <w:spacing w:after="0"/>
              <w:rPr>
                <w:sz w:val="20"/>
                <w:szCs w:val="20"/>
                <w:color w:val="auto"/>
              </w:rPr>
            </w:pPr>
            <w:r>
              <w:rPr>
                <w:rFonts w:ascii="Arial" w:cs="Arial" w:eastAsia="Arial" w:hAnsi="Arial"/>
                <w:sz w:val="14"/>
                <w:szCs w:val="14"/>
                <w:b w:val="1"/>
                <w:bCs w:val="1"/>
                <w:color w:val="FFFFFF"/>
              </w:rPr>
              <w:t>Payout %</w:t>
            </w:r>
          </w:p>
        </w:tc>
        <w:tc>
          <w:tcPr>
            <w:tcW w:w="740" w:type="dxa"/>
            <w:vAlign w:val="bottom"/>
            <w:tcBorders>
              <w:bottom w:val="single" w:sz="8" w:color="434F69"/>
              <w:right w:val="single" w:sz="8" w:color="434F69"/>
            </w:tcBorders>
            <w:shd w:val="clear" w:color="auto" w:fill="434F69"/>
          </w:tcPr>
          <w:p>
            <w:pPr>
              <w:jc w:val="right"/>
              <w:ind w:right="13"/>
              <w:spacing w:after="0"/>
              <w:rPr>
                <w:sz w:val="20"/>
                <w:szCs w:val="20"/>
                <w:color w:val="auto"/>
              </w:rPr>
            </w:pPr>
            <w:r>
              <w:rPr>
                <w:rFonts w:ascii="Arial" w:cs="Arial" w:eastAsia="Arial" w:hAnsi="Arial"/>
                <w:sz w:val="14"/>
                <w:szCs w:val="14"/>
                <w:b w:val="1"/>
                <w:bCs w:val="1"/>
                <w:color w:val="FFFFFF"/>
              </w:rPr>
              <w:t>Wgtd %</w:t>
            </w:r>
          </w:p>
        </w:tc>
        <w:tc>
          <w:tcPr>
            <w:tcW w:w="0" w:type="dxa"/>
            <w:vAlign w:val="bottom"/>
          </w:tcPr>
          <w:p>
            <w:pPr>
              <w:spacing w:after="0"/>
              <w:rPr>
                <w:sz w:val="1"/>
                <w:szCs w:val="1"/>
                <w:color w:val="auto"/>
              </w:rPr>
            </w:pPr>
          </w:p>
        </w:tc>
      </w:tr>
      <w:tr>
        <w:trPr>
          <w:trHeight w:val="270"/>
        </w:trPr>
        <w:tc>
          <w:tcPr>
            <w:tcW w:w="240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Adjusted EBITDA</w:t>
            </w:r>
          </w:p>
        </w:tc>
        <w:tc>
          <w:tcPr>
            <w:tcW w:w="7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34F69"/>
            </w:tcBorders>
            <w:shd w:val="clear" w:color="auto" w:fill="D9DCE1"/>
          </w:tcPr>
          <w:p>
            <w:pPr>
              <w:jc w:val="right"/>
              <w:ind w:right="14"/>
              <w:spacing w:after="0"/>
              <w:rPr>
                <w:sz w:val="20"/>
                <w:szCs w:val="20"/>
                <w:color w:val="auto"/>
              </w:rPr>
            </w:pPr>
            <w:r>
              <w:rPr>
                <w:rFonts w:ascii="Arial" w:cs="Arial" w:eastAsia="Arial" w:hAnsi="Arial"/>
                <w:sz w:val="18"/>
                <w:szCs w:val="18"/>
                <w:color w:val="auto"/>
                <w:w w:val="93"/>
              </w:rPr>
              <w:t>1,989</w:t>
            </w:r>
          </w:p>
        </w:tc>
        <w:tc>
          <w:tcPr>
            <w:tcW w:w="300" w:type="dxa"/>
            <w:vAlign w:val="bottom"/>
            <w:tcBorders>
              <w:bottom w:val="single" w:sz="8" w:color="434F69"/>
            </w:tcBorders>
            <w:shd w:val="clear" w:color="auto" w:fill="D9DCE1"/>
          </w:tcPr>
          <w:p>
            <w:pPr>
              <w:jc w:val="center"/>
              <w:ind w:left="11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w w:val="97"/>
              </w:rPr>
              <w:t>2,150</w:t>
            </w:r>
          </w:p>
        </w:tc>
        <w:tc>
          <w:tcPr>
            <w:tcW w:w="24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434F69"/>
            </w:tcBorders>
            <w:shd w:val="clear" w:color="auto" w:fill="D9DCE1"/>
          </w:tcPr>
          <w:p>
            <w:pPr>
              <w:jc w:val="right"/>
              <w:ind w:right="34"/>
              <w:spacing w:after="0"/>
              <w:rPr>
                <w:sz w:val="20"/>
                <w:szCs w:val="20"/>
                <w:color w:val="auto"/>
              </w:rPr>
            </w:pPr>
            <w:r>
              <w:rPr>
                <w:rFonts w:ascii="Arial" w:cs="Arial" w:eastAsia="Arial" w:hAnsi="Arial"/>
                <w:sz w:val="18"/>
                <w:szCs w:val="18"/>
                <w:color w:val="auto"/>
                <w:w w:val="93"/>
              </w:rPr>
              <w:t>2,365</w:t>
            </w:r>
          </w:p>
        </w:tc>
        <w:tc>
          <w:tcPr>
            <w:tcW w:w="2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434F69"/>
            </w:tcBorders>
            <w:gridSpan w:val="2"/>
            <w:shd w:val="clear" w:color="auto" w:fill="D9DCE1"/>
          </w:tcPr>
          <w:p>
            <w:pPr>
              <w:jc w:val="right"/>
              <w:ind w:right="20"/>
              <w:spacing w:after="0" w:line="270" w:lineRule="exact"/>
              <w:rPr>
                <w:sz w:val="20"/>
                <w:szCs w:val="20"/>
                <w:color w:val="auto"/>
              </w:rPr>
            </w:pPr>
            <w:r>
              <w:rPr>
                <w:rFonts w:ascii="Arial" w:cs="Arial" w:eastAsia="Arial" w:hAnsi="Arial"/>
                <w:sz w:val="18"/>
                <w:szCs w:val="18"/>
                <w:color w:val="auto"/>
                <w:w w:val="90"/>
              </w:rPr>
              <w:t>2,213</w:t>
            </w:r>
            <w:r>
              <w:rPr>
                <w:rFonts w:ascii="Arial" w:cs="Arial" w:eastAsia="Arial" w:hAnsi="Arial"/>
                <w:sz w:val="26"/>
                <w:szCs w:val="26"/>
                <w:color w:val="auto"/>
                <w:w w:val="90"/>
                <w:vertAlign w:val="superscript"/>
              </w:rPr>
              <w:t>(1)</w:t>
            </w:r>
          </w:p>
        </w:tc>
        <w:tc>
          <w:tcPr>
            <w:tcW w:w="960" w:type="dxa"/>
            <w:vAlign w:val="bottom"/>
            <w:tcBorders>
              <w:bottom w:val="single" w:sz="8" w:color="434F69"/>
            </w:tcBorders>
            <w:shd w:val="clear" w:color="auto" w:fill="D9DCE1"/>
          </w:tcPr>
          <w:p>
            <w:pPr>
              <w:jc w:val="right"/>
              <w:ind w:right="58"/>
              <w:spacing w:after="0"/>
              <w:rPr>
                <w:sz w:val="20"/>
                <w:szCs w:val="20"/>
                <w:color w:val="auto"/>
              </w:rPr>
            </w:pPr>
            <w:r>
              <w:rPr>
                <w:rFonts w:ascii="Arial" w:cs="Arial" w:eastAsia="Arial" w:hAnsi="Arial"/>
                <w:sz w:val="18"/>
                <w:szCs w:val="18"/>
                <w:color w:val="auto"/>
              </w:rPr>
              <w:t>129%</w:t>
            </w:r>
          </w:p>
        </w:tc>
        <w:tc>
          <w:tcPr>
            <w:tcW w:w="74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2"/>
        </w:trPr>
        <w:tc>
          <w:tcPr>
            <w:tcW w:w="2400" w:type="dxa"/>
            <w:vAlign w:val="bottom"/>
            <w:tcBorders>
              <w:left w:val="single" w:sz="8" w:color="434F69"/>
            </w:tcBorders>
          </w:tcPr>
          <w:p>
            <w:pPr>
              <w:ind w:left="60"/>
              <w:spacing w:after="0"/>
              <w:rPr>
                <w:sz w:val="20"/>
                <w:szCs w:val="20"/>
                <w:color w:val="auto"/>
              </w:rPr>
            </w:pPr>
            <w:r>
              <w:rPr>
                <w:rFonts w:ascii="Arial" w:cs="Arial" w:eastAsia="Arial" w:hAnsi="Arial"/>
                <w:sz w:val="18"/>
                <w:szCs w:val="18"/>
                <w:color w:val="auto"/>
              </w:rPr>
              <w:t>Implied DCF/Common Unit</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1.97</w:t>
            </w:r>
            <w:r>
              <w:rPr>
                <w:rFonts w:ascii="Arial" w:cs="Arial" w:eastAsia="Arial" w:hAnsi="Arial"/>
                <w:sz w:val="26"/>
                <w:szCs w:val="26"/>
                <w:color w:val="auto"/>
                <w:vertAlign w:val="superscript"/>
              </w:rPr>
              <w:t>(1)</w:t>
            </w:r>
          </w:p>
        </w:tc>
        <w:tc>
          <w:tcPr>
            <w:tcW w:w="960" w:type="dxa"/>
            <w:vAlign w:val="bottom"/>
          </w:tcPr>
          <w:p>
            <w:pPr>
              <w:spacing w:after="0"/>
              <w:rPr>
                <w:sz w:val="19"/>
                <w:szCs w:val="19"/>
                <w:color w:val="auto"/>
              </w:rPr>
            </w:pPr>
          </w:p>
        </w:tc>
        <w:tc>
          <w:tcPr>
            <w:tcW w:w="740" w:type="dxa"/>
            <w:vAlign w:val="bottom"/>
            <w:tcBorders>
              <w:right w:val="single" w:sz="8" w:color="434F69"/>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400" w:type="dxa"/>
            <w:vAlign w:val="bottom"/>
            <w:tcBorders>
              <w:left w:val="single" w:sz="8" w:color="434F69"/>
              <w:bottom w:val="single" w:sz="8" w:color="434F69"/>
            </w:tcBorders>
          </w:tcPr>
          <w:p>
            <w:pPr>
              <w:ind w:left="240"/>
              <w:spacing w:after="0"/>
              <w:rPr>
                <w:sz w:val="20"/>
                <w:szCs w:val="20"/>
                <w:color w:val="auto"/>
              </w:rPr>
            </w:pPr>
            <w:r>
              <w:rPr>
                <w:rFonts w:ascii="Arial" w:cs="Arial" w:eastAsia="Arial" w:hAnsi="Arial"/>
                <w:sz w:val="18"/>
                <w:szCs w:val="18"/>
                <w:color w:val="auto"/>
              </w:rPr>
              <w:t>and CUE</w:t>
            </w:r>
          </w:p>
        </w:tc>
        <w:tc>
          <w:tcPr>
            <w:tcW w:w="7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34F69"/>
            </w:tcBorders>
          </w:tcPr>
          <w:p>
            <w:pPr>
              <w:jc w:val="right"/>
              <w:ind w:right="14"/>
              <w:spacing w:after="0"/>
              <w:rPr>
                <w:sz w:val="20"/>
                <w:szCs w:val="20"/>
                <w:color w:val="auto"/>
              </w:rPr>
            </w:pPr>
            <w:r>
              <w:rPr>
                <w:rFonts w:ascii="Arial" w:cs="Arial" w:eastAsia="Arial" w:hAnsi="Arial"/>
                <w:sz w:val="18"/>
                <w:szCs w:val="18"/>
                <w:color w:val="auto"/>
              </w:rPr>
              <w:t>1.69</w:t>
            </w:r>
          </w:p>
        </w:tc>
        <w:tc>
          <w:tcPr>
            <w:tcW w:w="300" w:type="dxa"/>
            <w:vAlign w:val="bottom"/>
            <w:tcBorders>
              <w:bottom w:val="single" w:sz="8" w:color="434F69"/>
            </w:tcBorders>
          </w:tcPr>
          <w:p>
            <w:pPr>
              <w:jc w:val="center"/>
              <w:ind w:left="11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434F69"/>
            </w:tcBorders>
          </w:tcPr>
          <w:p>
            <w:pPr>
              <w:jc w:val="right"/>
              <w:ind w:right="34"/>
              <w:spacing w:after="0"/>
              <w:rPr>
                <w:sz w:val="20"/>
                <w:szCs w:val="20"/>
                <w:color w:val="auto"/>
              </w:rPr>
            </w:pPr>
            <w:r>
              <w:rPr>
                <w:rFonts w:ascii="Arial" w:cs="Arial" w:eastAsia="Arial" w:hAnsi="Arial"/>
                <w:sz w:val="18"/>
                <w:szCs w:val="18"/>
                <w:color w:val="auto"/>
              </w:rPr>
              <w:t>2.01</w:t>
            </w:r>
          </w:p>
        </w:tc>
        <w:tc>
          <w:tcPr>
            <w:tcW w:w="2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434F69"/>
            </w:tcBorders>
            <w:gridSpan w:val="2"/>
            <w:vMerge w:val="continue"/>
          </w:tcPr>
          <w:p>
            <w:pPr>
              <w:spacing w:after="0"/>
              <w:rPr>
                <w:sz w:val="21"/>
                <w:szCs w:val="21"/>
                <w:color w:val="auto"/>
              </w:rPr>
            </w:pPr>
          </w:p>
        </w:tc>
        <w:tc>
          <w:tcPr>
            <w:tcW w:w="960" w:type="dxa"/>
            <w:vAlign w:val="bottom"/>
            <w:tcBorders>
              <w:bottom w:val="single" w:sz="8" w:color="434F69"/>
            </w:tcBorders>
          </w:tcPr>
          <w:p>
            <w:pPr>
              <w:jc w:val="right"/>
              <w:ind w:right="58"/>
              <w:spacing w:after="0"/>
              <w:rPr>
                <w:sz w:val="20"/>
                <w:szCs w:val="20"/>
                <w:color w:val="auto"/>
              </w:rPr>
            </w:pPr>
            <w:r>
              <w:rPr>
                <w:rFonts w:ascii="Arial" w:cs="Arial" w:eastAsia="Arial" w:hAnsi="Arial"/>
                <w:sz w:val="18"/>
                <w:szCs w:val="18"/>
                <w:color w:val="auto"/>
              </w:rPr>
              <w:t>174%</w:t>
            </w:r>
          </w:p>
        </w:tc>
        <w:tc>
          <w:tcPr>
            <w:tcW w:w="7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240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Safety (TRIR)</w:t>
            </w:r>
          </w:p>
        </w:tc>
        <w:tc>
          <w:tcPr>
            <w:tcW w:w="7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434F69"/>
            </w:tcBorders>
            <w:shd w:val="clear" w:color="auto" w:fill="D9DCE1"/>
          </w:tcPr>
          <w:p>
            <w:pPr>
              <w:spacing w:after="0"/>
              <w:rPr>
                <w:sz w:val="21"/>
                <w:szCs w:val="21"/>
                <w:color w:val="auto"/>
              </w:rPr>
            </w:pPr>
          </w:p>
        </w:tc>
        <w:tc>
          <w:tcPr>
            <w:tcW w:w="540" w:type="dxa"/>
            <w:vAlign w:val="bottom"/>
            <w:tcBorders>
              <w:bottom w:val="single" w:sz="8" w:color="434F69"/>
            </w:tcBorders>
            <w:shd w:val="clear" w:color="auto" w:fill="D9DCE1"/>
          </w:tcPr>
          <w:p>
            <w:pPr>
              <w:jc w:val="right"/>
              <w:ind w:right="14"/>
              <w:spacing w:after="0"/>
              <w:rPr>
                <w:sz w:val="20"/>
                <w:szCs w:val="20"/>
                <w:color w:val="auto"/>
              </w:rPr>
            </w:pPr>
            <w:r>
              <w:rPr>
                <w:rFonts w:ascii="Arial" w:cs="Arial" w:eastAsia="Arial" w:hAnsi="Arial"/>
                <w:sz w:val="18"/>
                <w:szCs w:val="18"/>
                <w:color w:val="auto"/>
              </w:rPr>
              <w:t>0.34</w:t>
            </w:r>
          </w:p>
        </w:tc>
        <w:tc>
          <w:tcPr>
            <w:tcW w:w="300" w:type="dxa"/>
            <w:vAlign w:val="bottom"/>
            <w:tcBorders>
              <w:bottom w:val="single" w:sz="8" w:color="434F69"/>
            </w:tcBorders>
            <w:shd w:val="clear" w:color="auto" w:fill="D9DCE1"/>
          </w:tcPr>
          <w:p>
            <w:pPr>
              <w:spacing w:after="0"/>
              <w:rPr>
                <w:sz w:val="21"/>
                <w:szCs w:val="21"/>
                <w:color w:val="auto"/>
              </w:rPr>
            </w:pPr>
          </w:p>
        </w:tc>
        <w:tc>
          <w:tcPr>
            <w:tcW w:w="5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Borders>
              <w:bottom w:val="single" w:sz="8" w:color="434F69"/>
            </w:tcBorders>
            <w:shd w:val="clear" w:color="auto" w:fill="D9DCE1"/>
          </w:tcPr>
          <w:p>
            <w:pPr>
              <w:spacing w:after="0"/>
              <w:rPr>
                <w:sz w:val="21"/>
                <w:szCs w:val="21"/>
                <w:color w:val="auto"/>
              </w:rPr>
            </w:pPr>
          </w:p>
        </w:tc>
        <w:tc>
          <w:tcPr>
            <w:tcW w:w="560" w:type="dxa"/>
            <w:vAlign w:val="bottom"/>
            <w:tcBorders>
              <w:bottom w:val="single" w:sz="8" w:color="434F69"/>
            </w:tcBorders>
            <w:shd w:val="clear" w:color="auto" w:fill="D9DCE1"/>
          </w:tcPr>
          <w:p>
            <w:pPr>
              <w:jc w:val="right"/>
              <w:ind w:right="34"/>
              <w:spacing w:after="0"/>
              <w:rPr>
                <w:sz w:val="20"/>
                <w:szCs w:val="20"/>
                <w:color w:val="auto"/>
              </w:rPr>
            </w:pPr>
            <w:r>
              <w:rPr>
                <w:rFonts w:ascii="Arial" w:cs="Arial" w:eastAsia="Arial" w:hAnsi="Arial"/>
                <w:sz w:val="18"/>
                <w:szCs w:val="18"/>
                <w:color w:val="auto"/>
              </w:rPr>
              <w:t>0.27</w:t>
            </w:r>
          </w:p>
        </w:tc>
        <w:tc>
          <w:tcPr>
            <w:tcW w:w="220" w:type="dxa"/>
            <w:vAlign w:val="bottom"/>
            <w:tcBorders>
              <w:bottom w:val="single" w:sz="8" w:color="434F69"/>
            </w:tcBorders>
            <w:shd w:val="clear" w:color="auto" w:fill="D9DCE1"/>
          </w:tcPr>
          <w:p>
            <w:pPr>
              <w:spacing w:after="0"/>
              <w:rPr>
                <w:sz w:val="21"/>
                <w:szCs w:val="21"/>
                <w:color w:val="auto"/>
              </w:rPr>
            </w:pPr>
          </w:p>
        </w:tc>
        <w:tc>
          <w:tcPr>
            <w:tcW w:w="640" w:type="dxa"/>
            <w:vAlign w:val="bottom"/>
            <w:tcBorders>
              <w:bottom w:val="single" w:sz="8" w:color="434F69"/>
            </w:tcBorders>
            <w:gridSpan w:val="2"/>
            <w:shd w:val="clear" w:color="auto" w:fill="D9DCE1"/>
          </w:tcPr>
          <w:p>
            <w:pPr>
              <w:jc w:val="right"/>
              <w:ind w:right="60"/>
              <w:spacing w:after="0"/>
              <w:rPr>
                <w:sz w:val="20"/>
                <w:szCs w:val="20"/>
                <w:color w:val="auto"/>
              </w:rPr>
            </w:pPr>
            <w:r>
              <w:rPr>
                <w:rFonts w:ascii="Arial" w:cs="Arial" w:eastAsia="Arial" w:hAnsi="Arial"/>
                <w:sz w:val="18"/>
                <w:szCs w:val="18"/>
                <w:color w:val="auto"/>
              </w:rPr>
              <w:t>0.39</w:t>
            </w:r>
          </w:p>
        </w:tc>
        <w:tc>
          <w:tcPr>
            <w:tcW w:w="960" w:type="dxa"/>
            <w:vAlign w:val="bottom"/>
            <w:tcBorders>
              <w:bottom w:val="single" w:sz="8" w:color="434F69"/>
            </w:tcBorders>
            <w:shd w:val="clear" w:color="auto" w:fill="D9DCE1"/>
          </w:tcPr>
          <w:p>
            <w:pPr>
              <w:jc w:val="right"/>
              <w:ind w:right="58"/>
              <w:spacing w:after="0"/>
              <w:rPr>
                <w:sz w:val="20"/>
                <w:szCs w:val="20"/>
                <w:color w:val="auto"/>
              </w:rPr>
            </w:pPr>
            <w:r>
              <w:rPr>
                <w:rFonts w:ascii="Arial" w:cs="Arial" w:eastAsia="Arial" w:hAnsi="Arial"/>
                <w:sz w:val="18"/>
                <w:szCs w:val="18"/>
                <w:color w:val="auto"/>
              </w:rPr>
              <w:t>0%</w:t>
            </w:r>
          </w:p>
        </w:tc>
        <w:tc>
          <w:tcPr>
            <w:tcW w:w="74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2"/>
        </w:trPr>
        <w:tc>
          <w:tcPr>
            <w:tcW w:w="2400" w:type="dxa"/>
            <w:vAlign w:val="bottom"/>
            <w:tcBorders>
              <w:left w:val="single" w:sz="8" w:color="434F69"/>
            </w:tcBorders>
          </w:tcPr>
          <w:p>
            <w:pPr>
              <w:ind w:left="60"/>
              <w:spacing w:after="0"/>
              <w:rPr>
                <w:sz w:val="20"/>
                <w:szCs w:val="20"/>
                <w:color w:val="auto"/>
              </w:rPr>
            </w:pPr>
            <w:r>
              <w:rPr>
                <w:rFonts w:ascii="Arial" w:cs="Arial" w:eastAsia="Arial" w:hAnsi="Arial"/>
                <w:sz w:val="18"/>
                <w:szCs w:val="18"/>
                <w:color w:val="auto"/>
              </w:rPr>
              <w:t>Environmental (DOT</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Borders>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400" w:type="dxa"/>
            <w:vAlign w:val="bottom"/>
            <w:tcBorders>
              <w:left w:val="single" w:sz="8" w:color="434F69"/>
            </w:tcBorders>
          </w:tcPr>
          <w:p>
            <w:pPr>
              <w:ind w:left="240"/>
              <w:spacing w:after="0"/>
              <w:rPr>
                <w:sz w:val="20"/>
                <w:szCs w:val="20"/>
                <w:color w:val="auto"/>
              </w:rPr>
            </w:pPr>
            <w:r>
              <w:rPr>
                <w:rFonts w:ascii="Arial" w:cs="Arial" w:eastAsia="Arial" w:hAnsi="Arial"/>
                <w:sz w:val="18"/>
                <w:szCs w:val="18"/>
                <w:color w:val="auto"/>
              </w:rPr>
              <w:t>releases)</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0%</w:t>
            </w:r>
          </w:p>
        </w:tc>
        <w:tc>
          <w:tcPr>
            <w:tcW w:w="740" w:type="dxa"/>
            <w:vAlign w:val="bottom"/>
            <w:tcBorders>
              <w:right w:val="single" w:sz="8" w:color="434F69"/>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400" w:type="dxa"/>
            <w:vAlign w:val="bottom"/>
            <w:tcBorders>
              <w:left w:val="single" w:sz="8" w:color="434F69"/>
              <w:bottom w:val="single" w:sz="8" w:color="434F69"/>
            </w:tcBorders>
          </w:tcPr>
          <w:p>
            <w:pPr>
              <w:spacing w:after="0"/>
              <w:rPr>
                <w:sz w:val="2"/>
                <w:szCs w:val="2"/>
                <w:color w:val="auto"/>
              </w:rPr>
            </w:pPr>
          </w:p>
        </w:tc>
        <w:tc>
          <w:tcPr>
            <w:tcW w:w="740" w:type="dxa"/>
            <w:vAlign w:val="bottom"/>
            <w:tcBorders>
              <w:bottom w:val="single" w:sz="8" w:color="434F69"/>
            </w:tcBorders>
          </w:tcPr>
          <w:p>
            <w:pPr>
              <w:spacing w:after="0"/>
              <w:rPr>
                <w:sz w:val="2"/>
                <w:szCs w:val="2"/>
                <w:color w:val="auto"/>
              </w:rPr>
            </w:pPr>
          </w:p>
        </w:tc>
        <w:tc>
          <w:tcPr>
            <w:tcW w:w="340" w:type="dxa"/>
            <w:vAlign w:val="bottom"/>
            <w:tcBorders>
              <w:bottom w:val="single" w:sz="8" w:color="434F69"/>
            </w:tcBorders>
          </w:tcPr>
          <w:p>
            <w:pPr>
              <w:spacing w:after="0"/>
              <w:rPr>
                <w:sz w:val="2"/>
                <w:szCs w:val="2"/>
                <w:color w:val="auto"/>
              </w:rPr>
            </w:pPr>
          </w:p>
        </w:tc>
        <w:tc>
          <w:tcPr>
            <w:tcW w:w="540" w:type="dxa"/>
            <w:vAlign w:val="bottom"/>
            <w:tcBorders>
              <w:bottom w:val="single" w:sz="8" w:color="434F69"/>
            </w:tcBorders>
          </w:tcPr>
          <w:p>
            <w:pPr>
              <w:spacing w:after="0"/>
              <w:rPr>
                <w:sz w:val="2"/>
                <w:szCs w:val="2"/>
                <w:color w:val="auto"/>
              </w:rPr>
            </w:pPr>
          </w:p>
        </w:tc>
        <w:tc>
          <w:tcPr>
            <w:tcW w:w="300" w:type="dxa"/>
            <w:vAlign w:val="bottom"/>
            <w:tcBorders>
              <w:bottom w:val="single" w:sz="8" w:color="434F69"/>
            </w:tcBorders>
          </w:tcPr>
          <w:p>
            <w:pPr>
              <w:spacing w:after="0"/>
              <w:rPr>
                <w:sz w:val="2"/>
                <w:szCs w:val="2"/>
                <w:color w:val="auto"/>
              </w:rPr>
            </w:pPr>
          </w:p>
        </w:tc>
        <w:tc>
          <w:tcPr>
            <w:tcW w:w="540" w:type="dxa"/>
            <w:vAlign w:val="bottom"/>
            <w:tcBorders>
              <w:bottom w:val="single" w:sz="8" w:color="434F69"/>
            </w:tcBorders>
          </w:tcPr>
          <w:p>
            <w:pPr>
              <w:spacing w:after="0"/>
              <w:rPr>
                <w:sz w:val="2"/>
                <w:szCs w:val="2"/>
                <w:color w:val="auto"/>
              </w:rPr>
            </w:pPr>
          </w:p>
        </w:tc>
        <w:tc>
          <w:tcPr>
            <w:tcW w:w="240" w:type="dxa"/>
            <w:vAlign w:val="bottom"/>
            <w:tcBorders>
              <w:bottom w:val="single" w:sz="8" w:color="434F69"/>
            </w:tcBorders>
          </w:tcPr>
          <w:p>
            <w:pPr>
              <w:spacing w:after="0"/>
              <w:rPr>
                <w:sz w:val="2"/>
                <w:szCs w:val="2"/>
                <w:color w:val="auto"/>
              </w:rPr>
            </w:pPr>
          </w:p>
        </w:tc>
        <w:tc>
          <w:tcPr>
            <w:tcW w:w="560" w:type="dxa"/>
            <w:vAlign w:val="bottom"/>
            <w:tcBorders>
              <w:bottom w:val="single" w:sz="8" w:color="434F69"/>
            </w:tcBorders>
          </w:tcPr>
          <w:p>
            <w:pPr>
              <w:spacing w:after="0"/>
              <w:rPr>
                <w:sz w:val="2"/>
                <w:szCs w:val="2"/>
                <w:color w:val="auto"/>
              </w:rPr>
            </w:pPr>
          </w:p>
        </w:tc>
        <w:tc>
          <w:tcPr>
            <w:tcW w:w="220" w:type="dxa"/>
            <w:vAlign w:val="bottom"/>
            <w:tcBorders>
              <w:bottom w:val="single" w:sz="8" w:color="434F69"/>
            </w:tcBorders>
          </w:tcPr>
          <w:p>
            <w:pPr>
              <w:spacing w:after="0"/>
              <w:rPr>
                <w:sz w:val="2"/>
                <w:szCs w:val="2"/>
                <w:color w:val="auto"/>
              </w:rPr>
            </w:pPr>
          </w:p>
        </w:tc>
        <w:tc>
          <w:tcPr>
            <w:tcW w:w="560" w:type="dxa"/>
            <w:vAlign w:val="bottom"/>
            <w:tcBorders>
              <w:bottom w:val="single" w:sz="8" w:color="434F69"/>
            </w:tcBorders>
          </w:tcPr>
          <w:p>
            <w:pPr>
              <w:spacing w:after="0"/>
              <w:rPr>
                <w:sz w:val="2"/>
                <w:szCs w:val="2"/>
                <w:color w:val="auto"/>
              </w:rPr>
            </w:pPr>
          </w:p>
        </w:tc>
        <w:tc>
          <w:tcPr>
            <w:tcW w:w="80" w:type="dxa"/>
            <w:vAlign w:val="bottom"/>
            <w:tcBorders>
              <w:bottom w:val="single" w:sz="8" w:color="434F69"/>
            </w:tcBorders>
          </w:tcPr>
          <w:p>
            <w:pPr>
              <w:spacing w:after="0"/>
              <w:rPr>
                <w:sz w:val="2"/>
                <w:szCs w:val="2"/>
                <w:color w:val="auto"/>
              </w:rPr>
            </w:pPr>
          </w:p>
        </w:tc>
        <w:tc>
          <w:tcPr>
            <w:tcW w:w="960" w:type="dxa"/>
            <w:vAlign w:val="bottom"/>
            <w:tcBorders>
              <w:bottom w:val="single" w:sz="8" w:color="434F69"/>
            </w:tcBorders>
          </w:tcPr>
          <w:p>
            <w:pPr>
              <w:spacing w:after="0"/>
              <w:rPr>
                <w:sz w:val="2"/>
                <w:szCs w:val="2"/>
                <w:color w:val="auto"/>
              </w:rPr>
            </w:pPr>
          </w:p>
        </w:tc>
        <w:tc>
          <w:tcPr>
            <w:tcW w:w="740" w:type="dxa"/>
            <w:vAlign w:val="bottom"/>
            <w:tcBorders>
              <w:bottom w:val="single" w:sz="8" w:color="434F69"/>
              <w:right w:val="single" w:sz="8" w:color="434F69"/>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400" w:type="dxa"/>
            <w:vAlign w:val="bottom"/>
            <w:tcBorders>
              <w:left w:val="single" w:sz="8" w:color="434F69"/>
            </w:tcBorders>
            <w:shd w:val="clear" w:color="auto" w:fill="D9DCE1"/>
          </w:tcPr>
          <w:p>
            <w:pPr>
              <w:ind w:left="240"/>
              <w:spacing w:after="0"/>
              <w:rPr>
                <w:sz w:val="20"/>
                <w:szCs w:val="20"/>
                <w:color w:val="auto"/>
              </w:rPr>
            </w:pPr>
            <w:r>
              <w:rPr>
                <w:rFonts w:ascii="Arial" w:cs="Arial" w:eastAsia="Arial" w:hAnsi="Arial"/>
                <w:sz w:val="18"/>
                <w:szCs w:val="18"/>
                <w:color w:val="auto"/>
              </w:rPr>
              <w:t>Company Performance</w:t>
            </w:r>
          </w:p>
        </w:tc>
        <w:tc>
          <w:tcPr>
            <w:tcW w:w="740" w:type="dxa"/>
            <w:vAlign w:val="bottom"/>
            <w:shd w:val="clear" w:color="auto" w:fill="D9DCE1"/>
          </w:tcPr>
          <w:p>
            <w:pPr>
              <w:spacing w:after="0"/>
              <w:rPr>
                <w:sz w:val="20"/>
                <w:szCs w:val="20"/>
                <w:color w:val="auto"/>
              </w:rPr>
            </w:pPr>
          </w:p>
        </w:tc>
        <w:tc>
          <w:tcPr>
            <w:tcW w:w="340" w:type="dxa"/>
            <w:vAlign w:val="bottom"/>
            <w:shd w:val="clear" w:color="auto" w:fill="D9DCE1"/>
          </w:tcPr>
          <w:p>
            <w:pPr>
              <w:spacing w:after="0"/>
              <w:rPr>
                <w:sz w:val="20"/>
                <w:szCs w:val="20"/>
                <w:color w:val="auto"/>
              </w:rPr>
            </w:pPr>
          </w:p>
        </w:tc>
        <w:tc>
          <w:tcPr>
            <w:tcW w:w="540" w:type="dxa"/>
            <w:vAlign w:val="bottom"/>
            <w:shd w:val="clear" w:color="auto" w:fill="D9DCE1"/>
          </w:tcPr>
          <w:p>
            <w:pPr>
              <w:spacing w:after="0"/>
              <w:rPr>
                <w:sz w:val="20"/>
                <w:szCs w:val="20"/>
                <w:color w:val="auto"/>
              </w:rPr>
            </w:pPr>
          </w:p>
        </w:tc>
        <w:tc>
          <w:tcPr>
            <w:tcW w:w="300" w:type="dxa"/>
            <w:vAlign w:val="bottom"/>
            <w:shd w:val="clear" w:color="auto" w:fill="D9DCE1"/>
          </w:tcPr>
          <w:p>
            <w:pPr>
              <w:spacing w:after="0"/>
              <w:rPr>
                <w:sz w:val="20"/>
                <w:szCs w:val="20"/>
                <w:color w:val="auto"/>
              </w:rPr>
            </w:pPr>
          </w:p>
        </w:tc>
        <w:tc>
          <w:tcPr>
            <w:tcW w:w="540" w:type="dxa"/>
            <w:vAlign w:val="bottom"/>
            <w:shd w:val="clear" w:color="auto" w:fill="D9DCE1"/>
          </w:tcPr>
          <w:p>
            <w:pPr>
              <w:spacing w:after="0"/>
              <w:rPr>
                <w:sz w:val="20"/>
                <w:szCs w:val="20"/>
                <w:color w:val="auto"/>
              </w:rPr>
            </w:pPr>
          </w:p>
        </w:tc>
        <w:tc>
          <w:tcPr>
            <w:tcW w:w="240" w:type="dxa"/>
            <w:vAlign w:val="bottom"/>
            <w:shd w:val="clear" w:color="auto" w:fill="D9DCE1"/>
          </w:tcPr>
          <w:p>
            <w:pPr>
              <w:spacing w:after="0"/>
              <w:rPr>
                <w:sz w:val="20"/>
                <w:szCs w:val="20"/>
                <w:color w:val="auto"/>
              </w:rPr>
            </w:pPr>
          </w:p>
        </w:tc>
        <w:tc>
          <w:tcPr>
            <w:tcW w:w="560" w:type="dxa"/>
            <w:vAlign w:val="bottom"/>
            <w:shd w:val="clear" w:color="auto" w:fill="D9DCE1"/>
          </w:tcPr>
          <w:p>
            <w:pPr>
              <w:spacing w:after="0"/>
              <w:rPr>
                <w:sz w:val="20"/>
                <w:szCs w:val="20"/>
                <w:color w:val="auto"/>
              </w:rPr>
            </w:pPr>
          </w:p>
        </w:tc>
        <w:tc>
          <w:tcPr>
            <w:tcW w:w="220" w:type="dxa"/>
            <w:vAlign w:val="bottom"/>
            <w:shd w:val="clear" w:color="auto" w:fill="D9DCE1"/>
          </w:tcPr>
          <w:p>
            <w:pPr>
              <w:spacing w:after="0"/>
              <w:rPr>
                <w:sz w:val="20"/>
                <w:szCs w:val="20"/>
                <w:color w:val="auto"/>
              </w:rPr>
            </w:pPr>
          </w:p>
        </w:tc>
        <w:tc>
          <w:tcPr>
            <w:tcW w:w="560" w:type="dxa"/>
            <w:vAlign w:val="bottom"/>
            <w:tcBorders>
              <w:right w:val="single" w:sz="8" w:color="D9DCE1"/>
            </w:tcBorders>
            <w:shd w:val="clear" w:color="auto" w:fill="D9DCE1"/>
          </w:tcPr>
          <w:p>
            <w:pPr>
              <w:spacing w:after="0"/>
              <w:rPr>
                <w:sz w:val="20"/>
                <w:szCs w:val="20"/>
                <w:color w:val="auto"/>
              </w:rPr>
            </w:pPr>
          </w:p>
        </w:tc>
        <w:tc>
          <w:tcPr>
            <w:tcW w:w="80" w:type="dxa"/>
            <w:vAlign w:val="bottom"/>
            <w:shd w:val="clear" w:color="auto" w:fill="D9DCE1"/>
          </w:tcPr>
          <w:p>
            <w:pPr>
              <w:spacing w:after="0"/>
              <w:rPr>
                <w:sz w:val="20"/>
                <w:szCs w:val="20"/>
                <w:color w:val="auto"/>
              </w:rPr>
            </w:pPr>
          </w:p>
        </w:tc>
        <w:tc>
          <w:tcPr>
            <w:tcW w:w="960" w:type="dxa"/>
            <w:vAlign w:val="bottom"/>
            <w:shd w:val="clear" w:color="auto" w:fill="D9DCE1"/>
          </w:tcPr>
          <w:p>
            <w:pPr>
              <w:spacing w:after="0"/>
              <w:rPr>
                <w:sz w:val="20"/>
                <w:szCs w:val="20"/>
                <w:color w:val="auto"/>
              </w:rPr>
            </w:pPr>
          </w:p>
        </w:tc>
        <w:tc>
          <w:tcPr>
            <w:tcW w:w="740" w:type="dxa"/>
            <w:vAlign w:val="bottom"/>
            <w:tcBorders>
              <w:right w:val="single" w:sz="8" w:color="434F69"/>
            </w:tcBorders>
            <w:shd w:val="clear" w:color="auto" w:fill="D9DCE1"/>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00" w:type="dxa"/>
            <w:vAlign w:val="bottom"/>
            <w:tcBorders>
              <w:left w:val="single" w:sz="8" w:color="434F69"/>
              <w:bottom w:val="single" w:sz="8" w:color="D9DCE1"/>
            </w:tcBorders>
            <w:shd w:val="clear" w:color="auto" w:fill="D9DCE1"/>
          </w:tcPr>
          <w:p>
            <w:pPr>
              <w:ind w:left="420"/>
              <w:spacing w:after="0"/>
              <w:rPr>
                <w:sz w:val="20"/>
                <w:szCs w:val="20"/>
                <w:color w:val="auto"/>
              </w:rPr>
            </w:pPr>
            <w:r>
              <w:rPr>
                <w:rFonts w:ascii="Arial" w:cs="Arial" w:eastAsia="Arial" w:hAnsi="Arial"/>
                <w:sz w:val="18"/>
                <w:szCs w:val="18"/>
                <w:color w:val="auto"/>
              </w:rPr>
              <w:t>Subtotal</w:t>
            </w:r>
          </w:p>
        </w:tc>
        <w:tc>
          <w:tcPr>
            <w:tcW w:w="740" w:type="dxa"/>
            <w:vAlign w:val="bottom"/>
            <w:tcBorders>
              <w:bottom w:val="single" w:sz="8" w:color="D9DCE1"/>
            </w:tcBorders>
            <w:shd w:val="clear" w:color="auto" w:fill="D9DCE1"/>
          </w:tcPr>
          <w:p>
            <w:pPr>
              <w:spacing w:after="0"/>
              <w:rPr>
                <w:sz w:val="19"/>
                <w:szCs w:val="19"/>
                <w:color w:val="auto"/>
              </w:rPr>
            </w:pPr>
          </w:p>
        </w:tc>
        <w:tc>
          <w:tcPr>
            <w:tcW w:w="340" w:type="dxa"/>
            <w:vAlign w:val="bottom"/>
            <w:tcBorders>
              <w:bottom w:val="single" w:sz="8" w:color="D9DCE1"/>
            </w:tcBorders>
            <w:shd w:val="clear" w:color="auto" w:fill="D9DCE1"/>
          </w:tcPr>
          <w:p>
            <w:pPr>
              <w:spacing w:after="0"/>
              <w:rPr>
                <w:sz w:val="19"/>
                <w:szCs w:val="19"/>
                <w:color w:val="auto"/>
              </w:rPr>
            </w:pPr>
          </w:p>
        </w:tc>
        <w:tc>
          <w:tcPr>
            <w:tcW w:w="540" w:type="dxa"/>
            <w:vAlign w:val="bottom"/>
            <w:tcBorders>
              <w:bottom w:val="single" w:sz="8" w:color="D9DCE1"/>
            </w:tcBorders>
            <w:shd w:val="clear" w:color="auto" w:fill="D9DCE1"/>
          </w:tcPr>
          <w:p>
            <w:pPr>
              <w:spacing w:after="0"/>
              <w:rPr>
                <w:sz w:val="19"/>
                <w:szCs w:val="19"/>
                <w:color w:val="auto"/>
              </w:rPr>
            </w:pPr>
          </w:p>
        </w:tc>
        <w:tc>
          <w:tcPr>
            <w:tcW w:w="300" w:type="dxa"/>
            <w:vAlign w:val="bottom"/>
            <w:tcBorders>
              <w:bottom w:val="single" w:sz="8" w:color="D9DCE1"/>
            </w:tcBorders>
            <w:shd w:val="clear" w:color="auto" w:fill="D9DCE1"/>
          </w:tcPr>
          <w:p>
            <w:pPr>
              <w:spacing w:after="0"/>
              <w:rPr>
                <w:sz w:val="19"/>
                <w:szCs w:val="19"/>
                <w:color w:val="auto"/>
              </w:rPr>
            </w:pPr>
          </w:p>
        </w:tc>
        <w:tc>
          <w:tcPr>
            <w:tcW w:w="540" w:type="dxa"/>
            <w:vAlign w:val="bottom"/>
            <w:tcBorders>
              <w:bottom w:val="single" w:sz="8" w:color="D9DCE1"/>
            </w:tcBorders>
            <w:shd w:val="clear" w:color="auto" w:fill="D9DCE1"/>
          </w:tcPr>
          <w:p>
            <w:pPr>
              <w:spacing w:after="0"/>
              <w:rPr>
                <w:sz w:val="19"/>
                <w:szCs w:val="19"/>
                <w:color w:val="auto"/>
              </w:rPr>
            </w:pPr>
          </w:p>
        </w:tc>
        <w:tc>
          <w:tcPr>
            <w:tcW w:w="240" w:type="dxa"/>
            <w:vAlign w:val="bottom"/>
            <w:tcBorders>
              <w:bottom w:val="single" w:sz="8" w:color="D9DCE1"/>
            </w:tcBorders>
            <w:shd w:val="clear" w:color="auto" w:fill="D9DCE1"/>
          </w:tcPr>
          <w:p>
            <w:pPr>
              <w:spacing w:after="0"/>
              <w:rPr>
                <w:sz w:val="19"/>
                <w:szCs w:val="19"/>
                <w:color w:val="auto"/>
              </w:rPr>
            </w:pPr>
          </w:p>
        </w:tc>
        <w:tc>
          <w:tcPr>
            <w:tcW w:w="560" w:type="dxa"/>
            <w:vAlign w:val="bottom"/>
            <w:tcBorders>
              <w:bottom w:val="single" w:sz="8" w:color="D9DCE1"/>
            </w:tcBorders>
            <w:shd w:val="clear" w:color="auto" w:fill="D9DCE1"/>
          </w:tcPr>
          <w:p>
            <w:pPr>
              <w:spacing w:after="0"/>
              <w:rPr>
                <w:sz w:val="19"/>
                <w:szCs w:val="19"/>
                <w:color w:val="auto"/>
              </w:rPr>
            </w:pPr>
          </w:p>
        </w:tc>
        <w:tc>
          <w:tcPr>
            <w:tcW w:w="220" w:type="dxa"/>
            <w:vAlign w:val="bottom"/>
            <w:tcBorders>
              <w:bottom w:val="single" w:sz="8" w:color="D9DCE1"/>
            </w:tcBorders>
            <w:shd w:val="clear" w:color="auto" w:fill="D9DCE1"/>
          </w:tcPr>
          <w:p>
            <w:pPr>
              <w:spacing w:after="0"/>
              <w:rPr>
                <w:sz w:val="19"/>
                <w:szCs w:val="19"/>
                <w:color w:val="auto"/>
              </w:rPr>
            </w:pPr>
          </w:p>
        </w:tc>
        <w:tc>
          <w:tcPr>
            <w:tcW w:w="560" w:type="dxa"/>
            <w:vAlign w:val="bottom"/>
            <w:tcBorders>
              <w:bottom w:val="single" w:sz="8" w:color="D9DCE1"/>
              <w:right w:val="single" w:sz="8" w:color="D9DCE1"/>
            </w:tcBorders>
            <w:shd w:val="clear" w:color="auto" w:fill="D9DCE1"/>
          </w:tcPr>
          <w:p>
            <w:pPr>
              <w:spacing w:after="0"/>
              <w:rPr>
                <w:sz w:val="19"/>
                <w:szCs w:val="19"/>
                <w:color w:val="auto"/>
              </w:rPr>
            </w:pPr>
          </w:p>
        </w:tc>
        <w:tc>
          <w:tcPr>
            <w:tcW w:w="80" w:type="dxa"/>
            <w:vAlign w:val="bottom"/>
            <w:tcBorders>
              <w:bottom w:val="single" w:sz="8" w:color="D9DCE1"/>
            </w:tcBorders>
            <w:shd w:val="clear" w:color="auto" w:fill="D9DCE1"/>
          </w:tcPr>
          <w:p>
            <w:pPr>
              <w:spacing w:after="0"/>
              <w:rPr>
                <w:sz w:val="19"/>
                <w:szCs w:val="19"/>
                <w:color w:val="auto"/>
              </w:rPr>
            </w:pPr>
          </w:p>
        </w:tc>
        <w:tc>
          <w:tcPr>
            <w:tcW w:w="960" w:type="dxa"/>
            <w:vAlign w:val="bottom"/>
            <w:tcBorders>
              <w:bottom w:val="single" w:sz="8" w:color="D9DCE1"/>
            </w:tcBorders>
            <w:shd w:val="clear" w:color="auto" w:fill="D9DCE1"/>
          </w:tcPr>
          <w:p>
            <w:pPr>
              <w:spacing w:after="0"/>
              <w:rPr>
                <w:sz w:val="19"/>
                <w:szCs w:val="19"/>
                <w:color w:val="auto"/>
              </w:rPr>
            </w:pPr>
          </w:p>
        </w:tc>
        <w:tc>
          <w:tcPr>
            <w:tcW w:w="740" w:type="dxa"/>
            <w:vAlign w:val="bottom"/>
            <w:tcBorders>
              <w:bottom w:val="single" w:sz="8" w:color="D9DCE1"/>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400" w:type="dxa"/>
            <w:vAlign w:val="bottom"/>
            <w:tcBorders>
              <w:left w:val="single" w:sz="8" w:color="434F69"/>
            </w:tcBorders>
            <w:shd w:val="clear" w:color="auto" w:fill="434F69"/>
          </w:tcPr>
          <w:p>
            <w:pPr>
              <w:spacing w:after="0" w:line="20" w:lineRule="exact"/>
              <w:rPr>
                <w:sz w:val="1"/>
                <w:szCs w:val="1"/>
                <w:color w:val="auto"/>
              </w:rPr>
            </w:pPr>
          </w:p>
        </w:tc>
        <w:tc>
          <w:tcPr>
            <w:tcW w:w="740" w:type="dxa"/>
            <w:vAlign w:val="bottom"/>
            <w:shd w:val="clear" w:color="auto" w:fill="434F69"/>
          </w:tcPr>
          <w:p>
            <w:pPr>
              <w:spacing w:after="0" w:line="20" w:lineRule="exact"/>
              <w:rPr>
                <w:sz w:val="1"/>
                <w:szCs w:val="1"/>
                <w:color w:val="auto"/>
              </w:rPr>
            </w:pPr>
          </w:p>
        </w:tc>
        <w:tc>
          <w:tcPr>
            <w:tcW w:w="340" w:type="dxa"/>
            <w:vAlign w:val="bottom"/>
            <w:shd w:val="clear" w:color="auto" w:fill="434F69"/>
          </w:tcPr>
          <w:p>
            <w:pPr>
              <w:spacing w:after="0" w:line="20" w:lineRule="exact"/>
              <w:rPr>
                <w:sz w:val="1"/>
                <w:szCs w:val="1"/>
                <w:color w:val="auto"/>
              </w:rPr>
            </w:pPr>
          </w:p>
        </w:tc>
        <w:tc>
          <w:tcPr>
            <w:tcW w:w="540" w:type="dxa"/>
            <w:vAlign w:val="bottom"/>
            <w:shd w:val="clear" w:color="auto" w:fill="434F69"/>
          </w:tcPr>
          <w:p>
            <w:pPr>
              <w:spacing w:after="0" w:line="20" w:lineRule="exact"/>
              <w:rPr>
                <w:sz w:val="1"/>
                <w:szCs w:val="1"/>
                <w:color w:val="auto"/>
              </w:rPr>
            </w:pPr>
          </w:p>
        </w:tc>
        <w:tc>
          <w:tcPr>
            <w:tcW w:w="300" w:type="dxa"/>
            <w:vAlign w:val="bottom"/>
            <w:shd w:val="clear" w:color="auto" w:fill="434F69"/>
          </w:tcPr>
          <w:p>
            <w:pPr>
              <w:spacing w:after="0" w:line="20" w:lineRule="exact"/>
              <w:rPr>
                <w:sz w:val="1"/>
                <w:szCs w:val="1"/>
                <w:color w:val="auto"/>
              </w:rPr>
            </w:pPr>
          </w:p>
        </w:tc>
        <w:tc>
          <w:tcPr>
            <w:tcW w:w="540" w:type="dxa"/>
            <w:vAlign w:val="bottom"/>
            <w:shd w:val="clear" w:color="auto" w:fill="434F69"/>
          </w:tcPr>
          <w:p>
            <w:pPr>
              <w:spacing w:after="0" w:line="20" w:lineRule="exact"/>
              <w:rPr>
                <w:sz w:val="1"/>
                <w:szCs w:val="1"/>
                <w:color w:val="auto"/>
              </w:rPr>
            </w:pPr>
          </w:p>
        </w:tc>
        <w:tc>
          <w:tcPr>
            <w:tcW w:w="240" w:type="dxa"/>
            <w:vAlign w:val="bottom"/>
            <w:shd w:val="clear" w:color="auto" w:fill="434F69"/>
          </w:tcPr>
          <w:p>
            <w:pPr>
              <w:spacing w:after="0" w:line="20" w:lineRule="exact"/>
              <w:rPr>
                <w:sz w:val="1"/>
                <w:szCs w:val="1"/>
                <w:color w:val="auto"/>
              </w:rPr>
            </w:pPr>
          </w:p>
        </w:tc>
        <w:tc>
          <w:tcPr>
            <w:tcW w:w="560" w:type="dxa"/>
            <w:vAlign w:val="bottom"/>
            <w:shd w:val="clear" w:color="auto" w:fill="434F69"/>
          </w:tcPr>
          <w:p>
            <w:pPr>
              <w:spacing w:after="0" w:line="20" w:lineRule="exact"/>
              <w:rPr>
                <w:sz w:val="1"/>
                <w:szCs w:val="1"/>
                <w:color w:val="auto"/>
              </w:rPr>
            </w:pPr>
          </w:p>
        </w:tc>
        <w:tc>
          <w:tcPr>
            <w:tcW w:w="220" w:type="dxa"/>
            <w:vAlign w:val="bottom"/>
            <w:shd w:val="clear" w:color="auto" w:fill="434F69"/>
          </w:tcPr>
          <w:p>
            <w:pPr>
              <w:spacing w:after="0" w:line="20" w:lineRule="exact"/>
              <w:rPr>
                <w:sz w:val="1"/>
                <w:szCs w:val="1"/>
                <w:color w:val="auto"/>
              </w:rPr>
            </w:pPr>
          </w:p>
        </w:tc>
        <w:tc>
          <w:tcPr>
            <w:tcW w:w="560" w:type="dxa"/>
            <w:vAlign w:val="bottom"/>
            <w:tcBorders>
              <w:right w:val="single" w:sz="8" w:color="434F69"/>
            </w:tcBorders>
            <w:shd w:val="clear" w:color="auto" w:fill="434F69"/>
          </w:tcPr>
          <w:p>
            <w:pPr>
              <w:spacing w:after="0" w:line="20" w:lineRule="exact"/>
              <w:rPr>
                <w:sz w:val="1"/>
                <w:szCs w:val="1"/>
                <w:color w:val="auto"/>
              </w:rPr>
            </w:pPr>
          </w:p>
        </w:tc>
        <w:tc>
          <w:tcPr>
            <w:tcW w:w="80" w:type="dxa"/>
            <w:vAlign w:val="bottom"/>
            <w:shd w:val="clear" w:color="auto" w:fill="434F69"/>
          </w:tcPr>
          <w:p>
            <w:pPr>
              <w:spacing w:after="0" w:line="20" w:lineRule="exact"/>
              <w:rPr>
                <w:sz w:val="1"/>
                <w:szCs w:val="1"/>
                <w:color w:val="auto"/>
              </w:rPr>
            </w:pPr>
          </w:p>
        </w:tc>
        <w:tc>
          <w:tcPr>
            <w:tcW w:w="960" w:type="dxa"/>
            <w:vAlign w:val="bottom"/>
            <w:shd w:val="clear" w:color="auto" w:fill="434F69"/>
          </w:tcPr>
          <w:p>
            <w:pPr>
              <w:spacing w:after="0" w:line="20" w:lineRule="exact"/>
              <w:rPr>
                <w:sz w:val="1"/>
                <w:szCs w:val="1"/>
                <w:color w:val="auto"/>
              </w:rPr>
            </w:pPr>
          </w:p>
        </w:tc>
        <w:tc>
          <w:tcPr>
            <w:tcW w:w="740" w:type="dxa"/>
            <w:vAlign w:val="bottom"/>
            <w:tcBorders>
              <w:right w:val="single" w:sz="8" w:color="434F69"/>
            </w:tcBorders>
            <w:shd w:val="clear" w:color="auto" w:fill="434F6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620" w:right="479" w:hanging="360"/>
        <w:spacing w:after="0" w:line="227" w:lineRule="auto"/>
        <w:tabs>
          <w:tab w:leader="none" w:pos="1620" w:val="left"/>
        </w:tabs>
        <w:numPr>
          <w:ilvl w:val="0"/>
          <w:numId w:val="40"/>
        </w:numPr>
        <w:rPr>
          <w:rFonts w:ascii="Arial" w:cs="Arial" w:eastAsia="Arial" w:hAnsi="Arial"/>
          <w:sz w:val="27"/>
          <w:szCs w:val="27"/>
          <w:color w:val="auto"/>
          <w:vertAlign w:val="superscript"/>
        </w:rPr>
      </w:pPr>
      <w:r>
        <w:rPr>
          <w:rFonts w:ascii="Arial" w:cs="Arial" w:eastAsia="Arial" w:hAnsi="Arial"/>
          <w:sz w:val="18"/>
          <w:szCs w:val="18"/>
          <w:color w:val="auto"/>
        </w:rPr>
        <w:t>For comparison to our 2021 goals, the 2021 results reflected in the table above for Adjusted EBITDA and Implied DCF/Common Unit and CUE include adjustments to actual amounts reported to exclude approximately $77 million of Adjusted EBITDA attributable to noncontrolling interests in the Permian JV as the financial impact associated with the formation of the Permian JV was not included in the quantitative amounts established for our 2021 goals.</w:t>
      </w: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Individual Performance</w:t>
      </w:r>
    </w:p>
    <w:p>
      <w:pPr>
        <w:spacing w:after="0" w:line="162"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As noted above, individual performance accounts for 33% of the annual bonus opportunity for our Named Executive Officers. Each officer’s individual contributions toward satisfaction of company goals and objectives is evaluated and payouts may range from 0-200% of target. During 2021, the executive leadership team successfully led the organization through a very challenging year and worked closely to achieve the vast majority of the goals set at the beginning of the year, including the sale of our gas storage assets and completion of the complex Permian JV and integration of the Oryx assets and teams into Plains. Offsetting this strong operating and financial performance was our failure to achieve our environmental and safety improvement targets. The individual payout scores for our NEOs for 2021 are set forth in the table below and take these factors into account, together with the specific items described for each NEO in the table.</w:t>
      </w:r>
    </w:p>
    <w:p>
      <w:pPr>
        <w:spacing w:after="0" w:line="165" w:lineRule="exact"/>
        <w:rPr>
          <w:sz w:val="20"/>
          <w:szCs w:val="20"/>
          <w:color w:val="auto"/>
        </w:rPr>
      </w:pPr>
    </w:p>
    <w:tbl>
      <w:tblPr>
        <w:tblLayout w:type="fixed"/>
        <w:tblInd w:w="1270" w:type="dxa"/>
        <w:tblCellMar>
          <w:top w:w="0" w:type="dxa"/>
          <w:left w:w="0" w:type="dxa"/>
          <w:bottom w:w="0" w:type="dxa"/>
          <w:right w:w="0" w:type="dxa"/>
        </w:tblCellMar>
      </w:tblPr>
      <w:tr>
        <w:trPr>
          <w:trHeight w:val="189"/>
        </w:trPr>
        <w:tc>
          <w:tcPr>
            <w:tcW w:w="1420" w:type="dxa"/>
            <w:vAlign w:val="bottom"/>
            <w:tcBorders>
              <w:top w:val="single" w:sz="8" w:color="auto"/>
              <w:left w:val="single" w:sz="8" w:color="auto"/>
              <w:right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720" w:type="dxa"/>
            <w:vAlign w:val="bottom"/>
            <w:tcBorders>
              <w:top w:val="single" w:sz="8" w:color="auto"/>
              <w:right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Payout</w:t>
            </w:r>
          </w:p>
        </w:tc>
      </w:tr>
      <w:tr>
        <w:trPr>
          <w:trHeight w:val="196"/>
        </w:trPr>
        <w:tc>
          <w:tcPr>
            <w:tcW w:w="142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auto"/>
            </w:tcBorders>
          </w:tcPr>
          <w:p>
            <w:pPr>
              <w:spacing w:after="0"/>
              <w:rPr>
                <w:sz w:val="17"/>
                <w:szCs w:val="17"/>
                <w:color w:val="auto"/>
              </w:rPr>
            </w:pPr>
          </w:p>
        </w:tc>
        <w:tc>
          <w:tcPr>
            <w:tcW w:w="5720" w:type="dxa"/>
            <w:vAlign w:val="bottom"/>
            <w:tcBorders>
              <w:bottom w:val="single" w:sz="8" w:color="auto"/>
              <w:right w:val="single" w:sz="8" w:color="auto"/>
            </w:tcBorders>
          </w:tcPr>
          <w:p>
            <w:pPr>
              <w:ind w:left="1580"/>
              <w:spacing w:after="0"/>
              <w:rPr>
                <w:sz w:val="20"/>
                <w:szCs w:val="20"/>
                <w:color w:val="auto"/>
              </w:rPr>
            </w:pPr>
            <w:r>
              <w:rPr>
                <w:rFonts w:ascii="Arial" w:cs="Arial" w:eastAsia="Arial" w:hAnsi="Arial"/>
                <w:sz w:val="14"/>
                <w:szCs w:val="14"/>
                <w:b w:val="1"/>
                <w:bCs w:val="1"/>
                <w:color w:val="auto"/>
              </w:rPr>
              <w:t>Individual Performance Highlights</w:t>
            </w:r>
          </w:p>
        </w:tc>
        <w:tc>
          <w:tcPr>
            <w:tcW w:w="860" w:type="dxa"/>
            <w:vAlign w:val="bottom"/>
            <w:tcBorders>
              <w:bottom w:val="single" w:sz="8" w:color="auto"/>
              <w:right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Score</w:t>
            </w:r>
          </w:p>
        </w:tc>
      </w:tr>
      <w:tr>
        <w:trPr>
          <w:trHeight w:val="242"/>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Willie Chiang</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Overall leadership and tone setting</w:t>
            </w:r>
          </w:p>
        </w:tc>
        <w:tc>
          <w:tcPr>
            <w:tcW w:w="860" w:type="dxa"/>
            <w:vAlign w:val="bottom"/>
            <w:tcBorders>
              <w:right w:val="single" w:sz="8" w:color="auto"/>
            </w:tcBorders>
          </w:tcPr>
          <w:p>
            <w:pPr>
              <w:jc w:val="center"/>
              <w:ind w:right="115"/>
              <w:spacing w:after="0"/>
              <w:rPr>
                <w:sz w:val="20"/>
                <w:szCs w:val="20"/>
                <w:color w:val="auto"/>
              </w:rPr>
            </w:pPr>
            <w:r>
              <w:rPr>
                <w:rFonts w:ascii="Arial" w:cs="Arial" w:eastAsia="Arial" w:hAnsi="Arial"/>
                <w:sz w:val="18"/>
                <w:szCs w:val="18"/>
                <w:color w:val="auto"/>
                <w:w w:val="99"/>
              </w:rPr>
              <w:t>100%</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5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Investor engagement, capital allocation, ESG/sustainability</w:t>
            </w:r>
          </w:p>
        </w:tc>
        <w:tc>
          <w:tcPr>
            <w:tcW w:w="860" w:type="dxa"/>
            <w:vAlign w:val="bottom"/>
            <w:tcBorders>
              <w:right w:val="single" w:sz="8" w:color="auto"/>
            </w:tcBorders>
          </w:tcPr>
          <w:p>
            <w:pPr>
              <w:spacing w:after="0"/>
              <w:rPr>
                <w:sz w:val="18"/>
                <w:szCs w:val="18"/>
                <w:color w:val="auto"/>
              </w:rPr>
            </w:pPr>
          </w:p>
        </w:tc>
      </w:tr>
      <w:tr>
        <w:trPr>
          <w:trHeight w:val="189"/>
        </w:trPr>
        <w:tc>
          <w:tcPr>
            <w:tcW w:w="1420" w:type="dxa"/>
            <w:vAlign w:val="bottom"/>
            <w:tcBorders>
              <w:left w:val="single" w:sz="8" w:color="auto"/>
              <w:right w:val="single" w:sz="8" w:color="auto"/>
            </w:tcBorders>
          </w:tcPr>
          <w:p>
            <w:pPr>
              <w:spacing w:after="0"/>
              <w:rPr>
                <w:sz w:val="16"/>
                <w:szCs w:val="16"/>
                <w:color w:val="auto"/>
              </w:rPr>
            </w:pPr>
          </w:p>
        </w:tc>
        <w:tc>
          <w:tcPr>
            <w:tcW w:w="5940" w:type="dxa"/>
            <w:vAlign w:val="bottom"/>
            <w:tcBorders>
              <w:right w:val="single" w:sz="8" w:color="auto"/>
            </w:tcBorders>
            <w:gridSpan w:val="2"/>
          </w:tcPr>
          <w:p>
            <w:pPr>
              <w:ind w:left="100"/>
              <w:spacing w:after="0" w:line="189" w:lineRule="exact"/>
              <w:rPr>
                <w:sz w:val="20"/>
                <w:szCs w:val="20"/>
                <w:color w:val="auto"/>
              </w:rPr>
            </w:pPr>
            <w:r>
              <w:rPr>
                <w:rFonts w:ascii="Arial" w:cs="Arial" w:eastAsia="Arial" w:hAnsi="Arial"/>
                <w:sz w:val="18"/>
                <w:szCs w:val="18"/>
                <w:color w:val="auto"/>
              </w:rPr>
              <w:t>• Led strategic positioning for 2021+</w:t>
            </w:r>
          </w:p>
        </w:tc>
        <w:tc>
          <w:tcPr>
            <w:tcW w:w="860" w:type="dxa"/>
            <w:vAlign w:val="bottom"/>
            <w:tcBorders>
              <w:right w:val="single" w:sz="8" w:color="auto"/>
            </w:tcBorders>
          </w:tcPr>
          <w:p>
            <w:pPr>
              <w:spacing w:after="0"/>
              <w:rPr>
                <w:sz w:val="16"/>
                <w:szCs w:val="16"/>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Ongoing Board initiatives (new HSES committee), Leadership</w:t>
            </w:r>
          </w:p>
        </w:tc>
        <w:tc>
          <w:tcPr>
            <w:tcW w:w="860" w:type="dxa"/>
            <w:vAlign w:val="bottom"/>
            <w:tcBorders>
              <w:right w:val="single" w:sz="8" w:color="auto"/>
            </w:tcBorders>
          </w:tcPr>
          <w:p>
            <w:pPr>
              <w:spacing w:after="0"/>
              <w:rPr>
                <w:sz w:val="18"/>
                <w:szCs w:val="18"/>
                <w:color w:val="auto"/>
              </w:rPr>
            </w:pPr>
          </w:p>
        </w:tc>
      </w:tr>
      <w:tr>
        <w:trPr>
          <w:trHeight w:val="217"/>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development/succession</w:t>
            </w:r>
          </w:p>
        </w:tc>
        <w:tc>
          <w:tcPr>
            <w:tcW w:w="860" w:type="dxa"/>
            <w:vAlign w:val="bottom"/>
            <w:tcBorders>
              <w:right w:val="single" w:sz="8" w:color="auto"/>
            </w:tcBorders>
          </w:tcPr>
          <w:p>
            <w:pPr>
              <w:spacing w:after="0"/>
              <w:rPr>
                <w:sz w:val="18"/>
                <w:szCs w:val="18"/>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36"/>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Harry Pefanis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Significant role in structuring &amp; negotiating JVs &amp; divestitures</w:t>
            </w:r>
          </w:p>
        </w:tc>
        <w:tc>
          <w:tcPr>
            <w:tcW w:w="860" w:type="dxa"/>
            <w:vAlign w:val="bottom"/>
            <w:tcBorders>
              <w:right w:val="single" w:sz="8" w:color="auto"/>
            </w:tcBorders>
          </w:tcPr>
          <w:p>
            <w:pPr>
              <w:jc w:val="center"/>
              <w:ind w:right="115"/>
              <w:spacing w:after="0"/>
              <w:rPr>
                <w:sz w:val="20"/>
                <w:szCs w:val="20"/>
                <w:color w:val="auto"/>
              </w:rPr>
            </w:pPr>
            <w:r>
              <w:rPr>
                <w:rFonts w:ascii="Arial" w:cs="Arial" w:eastAsia="Arial" w:hAnsi="Arial"/>
                <w:sz w:val="18"/>
                <w:szCs w:val="18"/>
                <w:color w:val="auto"/>
                <w:w w:val="99"/>
              </w:rPr>
              <w:t>100%</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Mentor/develop key individuals</w:t>
            </w:r>
          </w:p>
        </w:tc>
        <w:tc>
          <w:tcPr>
            <w:tcW w:w="86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5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Strategic positioning for 2021+</w:t>
            </w:r>
          </w:p>
        </w:tc>
        <w:tc>
          <w:tcPr>
            <w:tcW w:w="860" w:type="dxa"/>
            <w:vAlign w:val="bottom"/>
            <w:tcBorders>
              <w:right w:val="single" w:sz="8" w:color="auto"/>
            </w:tcBorders>
          </w:tcPr>
          <w:p>
            <w:pPr>
              <w:spacing w:after="0"/>
              <w:rPr>
                <w:sz w:val="18"/>
                <w:szCs w:val="18"/>
                <w:color w:val="auto"/>
              </w:rPr>
            </w:pPr>
          </w:p>
        </w:tc>
      </w:tr>
      <w:tr>
        <w:trPr>
          <w:trHeight w:val="203"/>
        </w:trPr>
        <w:tc>
          <w:tcPr>
            <w:tcW w:w="1420" w:type="dxa"/>
            <w:vAlign w:val="bottom"/>
            <w:tcBorders>
              <w:left w:val="single" w:sz="8" w:color="auto"/>
              <w:right w:val="single" w:sz="8" w:color="auto"/>
            </w:tcBorders>
          </w:tcPr>
          <w:p>
            <w:pPr>
              <w:spacing w:after="0"/>
              <w:rPr>
                <w:sz w:val="17"/>
                <w:szCs w:val="17"/>
                <w:color w:val="auto"/>
              </w:rPr>
            </w:pP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57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Oversee/guide S&amp;L execution/performance</w:t>
            </w:r>
          </w:p>
        </w:tc>
        <w:tc>
          <w:tcPr>
            <w:tcW w:w="860" w:type="dxa"/>
            <w:vAlign w:val="bottom"/>
            <w:tcBorders>
              <w:right w:val="single" w:sz="8" w:color="auto"/>
            </w:tcBorders>
          </w:tcPr>
          <w:p>
            <w:pPr>
              <w:spacing w:after="0"/>
              <w:rPr>
                <w:sz w:val="17"/>
                <w:szCs w:val="17"/>
                <w:color w:val="auto"/>
              </w:rPr>
            </w:pPr>
          </w:p>
        </w:tc>
      </w:tr>
      <w:tr>
        <w:trPr>
          <w:trHeight w:val="224"/>
        </w:trPr>
        <w:tc>
          <w:tcPr>
            <w:tcW w:w="1420" w:type="dxa"/>
            <w:vAlign w:val="bottom"/>
            <w:tcBorders>
              <w:left w:val="single" w:sz="8" w:color="auto"/>
              <w:bottom w:val="single" w:sz="8" w:color="auto"/>
              <w:right w:val="single" w:sz="8" w:color="auto"/>
            </w:tcBorders>
          </w:tcPr>
          <w:p>
            <w:pPr>
              <w:spacing w:after="0"/>
              <w:rPr>
                <w:sz w:val="19"/>
                <w:szCs w:val="19"/>
                <w:color w:val="auto"/>
              </w:rPr>
            </w:pPr>
          </w:p>
        </w:tc>
        <w:tc>
          <w:tcPr>
            <w:tcW w:w="59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 Develop/maintain/enhance major commercial relationships</w:t>
            </w:r>
          </w:p>
        </w:tc>
        <w:tc>
          <w:tcPr>
            <w:tcW w:w="860" w:type="dxa"/>
            <w:vAlign w:val="bottom"/>
            <w:tcBorders>
              <w:bottom w:val="single" w:sz="8" w:color="auto"/>
              <w:right w:val="single" w:sz="8" w:color="auto"/>
            </w:tcBorders>
          </w:tcPr>
          <w:p>
            <w:pPr>
              <w:spacing w:after="0"/>
              <w:rPr>
                <w:sz w:val="19"/>
                <w:szCs w:val="19"/>
                <w:color w:val="auto"/>
              </w:rPr>
            </w:pPr>
          </w:p>
        </w:tc>
      </w:tr>
      <w:tr>
        <w:trPr>
          <w:trHeight w:val="242"/>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 Swanson</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Finance group leadership</w:t>
            </w:r>
          </w:p>
        </w:tc>
        <w:tc>
          <w:tcPr>
            <w:tcW w:w="860" w:type="dxa"/>
            <w:vAlign w:val="bottom"/>
            <w:tcBorders>
              <w:right w:val="single" w:sz="8" w:color="auto"/>
            </w:tcBorders>
          </w:tcPr>
          <w:p>
            <w:pPr>
              <w:jc w:val="center"/>
              <w:ind w:right="115"/>
              <w:spacing w:after="0"/>
              <w:rPr>
                <w:sz w:val="20"/>
                <w:szCs w:val="20"/>
                <w:color w:val="auto"/>
              </w:rPr>
            </w:pPr>
            <w:r>
              <w:rPr>
                <w:rFonts w:ascii="Arial" w:cs="Arial" w:eastAsia="Arial" w:hAnsi="Arial"/>
                <w:sz w:val="18"/>
                <w:szCs w:val="18"/>
                <w:color w:val="auto"/>
                <w:w w:val="99"/>
              </w:rPr>
              <w:t>125%</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5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Drive focus on maximizing free cash flow</w:t>
            </w:r>
          </w:p>
        </w:tc>
        <w:tc>
          <w:tcPr>
            <w:tcW w:w="86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5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Financial Strategy for 2021+</w:t>
            </w:r>
          </w:p>
        </w:tc>
        <w:tc>
          <w:tcPr>
            <w:tcW w:w="860" w:type="dxa"/>
            <w:vAlign w:val="bottom"/>
            <w:tcBorders>
              <w:right w:val="single" w:sz="8" w:color="auto"/>
            </w:tcBorders>
          </w:tcPr>
          <w:p>
            <w:pPr>
              <w:spacing w:after="0"/>
              <w:rPr>
                <w:sz w:val="18"/>
                <w:szCs w:val="18"/>
                <w:color w:val="auto"/>
              </w:rPr>
            </w:pPr>
          </w:p>
        </w:tc>
      </w:tr>
      <w:tr>
        <w:trPr>
          <w:trHeight w:val="203"/>
        </w:trPr>
        <w:tc>
          <w:tcPr>
            <w:tcW w:w="1420" w:type="dxa"/>
            <w:vAlign w:val="bottom"/>
            <w:tcBorders>
              <w:left w:val="single" w:sz="8" w:color="auto"/>
              <w:right w:val="single" w:sz="8" w:color="auto"/>
            </w:tcBorders>
          </w:tcPr>
          <w:p>
            <w:pPr>
              <w:spacing w:after="0"/>
              <w:rPr>
                <w:sz w:val="17"/>
                <w:szCs w:val="17"/>
                <w:color w:val="auto"/>
              </w:rPr>
            </w:pPr>
          </w:p>
        </w:tc>
        <w:tc>
          <w:tcPr>
            <w:tcW w:w="594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 Capital allocation/equity repurchase plan</w:t>
            </w:r>
          </w:p>
        </w:tc>
        <w:tc>
          <w:tcPr>
            <w:tcW w:w="860" w:type="dxa"/>
            <w:vAlign w:val="bottom"/>
            <w:tcBorders>
              <w:right w:val="single" w:sz="8" w:color="auto"/>
            </w:tcBorders>
          </w:tcPr>
          <w:p>
            <w:pPr>
              <w:spacing w:after="0"/>
              <w:rPr>
                <w:sz w:val="17"/>
                <w:szCs w:val="17"/>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Financial flexibility/committed liquidity</w:t>
            </w:r>
          </w:p>
        </w:tc>
        <w:tc>
          <w:tcPr>
            <w:tcW w:w="860" w:type="dxa"/>
            <w:vAlign w:val="bottom"/>
            <w:tcBorders>
              <w:right w:val="single" w:sz="8" w:color="auto"/>
            </w:tcBorders>
          </w:tcPr>
          <w:p>
            <w:pPr>
              <w:spacing w:after="0"/>
              <w:rPr>
                <w:sz w:val="18"/>
                <w:szCs w:val="18"/>
                <w:color w:val="auto"/>
              </w:rPr>
            </w:pPr>
          </w:p>
        </w:tc>
      </w:tr>
      <w:tr>
        <w:trPr>
          <w:trHeight w:val="217"/>
        </w:trPr>
        <w:tc>
          <w:tcPr>
            <w:tcW w:w="1420" w:type="dxa"/>
            <w:vAlign w:val="bottom"/>
            <w:tcBorders>
              <w:left w:val="single" w:sz="8" w:color="auto"/>
              <w:bottom w:val="single" w:sz="8" w:color="auto"/>
              <w:right w:val="single" w:sz="8" w:color="auto"/>
            </w:tcBorders>
          </w:tcPr>
          <w:p>
            <w:pPr>
              <w:spacing w:after="0"/>
              <w:rPr>
                <w:sz w:val="18"/>
                <w:szCs w:val="18"/>
                <w:color w:val="auto"/>
              </w:rPr>
            </w:pPr>
          </w:p>
        </w:tc>
        <w:tc>
          <w:tcPr>
            <w:tcW w:w="59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 Maintain/improve credit ratings: Moody’s upgrade</w:t>
            </w:r>
          </w:p>
        </w:tc>
        <w:tc>
          <w:tcPr>
            <w:tcW w:w="860" w:type="dxa"/>
            <w:vAlign w:val="bottom"/>
            <w:tcBorders>
              <w:bottom w:val="single" w:sz="8" w:color="auto"/>
              <w:right w:val="single" w:sz="8" w:color="auto"/>
            </w:tcBorders>
          </w:tcPr>
          <w:p>
            <w:pPr>
              <w:spacing w:after="0"/>
              <w:rPr>
                <w:sz w:val="18"/>
                <w:szCs w:val="18"/>
                <w:color w:val="auto"/>
              </w:rPr>
            </w:pPr>
          </w:p>
        </w:tc>
      </w:tr>
      <w:tr>
        <w:trPr>
          <w:trHeight w:val="222"/>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Richard McGee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Legal group leadership</w:t>
            </w:r>
          </w:p>
        </w:tc>
        <w:tc>
          <w:tcPr>
            <w:tcW w:w="860" w:type="dxa"/>
            <w:vAlign w:val="bottom"/>
            <w:tcBorders>
              <w:right w:val="single" w:sz="8" w:color="auto"/>
            </w:tcBorders>
          </w:tcPr>
          <w:p>
            <w:pPr>
              <w:jc w:val="center"/>
              <w:ind w:right="115"/>
              <w:spacing w:after="0"/>
              <w:rPr>
                <w:sz w:val="20"/>
                <w:szCs w:val="20"/>
                <w:color w:val="auto"/>
              </w:rPr>
            </w:pPr>
            <w:r>
              <w:rPr>
                <w:rFonts w:ascii="Arial" w:cs="Arial" w:eastAsia="Arial" w:hAnsi="Arial"/>
                <w:sz w:val="18"/>
                <w:szCs w:val="18"/>
                <w:color w:val="auto"/>
                <w:w w:val="99"/>
              </w:rPr>
              <w:t>150%</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5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Proactive/critical role for Permian JV &amp; PNG divestiture, other</w:t>
            </w:r>
          </w:p>
        </w:tc>
        <w:tc>
          <w:tcPr>
            <w:tcW w:w="860" w:type="dxa"/>
            <w:vAlign w:val="bottom"/>
            <w:tcBorders>
              <w:right w:val="single" w:sz="8" w:color="auto"/>
            </w:tcBorders>
          </w:tcPr>
          <w:p>
            <w:pPr>
              <w:spacing w:after="0"/>
              <w:rPr>
                <w:sz w:val="18"/>
                <w:szCs w:val="18"/>
                <w:color w:val="auto"/>
              </w:rPr>
            </w:pPr>
          </w:p>
        </w:tc>
      </w:tr>
      <w:tr>
        <w:trPr>
          <w:trHeight w:val="217"/>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transactions and key commercial arrangements</w:t>
            </w:r>
          </w:p>
        </w:tc>
        <w:tc>
          <w:tcPr>
            <w:tcW w:w="860" w:type="dxa"/>
            <w:vAlign w:val="bottom"/>
            <w:tcBorders>
              <w:right w:val="single" w:sz="8" w:color="auto"/>
            </w:tcBorders>
          </w:tcPr>
          <w:p>
            <w:pPr>
              <w:spacing w:after="0"/>
              <w:rPr>
                <w:sz w:val="18"/>
                <w:szCs w:val="18"/>
                <w:color w:val="auto"/>
              </w:rPr>
            </w:pPr>
          </w:p>
        </w:tc>
      </w:tr>
      <w:tr>
        <w:trPr>
          <w:trHeight w:val="202"/>
        </w:trPr>
        <w:tc>
          <w:tcPr>
            <w:tcW w:w="1420" w:type="dxa"/>
            <w:vAlign w:val="bottom"/>
            <w:tcBorders>
              <w:left w:val="single" w:sz="8" w:color="auto"/>
              <w:right w:val="single" w:sz="8" w:color="auto"/>
            </w:tcBorders>
          </w:tcPr>
          <w:p>
            <w:pPr>
              <w:spacing w:after="0"/>
              <w:rPr>
                <w:sz w:val="17"/>
                <w:szCs w:val="17"/>
                <w:color w:val="auto"/>
              </w:rPr>
            </w:pPr>
          </w:p>
        </w:tc>
        <w:tc>
          <w:tcPr>
            <w:tcW w:w="5940" w:type="dxa"/>
            <w:vAlign w:val="bottom"/>
            <w:tcBorders>
              <w:right w:val="single" w:sz="8" w:color="auto"/>
            </w:tcBorders>
            <w:gridSpan w:val="2"/>
          </w:tcPr>
          <w:p>
            <w:pPr>
              <w:ind w:left="100"/>
              <w:spacing w:after="0" w:line="201" w:lineRule="exact"/>
              <w:rPr>
                <w:sz w:val="20"/>
                <w:szCs w:val="20"/>
                <w:color w:val="auto"/>
              </w:rPr>
            </w:pPr>
            <w:r>
              <w:rPr>
                <w:rFonts w:ascii="Arial" w:cs="Arial" w:eastAsia="Arial" w:hAnsi="Arial"/>
                <w:sz w:val="18"/>
                <w:szCs w:val="18"/>
                <w:color w:val="auto"/>
              </w:rPr>
              <w:t>• Manage/mitigate Line 901 litigation exposure</w:t>
            </w:r>
          </w:p>
        </w:tc>
        <w:tc>
          <w:tcPr>
            <w:tcW w:w="860" w:type="dxa"/>
            <w:vAlign w:val="bottom"/>
            <w:tcBorders>
              <w:right w:val="single" w:sz="8" w:color="auto"/>
            </w:tcBorders>
          </w:tcPr>
          <w:p>
            <w:pPr>
              <w:spacing w:after="0"/>
              <w:rPr>
                <w:sz w:val="17"/>
                <w:szCs w:val="17"/>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5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Facilitated investor engagement effort, COVID matters and</w:t>
            </w:r>
          </w:p>
        </w:tc>
        <w:tc>
          <w:tcPr>
            <w:tcW w:w="860" w:type="dxa"/>
            <w:vAlign w:val="bottom"/>
            <w:tcBorders>
              <w:right w:val="single" w:sz="8" w:color="auto"/>
            </w:tcBorders>
          </w:tcPr>
          <w:p>
            <w:pPr>
              <w:spacing w:after="0"/>
              <w:rPr>
                <w:sz w:val="18"/>
                <w:szCs w:val="18"/>
                <w:color w:val="auto"/>
              </w:rPr>
            </w:pPr>
          </w:p>
        </w:tc>
      </w:tr>
      <w:tr>
        <w:trPr>
          <w:trHeight w:val="217"/>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governance/compensation initiatives</w:t>
            </w:r>
          </w:p>
        </w:tc>
        <w:tc>
          <w:tcPr>
            <w:tcW w:w="860" w:type="dxa"/>
            <w:vAlign w:val="bottom"/>
            <w:tcBorders>
              <w:right w:val="single" w:sz="8" w:color="auto"/>
            </w:tcBorders>
          </w:tcPr>
          <w:p>
            <w:pPr>
              <w:spacing w:after="0"/>
              <w:rPr>
                <w:sz w:val="18"/>
                <w:szCs w:val="18"/>
                <w:color w:val="auto"/>
              </w:rPr>
            </w:pPr>
          </w:p>
        </w:tc>
      </w:tr>
      <w:tr>
        <w:trPr>
          <w:trHeight w:val="40"/>
        </w:trPr>
        <w:tc>
          <w:tcPr>
            <w:tcW w:w="142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72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r>
      <w:tr>
        <w:trPr>
          <w:trHeight w:val="236"/>
        </w:trPr>
        <w:tc>
          <w:tcPr>
            <w:tcW w:w="1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Chris Chandler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Permian JV operational integration</w:t>
            </w:r>
          </w:p>
        </w:tc>
        <w:tc>
          <w:tcPr>
            <w:tcW w:w="860" w:type="dxa"/>
            <w:vAlign w:val="bottom"/>
            <w:tcBorders>
              <w:right w:val="single" w:sz="8" w:color="auto"/>
            </w:tcBorders>
          </w:tcPr>
          <w:p>
            <w:pPr>
              <w:jc w:val="center"/>
              <w:ind w:right="115"/>
              <w:spacing w:after="0"/>
              <w:rPr>
                <w:sz w:val="20"/>
                <w:szCs w:val="20"/>
                <w:color w:val="auto"/>
              </w:rPr>
            </w:pPr>
            <w:r>
              <w:rPr>
                <w:rFonts w:ascii="Arial" w:cs="Arial" w:eastAsia="Arial" w:hAnsi="Arial"/>
                <w:sz w:val="18"/>
                <w:szCs w:val="18"/>
                <w:color w:val="auto"/>
                <w:w w:val="99"/>
              </w:rPr>
              <w:t>135%</w:t>
            </w:r>
          </w:p>
        </w:tc>
      </w:tr>
      <w:tr>
        <w:trPr>
          <w:trHeight w:val="189"/>
        </w:trPr>
        <w:tc>
          <w:tcPr>
            <w:tcW w:w="1420" w:type="dxa"/>
            <w:vAlign w:val="bottom"/>
            <w:tcBorders>
              <w:left w:val="single" w:sz="8" w:color="auto"/>
              <w:right w:val="single" w:sz="8" w:color="auto"/>
            </w:tcBorders>
          </w:tcPr>
          <w:p>
            <w:pPr>
              <w:spacing w:after="0"/>
              <w:rPr>
                <w:sz w:val="16"/>
                <w:szCs w:val="16"/>
                <w:color w:val="auto"/>
              </w:rPr>
            </w:pPr>
          </w:p>
        </w:tc>
        <w:tc>
          <w:tcPr>
            <w:tcW w:w="220" w:type="dxa"/>
            <w:vAlign w:val="bottom"/>
          </w:tcPr>
          <w:p>
            <w:pPr>
              <w:ind w:left="100"/>
              <w:spacing w:after="0" w:line="189" w:lineRule="exact"/>
              <w:rPr>
                <w:sz w:val="20"/>
                <w:szCs w:val="20"/>
                <w:color w:val="auto"/>
              </w:rPr>
            </w:pPr>
            <w:r>
              <w:rPr>
                <w:rFonts w:ascii="Arial" w:cs="Arial" w:eastAsia="Arial" w:hAnsi="Arial"/>
                <w:sz w:val="18"/>
                <w:szCs w:val="18"/>
                <w:color w:val="auto"/>
              </w:rPr>
              <w:t>•</w:t>
            </w:r>
          </w:p>
        </w:tc>
        <w:tc>
          <w:tcPr>
            <w:tcW w:w="57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COVID company and operational leadership</w:t>
            </w:r>
          </w:p>
        </w:tc>
        <w:tc>
          <w:tcPr>
            <w:tcW w:w="860" w:type="dxa"/>
            <w:vAlign w:val="bottom"/>
            <w:tcBorders>
              <w:right w:val="single" w:sz="8" w:color="auto"/>
            </w:tcBorders>
          </w:tcPr>
          <w:p>
            <w:pPr>
              <w:spacing w:after="0"/>
              <w:rPr>
                <w:sz w:val="16"/>
                <w:szCs w:val="16"/>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5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ESG leadership with expanded disclosure, emissions inventory, and</w:t>
            </w:r>
          </w:p>
        </w:tc>
        <w:tc>
          <w:tcPr>
            <w:tcW w:w="86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Emerging Energy group</w:t>
            </w:r>
          </w:p>
        </w:tc>
        <w:tc>
          <w:tcPr>
            <w:tcW w:w="86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5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Cost leadership via convergence, capital discipline, energy efficiency,</w:t>
            </w:r>
          </w:p>
        </w:tc>
        <w:tc>
          <w:tcPr>
            <w:tcW w:w="86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 utility optimization</w:t>
            </w:r>
          </w:p>
        </w:tc>
        <w:tc>
          <w:tcPr>
            <w:tcW w:w="86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Co-led business segment reviews (with CCO) and development of</w:t>
            </w:r>
          </w:p>
        </w:tc>
        <w:tc>
          <w:tcPr>
            <w:tcW w:w="86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enhanced financial planning process</w:t>
            </w:r>
          </w:p>
        </w:tc>
        <w:tc>
          <w:tcPr>
            <w:tcW w:w="86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Improved injury severity and continued HSE process improvements;</w:t>
            </w:r>
          </w:p>
        </w:tc>
        <w:tc>
          <w:tcPr>
            <w:tcW w:w="86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but did not achieve HSE improvement goals and experienced two</w:t>
            </w:r>
          </w:p>
        </w:tc>
        <w:tc>
          <w:tcPr>
            <w:tcW w:w="860" w:type="dxa"/>
            <w:vAlign w:val="bottom"/>
            <w:tcBorders>
              <w:right w:val="single" w:sz="8" w:color="auto"/>
            </w:tcBorders>
          </w:tcPr>
          <w:p>
            <w:pPr>
              <w:spacing w:after="0"/>
              <w:rPr>
                <w:sz w:val="18"/>
                <w:szCs w:val="18"/>
                <w:color w:val="auto"/>
              </w:rPr>
            </w:pPr>
          </w:p>
        </w:tc>
      </w:tr>
      <w:tr>
        <w:trPr>
          <w:trHeight w:val="217"/>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process safety incidents in Canada</w:t>
            </w:r>
          </w:p>
        </w:tc>
        <w:tc>
          <w:tcPr>
            <w:tcW w:w="860" w:type="dxa"/>
            <w:vAlign w:val="bottom"/>
            <w:tcBorders>
              <w:right w:val="single" w:sz="8" w:color="auto"/>
            </w:tcBorders>
          </w:tcPr>
          <w:p>
            <w:pPr>
              <w:spacing w:after="0"/>
              <w:rPr>
                <w:sz w:val="18"/>
                <w:szCs w:val="18"/>
                <w:color w:val="auto"/>
              </w:rPr>
            </w:pPr>
          </w:p>
        </w:tc>
      </w:tr>
      <w:tr>
        <w:trPr>
          <w:trHeight w:val="40"/>
        </w:trPr>
        <w:tc>
          <w:tcPr>
            <w:tcW w:w="142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72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189"/>
        </w:trPr>
        <w:tc>
          <w:tcPr>
            <w:tcW w:w="1420" w:type="dxa"/>
            <w:vAlign w:val="bottom"/>
            <w:tcBorders>
              <w:top w:val="single" w:sz="8" w:color="auto"/>
              <w:left w:val="single" w:sz="8" w:color="auto"/>
              <w:right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720" w:type="dxa"/>
            <w:vAlign w:val="bottom"/>
            <w:tcBorders>
              <w:top w:val="single" w:sz="8" w:color="auto"/>
              <w:right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Payout</w:t>
            </w:r>
          </w:p>
        </w:tc>
      </w:tr>
      <w:tr>
        <w:trPr>
          <w:trHeight w:val="196"/>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auto"/>
            </w:tcBorders>
          </w:tcPr>
          <w:p>
            <w:pPr>
              <w:spacing w:after="0"/>
              <w:rPr>
                <w:sz w:val="17"/>
                <w:szCs w:val="17"/>
                <w:color w:val="auto"/>
              </w:rPr>
            </w:pPr>
          </w:p>
        </w:tc>
        <w:tc>
          <w:tcPr>
            <w:tcW w:w="5720" w:type="dxa"/>
            <w:vAlign w:val="bottom"/>
            <w:tcBorders>
              <w:bottom w:val="single" w:sz="8" w:color="auto"/>
              <w:right w:val="single" w:sz="8" w:color="auto"/>
            </w:tcBorders>
          </w:tcPr>
          <w:p>
            <w:pPr>
              <w:ind w:left="1580"/>
              <w:spacing w:after="0"/>
              <w:rPr>
                <w:sz w:val="20"/>
                <w:szCs w:val="20"/>
                <w:color w:val="auto"/>
              </w:rPr>
            </w:pPr>
            <w:r>
              <w:rPr>
                <w:rFonts w:ascii="Arial" w:cs="Arial" w:eastAsia="Arial" w:hAnsi="Arial"/>
                <w:sz w:val="14"/>
                <w:szCs w:val="14"/>
                <w:b w:val="1"/>
                <w:bCs w:val="1"/>
                <w:color w:val="auto"/>
              </w:rPr>
              <w:t>Individual Performance Highlights</w:t>
            </w:r>
          </w:p>
        </w:tc>
        <w:tc>
          <w:tcPr>
            <w:tcW w:w="860" w:type="dxa"/>
            <w:vAlign w:val="bottom"/>
            <w:tcBorders>
              <w:bottom w:val="single" w:sz="8" w:color="auto"/>
              <w:right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Score</w:t>
            </w:r>
          </w:p>
        </w:tc>
      </w:tr>
      <w:tr>
        <w:trPr>
          <w:trHeight w:val="255"/>
        </w:trPr>
        <w:tc>
          <w:tcPr>
            <w:tcW w:w="1420" w:type="dxa"/>
            <w:vAlign w:val="bottom"/>
            <w:tcBorders>
              <w:left w:val="single" w:sz="8" w:color="auto"/>
              <w:right w:val="single" w:sz="8" w:color="auto"/>
            </w:tcBorders>
          </w:tcPr>
          <w:p>
            <w:pPr>
              <w:jc w:val="center"/>
              <w:ind w:right="19"/>
              <w:spacing w:after="0"/>
              <w:rPr>
                <w:sz w:val="20"/>
                <w:szCs w:val="20"/>
                <w:color w:val="auto"/>
              </w:rPr>
            </w:pPr>
            <w:r>
              <w:rPr>
                <w:rFonts w:ascii="Arial" w:cs="Arial" w:eastAsia="Arial" w:hAnsi="Arial"/>
                <w:sz w:val="18"/>
                <w:szCs w:val="18"/>
                <w:color w:val="auto"/>
                <w:w w:val="98"/>
              </w:rPr>
              <w:t>Jeremy Goebel</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Assumed CCO role with responsibility for all commercial activities</w:t>
            </w:r>
          </w:p>
        </w:tc>
        <w:tc>
          <w:tcPr>
            <w:tcW w:w="860" w:type="dxa"/>
            <w:vAlign w:val="bottom"/>
            <w:tcBorders>
              <w:right w:val="single" w:sz="8" w:color="auto"/>
            </w:tcBorders>
          </w:tcPr>
          <w:p>
            <w:pPr>
              <w:jc w:val="center"/>
              <w:ind w:right="122"/>
              <w:spacing w:after="0"/>
              <w:rPr>
                <w:sz w:val="20"/>
                <w:szCs w:val="20"/>
                <w:color w:val="auto"/>
              </w:rPr>
            </w:pPr>
            <w:r>
              <w:rPr>
                <w:rFonts w:ascii="Arial" w:cs="Arial" w:eastAsia="Arial" w:hAnsi="Arial"/>
                <w:sz w:val="18"/>
                <w:szCs w:val="18"/>
                <w:color w:val="auto"/>
                <w:w w:val="99"/>
              </w:rPr>
              <w:t>195%</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5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Originated, structured and led Permian JV formation and commercial</w:t>
            </w:r>
          </w:p>
        </w:tc>
        <w:tc>
          <w:tcPr>
            <w:tcW w:w="860" w:type="dxa"/>
            <w:vAlign w:val="bottom"/>
            <w:tcBorders>
              <w:right w:val="single" w:sz="8" w:color="auto"/>
            </w:tcBorders>
          </w:tcPr>
          <w:p>
            <w:pPr>
              <w:spacing w:after="0"/>
              <w:rPr>
                <w:sz w:val="18"/>
                <w:szCs w:val="18"/>
                <w:color w:val="auto"/>
              </w:rPr>
            </w:pPr>
          </w:p>
        </w:tc>
      </w:tr>
      <w:tr>
        <w:trPr>
          <w:trHeight w:val="217"/>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integration</w:t>
            </w:r>
          </w:p>
        </w:tc>
        <w:tc>
          <w:tcPr>
            <w:tcW w:w="860" w:type="dxa"/>
            <w:vAlign w:val="bottom"/>
            <w:tcBorders>
              <w:right w:val="single" w:sz="8" w:color="auto"/>
            </w:tcBorders>
          </w:tcPr>
          <w:p>
            <w:pPr>
              <w:spacing w:after="0"/>
              <w:rPr>
                <w:sz w:val="18"/>
                <w:szCs w:val="18"/>
                <w:color w:val="auto"/>
              </w:rPr>
            </w:pPr>
          </w:p>
        </w:tc>
      </w:tr>
      <w:tr>
        <w:trPr>
          <w:trHeight w:val="243"/>
        </w:trPr>
        <w:tc>
          <w:tcPr>
            <w:tcW w:w="142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Led $875MM divestiture program (+$125MM proceeds)</w:t>
            </w:r>
          </w:p>
        </w:tc>
        <w:tc>
          <w:tcPr>
            <w:tcW w:w="860" w:type="dxa"/>
            <w:vAlign w:val="bottom"/>
            <w:tcBorders>
              <w:right w:val="single" w:sz="8" w:color="auto"/>
            </w:tcBorders>
          </w:tcPr>
          <w:p>
            <w:pPr>
              <w:spacing w:after="0"/>
              <w:rPr>
                <w:sz w:val="21"/>
                <w:szCs w:val="21"/>
                <w:color w:val="auto"/>
              </w:rPr>
            </w:pPr>
          </w:p>
        </w:tc>
      </w:tr>
      <w:tr>
        <w:trPr>
          <w:trHeight w:val="229"/>
        </w:trPr>
        <w:tc>
          <w:tcPr>
            <w:tcW w:w="1420" w:type="dxa"/>
            <w:vAlign w:val="bottom"/>
            <w:tcBorders>
              <w:left w:val="single" w:sz="8" w:color="auto"/>
              <w:right w:val="single" w:sz="8" w:color="auto"/>
            </w:tcBorders>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Co-led business segment reviews (with COO) and development of</w:t>
            </w:r>
          </w:p>
        </w:tc>
        <w:tc>
          <w:tcPr>
            <w:tcW w:w="860" w:type="dxa"/>
            <w:vAlign w:val="bottom"/>
            <w:tcBorders>
              <w:right w:val="single" w:sz="8" w:color="auto"/>
            </w:tcBorders>
          </w:tcPr>
          <w:p>
            <w:pPr>
              <w:spacing w:after="0"/>
              <w:rPr>
                <w:sz w:val="19"/>
                <w:szCs w:val="19"/>
                <w:color w:val="auto"/>
              </w:rPr>
            </w:pPr>
          </w:p>
        </w:tc>
      </w:tr>
      <w:tr>
        <w:trPr>
          <w:trHeight w:val="217"/>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enhanced financial planning process</w:t>
            </w:r>
          </w:p>
        </w:tc>
        <w:tc>
          <w:tcPr>
            <w:tcW w:w="860" w:type="dxa"/>
            <w:vAlign w:val="bottom"/>
            <w:tcBorders>
              <w:right w:val="single" w:sz="8" w:color="auto"/>
            </w:tcBorders>
          </w:tcPr>
          <w:p>
            <w:pPr>
              <w:spacing w:after="0"/>
              <w:rPr>
                <w:sz w:val="18"/>
                <w:szCs w:val="18"/>
                <w:color w:val="auto"/>
              </w:rPr>
            </w:pPr>
          </w:p>
        </w:tc>
      </w:tr>
      <w:tr>
        <w:trPr>
          <w:trHeight w:val="242"/>
        </w:trPr>
        <w:tc>
          <w:tcPr>
            <w:tcW w:w="1420" w:type="dxa"/>
            <w:vAlign w:val="bottom"/>
            <w:tcBorders>
              <w:left w:val="single" w:sz="8" w:color="auto"/>
              <w:right w:val="single" w:sz="8" w:color="auto"/>
            </w:tcBorders>
          </w:tcPr>
          <w:p>
            <w:pPr>
              <w:spacing w:after="0"/>
              <w:rPr>
                <w:sz w:val="21"/>
                <w:szCs w:val="21"/>
                <w:color w:val="auto"/>
              </w:rPr>
            </w:pPr>
          </w:p>
        </w:tc>
        <w:tc>
          <w:tcPr>
            <w:tcW w:w="5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Led optimization efforts capturing additional value throughout asset</w:t>
            </w:r>
          </w:p>
        </w:tc>
        <w:tc>
          <w:tcPr>
            <w:tcW w:w="860" w:type="dxa"/>
            <w:vAlign w:val="bottom"/>
            <w:tcBorders>
              <w:right w:val="single" w:sz="8" w:color="auto"/>
            </w:tcBorders>
          </w:tcPr>
          <w:p>
            <w:pPr>
              <w:spacing w:after="0"/>
              <w:rPr>
                <w:sz w:val="21"/>
                <w:szCs w:val="21"/>
                <w:color w:val="auto"/>
              </w:rPr>
            </w:pPr>
          </w:p>
        </w:tc>
      </w:tr>
      <w:tr>
        <w:trPr>
          <w:trHeight w:val="217"/>
        </w:trPr>
        <w:tc>
          <w:tcPr>
            <w:tcW w:w="142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base in challenging market</w:t>
            </w:r>
          </w:p>
        </w:tc>
        <w:tc>
          <w:tcPr>
            <w:tcW w:w="860" w:type="dxa"/>
            <w:vAlign w:val="bottom"/>
            <w:tcBorders>
              <w:right w:val="single" w:sz="8" w:color="auto"/>
            </w:tcBorders>
          </w:tcPr>
          <w:p>
            <w:pPr>
              <w:spacing w:after="0"/>
              <w:rPr>
                <w:sz w:val="18"/>
                <w:szCs w:val="18"/>
                <w:color w:val="auto"/>
              </w:rPr>
            </w:pPr>
          </w:p>
        </w:tc>
      </w:tr>
      <w:tr>
        <w:trPr>
          <w:trHeight w:val="243"/>
        </w:trPr>
        <w:tc>
          <w:tcPr>
            <w:tcW w:w="1420" w:type="dxa"/>
            <w:vAlign w:val="bottom"/>
            <w:tcBorders>
              <w:left w:val="single" w:sz="8" w:color="auto"/>
              <w:bottom w:val="single" w:sz="8" w:color="auto"/>
              <w:right w:val="single" w:sz="8" w:color="auto"/>
            </w:tcBorders>
          </w:tcPr>
          <w:p>
            <w:pPr>
              <w:spacing w:after="0"/>
              <w:rPr>
                <w:sz w:val="21"/>
                <w:szCs w:val="21"/>
                <w:color w:val="auto"/>
              </w:rPr>
            </w:pPr>
          </w:p>
        </w:tc>
        <w:tc>
          <w:tcPr>
            <w:tcW w:w="59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 Develop/maintain/enhance major commercial relationships</w:t>
            </w:r>
          </w:p>
        </w:tc>
        <w:tc>
          <w:tcPr>
            <w:tcW w:w="860" w:type="dxa"/>
            <w:vAlign w:val="bottom"/>
            <w:tcBorders>
              <w:bottom w:val="single" w:sz="8" w:color="auto"/>
              <w:right w:val="single" w:sz="8" w:color="auto"/>
            </w:tcBorders>
          </w:tcPr>
          <w:p>
            <w:pPr>
              <w:spacing w:after="0"/>
              <w:rPr>
                <w:sz w:val="21"/>
                <w:szCs w:val="21"/>
                <w:color w:val="auto"/>
              </w:rPr>
            </w:pPr>
          </w:p>
        </w:tc>
      </w:tr>
    </w:tbl>
    <w:p>
      <w:pPr>
        <w:spacing w:after="0" w:line="202"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color w:val="auto"/>
        </w:rPr>
        <w:t>After applying the individual performance scores set forth in the table above ranging from 100% to 195%, the total formulaic bonus payout calculation for our NEOs ranged from 114% to 146%, as set forth in the table below.</w:t>
      </w:r>
    </w:p>
    <w:p>
      <w:pPr>
        <w:spacing w:after="0" w:line="176" w:lineRule="exact"/>
        <w:rPr>
          <w:sz w:val="20"/>
          <w:szCs w:val="20"/>
          <w:color w:val="auto"/>
        </w:rPr>
      </w:pPr>
    </w:p>
    <w:tbl>
      <w:tblPr>
        <w:tblLayout w:type="fixed"/>
        <w:tblInd w:w="1270" w:type="dxa"/>
        <w:tblCellMar>
          <w:top w:w="0" w:type="dxa"/>
          <w:left w:w="0" w:type="dxa"/>
          <w:bottom w:w="0" w:type="dxa"/>
          <w:right w:w="0" w:type="dxa"/>
        </w:tblCellMar>
      </w:tblPr>
      <w:tr>
        <w:trPr>
          <w:trHeight w:val="329"/>
        </w:trPr>
        <w:tc>
          <w:tcPr>
            <w:tcW w:w="1800" w:type="dxa"/>
            <w:vAlign w:val="bottom"/>
            <w:tcBorders>
              <w:left w:val="single" w:sz="8" w:color="434F69"/>
              <w:bottom w:val="single" w:sz="8" w:color="434F69"/>
            </w:tcBorders>
            <w:shd w:val="clear" w:color="auto" w:fill="434F69"/>
          </w:tcPr>
          <w:p>
            <w:pPr>
              <w:spacing w:after="0"/>
              <w:rPr>
                <w:sz w:val="24"/>
                <w:szCs w:val="24"/>
                <w:color w:val="auto"/>
              </w:rPr>
            </w:pPr>
          </w:p>
        </w:tc>
        <w:tc>
          <w:tcPr>
            <w:tcW w:w="180" w:type="dxa"/>
            <w:vAlign w:val="bottom"/>
            <w:tcBorders>
              <w:bottom w:val="single" w:sz="8" w:color="434F69"/>
            </w:tcBorders>
            <w:shd w:val="clear" w:color="auto" w:fill="434F69"/>
          </w:tcPr>
          <w:p>
            <w:pPr>
              <w:spacing w:after="0"/>
              <w:rPr>
                <w:sz w:val="24"/>
                <w:szCs w:val="24"/>
                <w:color w:val="auto"/>
              </w:rPr>
            </w:pPr>
          </w:p>
        </w:tc>
        <w:tc>
          <w:tcPr>
            <w:tcW w:w="840" w:type="dxa"/>
            <w:vAlign w:val="bottom"/>
            <w:tcBorders>
              <w:bottom w:val="single" w:sz="8" w:color="434F69"/>
            </w:tcBorders>
            <w:shd w:val="clear" w:color="auto" w:fill="434F69"/>
          </w:tcPr>
          <w:p>
            <w:pPr>
              <w:spacing w:after="0"/>
              <w:rPr>
                <w:sz w:val="24"/>
                <w:szCs w:val="24"/>
                <w:color w:val="auto"/>
              </w:rPr>
            </w:pPr>
          </w:p>
        </w:tc>
        <w:tc>
          <w:tcPr>
            <w:tcW w:w="1740" w:type="dxa"/>
            <w:vAlign w:val="bottom"/>
            <w:tcBorders>
              <w:bottom w:val="single" w:sz="8" w:color="434F69"/>
            </w:tcBorders>
            <w:gridSpan w:val="3"/>
            <w:shd w:val="clear" w:color="auto" w:fill="434F69"/>
          </w:tcPr>
          <w:p>
            <w:pPr>
              <w:jc w:val="center"/>
              <w:spacing w:after="0"/>
              <w:rPr>
                <w:sz w:val="20"/>
                <w:szCs w:val="20"/>
                <w:color w:val="auto"/>
              </w:rPr>
            </w:pPr>
            <w:r>
              <w:rPr>
                <w:rFonts w:ascii="Arial" w:cs="Arial" w:eastAsia="Arial" w:hAnsi="Arial"/>
                <w:sz w:val="14"/>
                <w:szCs w:val="14"/>
                <w:b w:val="1"/>
                <w:bCs w:val="1"/>
                <w:color w:val="FFFFFF"/>
              </w:rPr>
              <w:t>Company Results</w:t>
            </w:r>
          </w:p>
        </w:tc>
        <w:tc>
          <w:tcPr>
            <w:tcW w:w="1740" w:type="dxa"/>
            <w:vAlign w:val="bottom"/>
            <w:tcBorders>
              <w:bottom w:val="single" w:sz="8" w:color="434F69"/>
            </w:tcBorders>
            <w:gridSpan w:val="3"/>
            <w:shd w:val="clear" w:color="auto" w:fill="434F69"/>
          </w:tcPr>
          <w:p>
            <w:pPr>
              <w:jc w:val="center"/>
              <w:spacing w:after="0"/>
              <w:rPr>
                <w:sz w:val="20"/>
                <w:szCs w:val="20"/>
                <w:color w:val="auto"/>
              </w:rPr>
            </w:pPr>
            <w:r>
              <w:rPr>
                <w:rFonts w:ascii="Arial" w:cs="Arial" w:eastAsia="Arial" w:hAnsi="Arial"/>
                <w:sz w:val="14"/>
                <w:szCs w:val="14"/>
                <w:b w:val="1"/>
                <w:bCs w:val="1"/>
                <w:color w:val="FFFFFF"/>
              </w:rPr>
              <w:t>Individual Results</w:t>
            </w:r>
          </w:p>
        </w:tc>
        <w:tc>
          <w:tcPr>
            <w:tcW w:w="60" w:type="dxa"/>
            <w:vAlign w:val="bottom"/>
            <w:tcBorders>
              <w:bottom w:val="single" w:sz="8" w:color="434F69"/>
            </w:tcBorders>
            <w:shd w:val="clear" w:color="auto" w:fill="434F69"/>
          </w:tcPr>
          <w:p>
            <w:pPr>
              <w:spacing w:after="0"/>
              <w:rPr>
                <w:sz w:val="24"/>
                <w:szCs w:val="24"/>
                <w:color w:val="auto"/>
              </w:rPr>
            </w:pPr>
          </w:p>
        </w:tc>
        <w:tc>
          <w:tcPr>
            <w:tcW w:w="780" w:type="dxa"/>
            <w:vAlign w:val="bottom"/>
            <w:tcBorders>
              <w:bottom w:val="single" w:sz="8" w:color="434F69"/>
            </w:tcBorders>
            <w:shd w:val="clear" w:color="auto" w:fill="434F69"/>
          </w:tcPr>
          <w:p>
            <w:pPr>
              <w:jc w:val="center"/>
              <w:ind w:right="16"/>
              <w:spacing w:after="0"/>
              <w:rPr>
                <w:sz w:val="20"/>
                <w:szCs w:val="20"/>
                <w:color w:val="auto"/>
              </w:rPr>
            </w:pPr>
            <w:r>
              <w:rPr>
                <w:rFonts w:ascii="Arial" w:cs="Arial" w:eastAsia="Arial" w:hAnsi="Arial"/>
                <w:sz w:val="14"/>
                <w:szCs w:val="14"/>
                <w:b w:val="1"/>
                <w:bCs w:val="1"/>
                <w:color w:val="FFFFFF"/>
              </w:rPr>
              <w:t>Percent of</w:t>
            </w:r>
          </w:p>
        </w:tc>
        <w:tc>
          <w:tcPr>
            <w:tcW w:w="200" w:type="dxa"/>
            <w:vAlign w:val="bottom"/>
            <w:tcBorders>
              <w:bottom w:val="single" w:sz="8" w:color="434F69"/>
            </w:tcBorders>
            <w:shd w:val="clear" w:color="auto" w:fill="434F69"/>
          </w:tcPr>
          <w:p>
            <w:pPr>
              <w:spacing w:after="0"/>
              <w:rPr>
                <w:sz w:val="24"/>
                <w:szCs w:val="24"/>
                <w:color w:val="auto"/>
              </w:rPr>
            </w:pPr>
          </w:p>
        </w:tc>
        <w:tc>
          <w:tcPr>
            <w:tcW w:w="880" w:type="dxa"/>
            <w:vAlign w:val="bottom"/>
            <w:tcBorders>
              <w:bottom w:val="single" w:sz="8" w:color="434F69"/>
              <w:right w:val="single" w:sz="8" w:color="434F69"/>
            </w:tcBorders>
            <w:shd w:val="clear" w:color="auto" w:fill="434F69"/>
          </w:tcPr>
          <w:p>
            <w:pPr>
              <w:spacing w:after="0"/>
              <w:rPr>
                <w:sz w:val="24"/>
                <w:szCs w:val="24"/>
                <w:color w:val="auto"/>
              </w:rPr>
            </w:pPr>
          </w:p>
        </w:tc>
      </w:tr>
      <w:tr>
        <w:trPr>
          <w:trHeight w:val="75"/>
        </w:trPr>
        <w:tc>
          <w:tcPr>
            <w:tcW w:w="1800" w:type="dxa"/>
            <w:vAlign w:val="bottom"/>
            <w:tcBorders>
              <w:top w:val="single" w:sz="8" w:color="434F69"/>
              <w:left w:val="single" w:sz="8" w:color="434F69"/>
            </w:tcBorders>
            <w:shd w:val="clear" w:color="auto" w:fill="434F69"/>
          </w:tcPr>
          <w:p>
            <w:pPr>
              <w:spacing w:after="0"/>
              <w:rPr>
                <w:sz w:val="6"/>
                <w:szCs w:val="6"/>
                <w:color w:val="auto"/>
              </w:rPr>
            </w:pPr>
          </w:p>
        </w:tc>
        <w:tc>
          <w:tcPr>
            <w:tcW w:w="1020" w:type="dxa"/>
            <w:vAlign w:val="bottom"/>
            <w:tcBorders>
              <w:top w:val="single" w:sz="8" w:color="434F69"/>
            </w:tcBorders>
            <w:gridSpan w:val="2"/>
            <w:shd w:val="clear" w:color="auto" w:fill="434F69"/>
          </w:tcPr>
          <w:p>
            <w:pPr>
              <w:jc w:val="center"/>
              <w:spacing w:after="0" w:line="75" w:lineRule="exact"/>
              <w:rPr>
                <w:sz w:val="20"/>
                <w:szCs w:val="20"/>
                <w:color w:val="auto"/>
              </w:rPr>
            </w:pPr>
            <w:r>
              <w:rPr>
                <w:rFonts w:ascii="Arial" w:cs="Arial" w:eastAsia="Arial" w:hAnsi="Arial"/>
                <w:sz w:val="8"/>
                <w:szCs w:val="8"/>
                <w:b w:val="1"/>
                <w:bCs w:val="1"/>
                <w:color w:val="FFFFFF"/>
              </w:rPr>
              <w:t>2021 Target</w:t>
            </w:r>
          </w:p>
        </w:tc>
        <w:tc>
          <w:tcPr>
            <w:tcW w:w="740" w:type="dxa"/>
            <w:vAlign w:val="bottom"/>
            <w:tcBorders>
              <w:top w:val="single" w:sz="8" w:color="auto"/>
            </w:tcBorders>
            <w:shd w:val="clear" w:color="auto" w:fill="434F69"/>
          </w:tcPr>
          <w:p>
            <w:pPr>
              <w:spacing w:after="0"/>
              <w:rPr>
                <w:sz w:val="6"/>
                <w:szCs w:val="6"/>
                <w:color w:val="auto"/>
              </w:rPr>
            </w:pPr>
          </w:p>
        </w:tc>
        <w:tc>
          <w:tcPr>
            <w:tcW w:w="220" w:type="dxa"/>
            <w:vAlign w:val="bottom"/>
            <w:tcBorders>
              <w:top w:val="single" w:sz="8" w:color="auto"/>
            </w:tcBorders>
            <w:shd w:val="clear" w:color="auto" w:fill="434F69"/>
          </w:tcPr>
          <w:p>
            <w:pPr>
              <w:spacing w:after="0"/>
              <w:rPr>
                <w:sz w:val="6"/>
                <w:szCs w:val="6"/>
                <w:color w:val="auto"/>
              </w:rPr>
            </w:pPr>
          </w:p>
        </w:tc>
        <w:tc>
          <w:tcPr>
            <w:tcW w:w="780" w:type="dxa"/>
            <w:vAlign w:val="bottom"/>
            <w:tcBorders>
              <w:top w:val="single" w:sz="8" w:color="auto"/>
            </w:tcBorders>
            <w:shd w:val="clear" w:color="auto" w:fill="434F69"/>
          </w:tcPr>
          <w:p>
            <w:pPr>
              <w:spacing w:after="0"/>
              <w:rPr>
                <w:sz w:val="6"/>
                <w:szCs w:val="6"/>
                <w:color w:val="auto"/>
              </w:rPr>
            </w:pPr>
          </w:p>
        </w:tc>
        <w:tc>
          <w:tcPr>
            <w:tcW w:w="760" w:type="dxa"/>
            <w:vAlign w:val="bottom"/>
            <w:tcBorders>
              <w:top w:val="single" w:sz="8" w:color="auto"/>
            </w:tcBorders>
            <w:shd w:val="clear" w:color="auto" w:fill="434F69"/>
          </w:tcPr>
          <w:p>
            <w:pPr>
              <w:spacing w:after="0"/>
              <w:rPr>
                <w:sz w:val="6"/>
                <w:szCs w:val="6"/>
                <w:color w:val="auto"/>
              </w:rPr>
            </w:pPr>
          </w:p>
        </w:tc>
        <w:tc>
          <w:tcPr>
            <w:tcW w:w="200" w:type="dxa"/>
            <w:vAlign w:val="bottom"/>
            <w:tcBorders>
              <w:top w:val="single" w:sz="8" w:color="auto"/>
            </w:tcBorders>
            <w:shd w:val="clear" w:color="auto" w:fill="434F69"/>
          </w:tcPr>
          <w:p>
            <w:pPr>
              <w:spacing w:after="0"/>
              <w:rPr>
                <w:sz w:val="6"/>
                <w:szCs w:val="6"/>
                <w:color w:val="auto"/>
              </w:rPr>
            </w:pPr>
          </w:p>
        </w:tc>
        <w:tc>
          <w:tcPr>
            <w:tcW w:w="780" w:type="dxa"/>
            <w:vAlign w:val="bottom"/>
            <w:tcBorders>
              <w:top w:val="single" w:sz="8" w:color="auto"/>
            </w:tcBorders>
            <w:shd w:val="clear" w:color="auto" w:fill="434F69"/>
          </w:tcPr>
          <w:p>
            <w:pPr>
              <w:spacing w:after="0"/>
              <w:rPr>
                <w:sz w:val="6"/>
                <w:szCs w:val="6"/>
                <w:color w:val="auto"/>
              </w:rPr>
            </w:pPr>
          </w:p>
        </w:tc>
        <w:tc>
          <w:tcPr>
            <w:tcW w:w="60" w:type="dxa"/>
            <w:vAlign w:val="bottom"/>
            <w:tcBorders>
              <w:top w:val="single" w:sz="8" w:color="434F69"/>
            </w:tcBorders>
            <w:shd w:val="clear" w:color="auto" w:fill="434F69"/>
          </w:tcPr>
          <w:p>
            <w:pPr>
              <w:spacing w:after="0"/>
              <w:rPr>
                <w:sz w:val="6"/>
                <w:szCs w:val="6"/>
                <w:color w:val="auto"/>
              </w:rPr>
            </w:pPr>
          </w:p>
        </w:tc>
        <w:tc>
          <w:tcPr>
            <w:tcW w:w="780" w:type="dxa"/>
            <w:vAlign w:val="bottom"/>
            <w:tcBorders>
              <w:top w:val="single" w:sz="8" w:color="434F69"/>
            </w:tcBorders>
            <w:shd w:val="clear" w:color="auto" w:fill="434F69"/>
          </w:tcPr>
          <w:p>
            <w:pPr>
              <w:jc w:val="center"/>
              <w:ind w:right="16"/>
              <w:spacing w:after="0" w:line="75" w:lineRule="exact"/>
              <w:rPr>
                <w:sz w:val="20"/>
                <w:szCs w:val="20"/>
                <w:color w:val="auto"/>
              </w:rPr>
            </w:pPr>
            <w:r>
              <w:rPr>
                <w:rFonts w:ascii="Arial" w:cs="Arial" w:eastAsia="Arial" w:hAnsi="Arial"/>
                <w:sz w:val="8"/>
                <w:szCs w:val="8"/>
                <w:b w:val="1"/>
                <w:bCs w:val="1"/>
                <w:color w:val="FFFFFF"/>
              </w:rPr>
              <w:t>Target</w:t>
            </w:r>
          </w:p>
        </w:tc>
        <w:tc>
          <w:tcPr>
            <w:tcW w:w="1080" w:type="dxa"/>
            <w:vAlign w:val="bottom"/>
            <w:tcBorders>
              <w:top w:val="single" w:sz="8" w:color="434F69"/>
              <w:right w:val="single" w:sz="8" w:color="434F69"/>
            </w:tcBorders>
            <w:gridSpan w:val="2"/>
            <w:shd w:val="clear" w:color="auto" w:fill="434F69"/>
          </w:tcPr>
          <w:p>
            <w:pPr>
              <w:ind w:left="120"/>
              <w:spacing w:after="0" w:line="75" w:lineRule="exact"/>
              <w:rPr>
                <w:sz w:val="20"/>
                <w:szCs w:val="20"/>
                <w:color w:val="auto"/>
              </w:rPr>
            </w:pPr>
            <w:r>
              <w:rPr>
                <w:rFonts w:ascii="Arial" w:cs="Arial" w:eastAsia="Arial" w:hAnsi="Arial"/>
                <w:sz w:val="8"/>
                <w:szCs w:val="8"/>
                <w:b w:val="1"/>
                <w:bCs w:val="1"/>
                <w:color w:val="FFFFFF"/>
              </w:rPr>
              <w:t>2021 Actual</w:t>
            </w:r>
          </w:p>
        </w:tc>
      </w:tr>
      <w:tr>
        <w:trPr>
          <w:trHeight w:val="162"/>
        </w:trPr>
        <w:tc>
          <w:tcPr>
            <w:tcW w:w="1800" w:type="dxa"/>
            <w:vAlign w:val="bottom"/>
            <w:tcBorders>
              <w:left w:val="single" w:sz="8" w:color="434F69"/>
            </w:tcBorders>
            <w:shd w:val="clear" w:color="auto" w:fill="434F69"/>
          </w:tcPr>
          <w:p>
            <w:pPr>
              <w:spacing w:after="0"/>
              <w:rPr>
                <w:sz w:val="14"/>
                <w:szCs w:val="14"/>
                <w:color w:val="auto"/>
              </w:rPr>
            </w:pPr>
          </w:p>
        </w:tc>
        <w:tc>
          <w:tcPr>
            <w:tcW w:w="180" w:type="dxa"/>
            <w:vAlign w:val="bottom"/>
            <w:shd w:val="clear" w:color="auto" w:fill="434F69"/>
          </w:tcPr>
          <w:p>
            <w:pPr>
              <w:spacing w:after="0"/>
              <w:rPr>
                <w:sz w:val="14"/>
                <w:szCs w:val="14"/>
                <w:color w:val="auto"/>
              </w:rPr>
            </w:pPr>
          </w:p>
        </w:tc>
        <w:tc>
          <w:tcPr>
            <w:tcW w:w="840" w:type="dxa"/>
            <w:vAlign w:val="bottom"/>
            <w:shd w:val="clear" w:color="auto" w:fill="434F69"/>
          </w:tcPr>
          <w:p>
            <w:pPr>
              <w:jc w:val="center"/>
              <w:ind w:right="115"/>
              <w:spacing w:after="0"/>
              <w:rPr>
                <w:sz w:val="20"/>
                <w:szCs w:val="20"/>
                <w:color w:val="auto"/>
              </w:rPr>
            </w:pPr>
            <w:r>
              <w:rPr>
                <w:rFonts w:ascii="Arial" w:cs="Arial" w:eastAsia="Arial" w:hAnsi="Arial"/>
                <w:sz w:val="14"/>
                <w:szCs w:val="14"/>
                <w:b w:val="1"/>
                <w:bCs w:val="1"/>
                <w:color w:val="FFFFFF"/>
              </w:rPr>
              <w:t>Bonus</w:t>
            </w:r>
          </w:p>
        </w:tc>
        <w:tc>
          <w:tcPr>
            <w:tcW w:w="740" w:type="dxa"/>
            <w:vAlign w:val="bottom"/>
            <w:shd w:val="clear" w:color="auto" w:fill="434F69"/>
          </w:tcPr>
          <w:p>
            <w:pPr>
              <w:jc w:val="right"/>
              <w:spacing w:after="0"/>
              <w:rPr>
                <w:sz w:val="20"/>
                <w:szCs w:val="20"/>
                <w:color w:val="auto"/>
              </w:rPr>
            </w:pPr>
            <w:r>
              <w:rPr>
                <w:rFonts w:ascii="Arial" w:cs="Arial" w:eastAsia="Arial" w:hAnsi="Arial"/>
                <w:sz w:val="14"/>
                <w:szCs w:val="14"/>
                <w:b w:val="1"/>
                <w:bCs w:val="1"/>
                <w:color w:val="FFFFFF"/>
              </w:rPr>
              <w:t>Company</w:t>
            </w:r>
          </w:p>
        </w:tc>
        <w:tc>
          <w:tcPr>
            <w:tcW w:w="220" w:type="dxa"/>
            <w:vAlign w:val="bottom"/>
            <w:shd w:val="clear" w:color="auto" w:fill="434F69"/>
          </w:tcPr>
          <w:p>
            <w:pPr>
              <w:spacing w:after="0"/>
              <w:rPr>
                <w:sz w:val="14"/>
                <w:szCs w:val="14"/>
                <w:color w:val="auto"/>
              </w:rPr>
            </w:pPr>
          </w:p>
        </w:tc>
        <w:tc>
          <w:tcPr>
            <w:tcW w:w="780" w:type="dxa"/>
            <w:vAlign w:val="bottom"/>
            <w:shd w:val="clear" w:color="auto" w:fill="434F69"/>
          </w:tcPr>
          <w:p>
            <w:pPr>
              <w:spacing w:after="0"/>
              <w:rPr>
                <w:sz w:val="14"/>
                <w:szCs w:val="14"/>
                <w:color w:val="auto"/>
              </w:rPr>
            </w:pPr>
          </w:p>
        </w:tc>
        <w:tc>
          <w:tcPr>
            <w:tcW w:w="760" w:type="dxa"/>
            <w:vAlign w:val="bottom"/>
            <w:shd w:val="clear" w:color="auto" w:fill="434F69"/>
          </w:tcPr>
          <w:p>
            <w:pPr>
              <w:jc w:val="right"/>
              <w:spacing w:after="0"/>
              <w:rPr>
                <w:sz w:val="20"/>
                <w:szCs w:val="20"/>
                <w:color w:val="auto"/>
              </w:rPr>
            </w:pPr>
            <w:r>
              <w:rPr>
                <w:rFonts w:ascii="Arial" w:cs="Arial" w:eastAsia="Arial" w:hAnsi="Arial"/>
                <w:sz w:val="14"/>
                <w:szCs w:val="14"/>
                <w:b w:val="1"/>
                <w:bCs w:val="1"/>
                <w:color w:val="FFFFFF"/>
              </w:rPr>
              <w:t>Individual</w:t>
            </w:r>
          </w:p>
        </w:tc>
        <w:tc>
          <w:tcPr>
            <w:tcW w:w="200" w:type="dxa"/>
            <w:vAlign w:val="bottom"/>
            <w:shd w:val="clear" w:color="auto" w:fill="434F69"/>
          </w:tcPr>
          <w:p>
            <w:pPr>
              <w:spacing w:after="0"/>
              <w:rPr>
                <w:sz w:val="14"/>
                <w:szCs w:val="14"/>
                <w:color w:val="auto"/>
              </w:rPr>
            </w:pPr>
          </w:p>
        </w:tc>
        <w:tc>
          <w:tcPr>
            <w:tcW w:w="780" w:type="dxa"/>
            <w:vAlign w:val="bottom"/>
            <w:shd w:val="clear" w:color="auto" w:fill="434F69"/>
          </w:tcPr>
          <w:p>
            <w:pPr>
              <w:spacing w:after="0"/>
              <w:rPr>
                <w:sz w:val="14"/>
                <w:szCs w:val="14"/>
                <w:color w:val="auto"/>
              </w:rPr>
            </w:pPr>
          </w:p>
        </w:tc>
        <w:tc>
          <w:tcPr>
            <w:tcW w:w="60" w:type="dxa"/>
            <w:vAlign w:val="bottom"/>
            <w:shd w:val="clear" w:color="auto" w:fill="434F69"/>
          </w:tcPr>
          <w:p>
            <w:pPr>
              <w:spacing w:after="0"/>
              <w:rPr>
                <w:sz w:val="14"/>
                <w:szCs w:val="14"/>
                <w:color w:val="auto"/>
              </w:rPr>
            </w:pPr>
          </w:p>
        </w:tc>
        <w:tc>
          <w:tcPr>
            <w:tcW w:w="780" w:type="dxa"/>
            <w:vAlign w:val="bottom"/>
            <w:shd w:val="clear" w:color="auto" w:fill="434F69"/>
          </w:tcPr>
          <w:p>
            <w:pPr>
              <w:jc w:val="center"/>
              <w:ind w:right="16"/>
              <w:spacing w:after="0"/>
              <w:rPr>
                <w:sz w:val="20"/>
                <w:szCs w:val="20"/>
                <w:color w:val="auto"/>
              </w:rPr>
            </w:pPr>
            <w:r>
              <w:rPr>
                <w:rFonts w:ascii="Arial" w:cs="Arial" w:eastAsia="Arial" w:hAnsi="Arial"/>
                <w:sz w:val="14"/>
                <w:szCs w:val="14"/>
                <w:b w:val="1"/>
                <w:bCs w:val="1"/>
                <w:color w:val="FFFFFF"/>
              </w:rPr>
              <w:t>Bonus</w:t>
            </w:r>
          </w:p>
        </w:tc>
        <w:tc>
          <w:tcPr>
            <w:tcW w:w="200" w:type="dxa"/>
            <w:vAlign w:val="bottom"/>
            <w:shd w:val="clear" w:color="auto" w:fill="434F69"/>
          </w:tcPr>
          <w:p>
            <w:pPr>
              <w:spacing w:after="0"/>
              <w:rPr>
                <w:sz w:val="14"/>
                <w:szCs w:val="14"/>
                <w:color w:val="auto"/>
              </w:rPr>
            </w:pPr>
          </w:p>
        </w:tc>
        <w:tc>
          <w:tcPr>
            <w:tcW w:w="880" w:type="dxa"/>
            <w:vAlign w:val="bottom"/>
            <w:tcBorders>
              <w:right w:val="single" w:sz="8" w:color="434F69"/>
            </w:tcBorders>
            <w:shd w:val="clear" w:color="auto" w:fill="434F69"/>
          </w:tcPr>
          <w:p>
            <w:pPr>
              <w:jc w:val="right"/>
              <w:ind w:right="255"/>
              <w:spacing w:after="0"/>
              <w:rPr>
                <w:sz w:val="20"/>
                <w:szCs w:val="20"/>
                <w:color w:val="auto"/>
              </w:rPr>
            </w:pPr>
            <w:r>
              <w:rPr>
                <w:rFonts w:ascii="Arial" w:cs="Arial" w:eastAsia="Arial" w:hAnsi="Arial"/>
                <w:sz w:val="14"/>
                <w:szCs w:val="14"/>
                <w:b w:val="1"/>
                <w:bCs w:val="1"/>
                <w:color w:val="FFFFFF"/>
              </w:rPr>
              <w:t>Bonus</w:t>
            </w:r>
          </w:p>
        </w:tc>
      </w:tr>
      <w:tr>
        <w:trPr>
          <w:trHeight w:val="230"/>
        </w:trPr>
        <w:tc>
          <w:tcPr>
            <w:tcW w:w="1800" w:type="dxa"/>
            <w:vAlign w:val="bottom"/>
            <w:tcBorders>
              <w:left w:val="single" w:sz="8" w:color="434F69"/>
            </w:tcBorders>
            <w:shd w:val="clear" w:color="auto" w:fill="434F69"/>
          </w:tcPr>
          <w:p>
            <w:pPr>
              <w:ind w:left="40"/>
              <w:spacing w:after="0"/>
              <w:rPr>
                <w:sz w:val="20"/>
                <w:szCs w:val="20"/>
                <w:color w:val="auto"/>
              </w:rPr>
            </w:pPr>
            <w:r>
              <w:rPr>
                <w:rFonts w:ascii="Arial" w:cs="Arial" w:eastAsia="Arial" w:hAnsi="Arial"/>
                <w:sz w:val="14"/>
                <w:szCs w:val="14"/>
                <w:b w:val="1"/>
                <w:bCs w:val="1"/>
                <w:color w:val="FFFFFF"/>
              </w:rPr>
              <w:t>Named Executive Officer</w:t>
            </w:r>
          </w:p>
        </w:tc>
        <w:tc>
          <w:tcPr>
            <w:tcW w:w="180" w:type="dxa"/>
            <w:vAlign w:val="bottom"/>
            <w:shd w:val="clear" w:color="auto" w:fill="434F69"/>
          </w:tcPr>
          <w:p>
            <w:pPr>
              <w:spacing w:after="0"/>
              <w:rPr>
                <w:sz w:val="19"/>
                <w:szCs w:val="19"/>
                <w:color w:val="auto"/>
              </w:rPr>
            </w:pPr>
          </w:p>
        </w:tc>
        <w:tc>
          <w:tcPr>
            <w:tcW w:w="840" w:type="dxa"/>
            <w:vAlign w:val="bottom"/>
            <w:shd w:val="clear" w:color="auto" w:fill="434F69"/>
          </w:tcPr>
          <w:p>
            <w:pPr>
              <w:jc w:val="center"/>
              <w:ind w:right="95"/>
              <w:spacing w:after="0"/>
              <w:rPr>
                <w:sz w:val="20"/>
                <w:szCs w:val="20"/>
                <w:color w:val="auto"/>
              </w:rPr>
            </w:pPr>
            <w:r>
              <w:rPr>
                <w:rFonts w:ascii="Arial" w:cs="Arial" w:eastAsia="Arial" w:hAnsi="Arial"/>
                <w:sz w:val="14"/>
                <w:szCs w:val="14"/>
                <w:b w:val="1"/>
                <w:bCs w:val="1"/>
                <w:color w:val="FFFFFF"/>
              </w:rPr>
              <w:t>Amount</w:t>
            </w:r>
          </w:p>
        </w:tc>
        <w:tc>
          <w:tcPr>
            <w:tcW w:w="740" w:type="dxa"/>
            <w:vAlign w:val="bottom"/>
            <w:shd w:val="clear" w:color="auto" w:fill="434F69"/>
          </w:tcPr>
          <w:p>
            <w:pPr>
              <w:jc w:val="right"/>
              <w:ind w:right="56"/>
              <w:spacing w:after="0"/>
              <w:rPr>
                <w:sz w:val="20"/>
                <w:szCs w:val="20"/>
                <w:color w:val="auto"/>
              </w:rPr>
            </w:pPr>
            <w:r>
              <w:rPr>
                <w:rFonts w:ascii="Arial" w:cs="Arial" w:eastAsia="Arial" w:hAnsi="Arial"/>
                <w:sz w:val="14"/>
                <w:szCs w:val="14"/>
                <w:b w:val="1"/>
                <w:bCs w:val="1"/>
                <w:color w:val="FFFFFF"/>
              </w:rPr>
              <w:t>Score</w:t>
            </w:r>
          </w:p>
        </w:tc>
        <w:tc>
          <w:tcPr>
            <w:tcW w:w="220" w:type="dxa"/>
            <w:vAlign w:val="bottom"/>
            <w:shd w:val="clear" w:color="auto" w:fill="434F69"/>
          </w:tcPr>
          <w:p>
            <w:pPr>
              <w:spacing w:after="0"/>
              <w:rPr>
                <w:sz w:val="19"/>
                <w:szCs w:val="19"/>
                <w:color w:val="auto"/>
              </w:rPr>
            </w:pPr>
          </w:p>
        </w:tc>
        <w:tc>
          <w:tcPr>
            <w:tcW w:w="780" w:type="dxa"/>
            <w:vAlign w:val="bottom"/>
            <w:shd w:val="clear" w:color="auto" w:fill="434F69"/>
          </w:tcPr>
          <w:p>
            <w:pPr>
              <w:jc w:val="right"/>
              <w:ind w:right="173"/>
              <w:spacing w:after="0"/>
              <w:rPr>
                <w:sz w:val="20"/>
                <w:szCs w:val="20"/>
                <w:color w:val="auto"/>
              </w:rPr>
            </w:pPr>
            <w:r>
              <w:rPr>
                <w:rFonts w:ascii="Arial" w:cs="Arial" w:eastAsia="Arial" w:hAnsi="Arial"/>
                <w:sz w:val="14"/>
                <w:szCs w:val="14"/>
                <w:b w:val="1"/>
                <w:bCs w:val="1"/>
                <w:color w:val="FFFFFF"/>
              </w:rPr>
              <w:t>Weight</w:t>
            </w:r>
          </w:p>
        </w:tc>
        <w:tc>
          <w:tcPr>
            <w:tcW w:w="760" w:type="dxa"/>
            <w:vAlign w:val="bottom"/>
            <w:shd w:val="clear" w:color="auto" w:fill="434F69"/>
          </w:tcPr>
          <w:p>
            <w:pPr>
              <w:jc w:val="right"/>
              <w:ind w:right="96"/>
              <w:spacing w:after="0"/>
              <w:rPr>
                <w:sz w:val="20"/>
                <w:szCs w:val="20"/>
                <w:color w:val="auto"/>
              </w:rPr>
            </w:pPr>
            <w:r>
              <w:rPr>
                <w:rFonts w:ascii="Arial" w:cs="Arial" w:eastAsia="Arial" w:hAnsi="Arial"/>
                <w:sz w:val="14"/>
                <w:szCs w:val="14"/>
                <w:b w:val="1"/>
                <w:bCs w:val="1"/>
                <w:color w:val="FFFFFF"/>
              </w:rPr>
              <w:t>Score</w:t>
            </w:r>
          </w:p>
        </w:tc>
        <w:tc>
          <w:tcPr>
            <w:tcW w:w="200" w:type="dxa"/>
            <w:vAlign w:val="bottom"/>
            <w:shd w:val="clear" w:color="auto" w:fill="434F69"/>
          </w:tcPr>
          <w:p>
            <w:pPr>
              <w:spacing w:after="0"/>
              <w:rPr>
                <w:sz w:val="19"/>
                <w:szCs w:val="19"/>
                <w:color w:val="auto"/>
              </w:rPr>
            </w:pPr>
          </w:p>
        </w:tc>
        <w:tc>
          <w:tcPr>
            <w:tcW w:w="780" w:type="dxa"/>
            <w:vAlign w:val="bottom"/>
            <w:shd w:val="clear" w:color="auto" w:fill="434F69"/>
          </w:tcPr>
          <w:p>
            <w:pPr>
              <w:jc w:val="right"/>
              <w:ind w:right="173"/>
              <w:spacing w:after="0"/>
              <w:rPr>
                <w:sz w:val="20"/>
                <w:szCs w:val="20"/>
                <w:color w:val="auto"/>
              </w:rPr>
            </w:pPr>
            <w:r>
              <w:rPr>
                <w:rFonts w:ascii="Arial" w:cs="Arial" w:eastAsia="Arial" w:hAnsi="Arial"/>
                <w:sz w:val="14"/>
                <w:szCs w:val="14"/>
                <w:b w:val="1"/>
                <w:bCs w:val="1"/>
                <w:color w:val="FFFFFF"/>
              </w:rPr>
              <w:t>Weight</w:t>
            </w:r>
          </w:p>
        </w:tc>
        <w:tc>
          <w:tcPr>
            <w:tcW w:w="60" w:type="dxa"/>
            <w:vAlign w:val="bottom"/>
            <w:shd w:val="clear" w:color="auto" w:fill="434F69"/>
          </w:tcPr>
          <w:p>
            <w:pPr>
              <w:spacing w:after="0"/>
              <w:rPr>
                <w:sz w:val="19"/>
                <w:szCs w:val="19"/>
                <w:color w:val="auto"/>
              </w:rPr>
            </w:pPr>
          </w:p>
        </w:tc>
        <w:tc>
          <w:tcPr>
            <w:tcW w:w="7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Earned</w:t>
            </w:r>
          </w:p>
        </w:tc>
        <w:tc>
          <w:tcPr>
            <w:tcW w:w="200" w:type="dxa"/>
            <w:vAlign w:val="bottom"/>
            <w:shd w:val="clear" w:color="auto" w:fill="434F69"/>
          </w:tcPr>
          <w:p>
            <w:pPr>
              <w:spacing w:after="0"/>
              <w:rPr>
                <w:sz w:val="19"/>
                <w:szCs w:val="19"/>
                <w:color w:val="auto"/>
              </w:rPr>
            </w:pPr>
          </w:p>
        </w:tc>
        <w:tc>
          <w:tcPr>
            <w:tcW w:w="880" w:type="dxa"/>
            <w:vAlign w:val="bottom"/>
            <w:tcBorders>
              <w:right w:val="single" w:sz="8" w:color="434F69"/>
            </w:tcBorders>
            <w:shd w:val="clear" w:color="auto" w:fill="434F69"/>
          </w:tcPr>
          <w:p>
            <w:pPr>
              <w:jc w:val="right"/>
              <w:ind w:right="135"/>
              <w:spacing w:after="0"/>
              <w:rPr>
                <w:sz w:val="20"/>
                <w:szCs w:val="20"/>
                <w:color w:val="auto"/>
              </w:rPr>
            </w:pPr>
            <w:r>
              <w:rPr>
                <w:rFonts w:ascii="Arial" w:cs="Arial" w:eastAsia="Arial" w:hAnsi="Arial"/>
                <w:sz w:val="14"/>
                <w:szCs w:val="14"/>
                <w:b w:val="1"/>
                <w:bCs w:val="1"/>
                <w:color w:val="FFFFFF"/>
                <w:w w:val="95"/>
              </w:rPr>
              <w:t>Amount</w:t>
            </w:r>
            <w:r>
              <w:rPr>
                <w:rFonts w:ascii="Arial" w:cs="Arial" w:eastAsia="Arial" w:hAnsi="Arial"/>
                <w:sz w:val="17"/>
                <w:szCs w:val="17"/>
                <w:b w:val="1"/>
                <w:bCs w:val="1"/>
                <w:color w:val="FFFFFF"/>
                <w:w w:val="95"/>
                <w:vertAlign w:val="superscript"/>
              </w:rPr>
              <w:t>(1)</w:t>
            </w:r>
          </w:p>
        </w:tc>
      </w:tr>
      <w:tr>
        <w:trPr>
          <w:trHeight w:val="250"/>
        </w:trPr>
        <w:tc>
          <w:tcPr>
            <w:tcW w:w="1800" w:type="dxa"/>
            <w:vAlign w:val="bottom"/>
            <w:tcBorders>
              <w:left w:val="single" w:sz="8" w:color="434F69"/>
              <w:bottom w:val="single" w:sz="8" w:color="434F69"/>
            </w:tcBorders>
            <w:shd w:val="clear" w:color="auto" w:fill="D9DCE1"/>
          </w:tcPr>
          <w:p>
            <w:pPr>
              <w:ind w:left="40"/>
              <w:spacing w:after="0"/>
              <w:rPr>
                <w:sz w:val="20"/>
                <w:szCs w:val="20"/>
                <w:color w:val="auto"/>
              </w:rPr>
            </w:pPr>
            <w:r>
              <w:rPr>
                <w:rFonts w:ascii="Arial" w:cs="Arial" w:eastAsia="Arial" w:hAnsi="Arial"/>
                <w:sz w:val="18"/>
                <w:szCs w:val="18"/>
                <w:color w:val="auto"/>
              </w:rPr>
              <w:t>Willie Chiang</w:t>
            </w:r>
          </w:p>
        </w:tc>
        <w:tc>
          <w:tcPr>
            <w:tcW w:w="1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w w:val="97"/>
              </w:rPr>
              <w:t>1,500,000</w:t>
            </w:r>
          </w:p>
        </w:tc>
        <w:tc>
          <w:tcPr>
            <w:tcW w:w="7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67% +</w:t>
            </w:r>
          </w:p>
        </w:tc>
        <w:tc>
          <w:tcPr>
            <w:tcW w:w="76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33% =</w:t>
            </w:r>
          </w:p>
        </w:tc>
        <w:tc>
          <w:tcPr>
            <w:tcW w:w="840" w:type="dxa"/>
            <w:vAlign w:val="bottom"/>
            <w:tcBorders>
              <w:bottom w:val="single" w:sz="8" w:color="434F69"/>
            </w:tcBorders>
            <w:gridSpan w:val="2"/>
            <w:shd w:val="clear" w:color="auto" w:fill="D9DCE1"/>
          </w:tcPr>
          <w:p>
            <w:pPr>
              <w:jc w:val="right"/>
              <w:ind w:right="36"/>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w w:val="97"/>
              </w:rPr>
              <w:t>1,720,000</w:t>
            </w:r>
          </w:p>
        </w:tc>
      </w:tr>
      <w:tr>
        <w:trPr>
          <w:trHeight w:val="250"/>
        </w:trPr>
        <w:tc>
          <w:tcPr>
            <w:tcW w:w="1800" w:type="dxa"/>
            <w:vAlign w:val="bottom"/>
            <w:tcBorders>
              <w:left w:val="single" w:sz="8" w:color="434F69"/>
              <w:bottom w:val="single" w:sz="8" w:color="434F69"/>
            </w:tcBorders>
          </w:tcPr>
          <w:p>
            <w:pPr>
              <w:ind w:left="40"/>
              <w:spacing w:after="0"/>
              <w:rPr>
                <w:sz w:val="20"/>
                <w:szCs w:val="20"/>
                <w:color w:val="auto"/>
              </w:rPr>
            </w:pPr>
            <w:r>
              <w:rPr>
                <w:rFonts w:ascii="Arial" w:cs="Arial" w:eastAsia="Arial" w:hAnsi="Arial"/>
                <w:sz w:val="18"/>
                <w:szCs w:val="18"/>
                <w:color w:val="auto"/>
              </w:rPr>
              <w:t>Harry Pefanis</w:t>
            </w:r>
          </w:p>
        </w:tc>
        <w:tc>
          <w:tcPr>
            <w:tcW w:w="1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w w:val="97"/>
              </w:rPr>
              <w:t>1,000,000</w:t>
            </w:r>
          </w:p>
        </w:tc>
        <w:tc>
          <w:tcPr>
            <w:tcW w:w="7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434F69"/>
            </w:tcBorders>
          </w:tcPr>
          <w:p>
            <w:pPr>
              <w:jc w:val="center"/>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67% +</w:t>
            </w:r>
          </w:p>
        </w:tc>
        <w:tc>
          <w:tcPr>
            <w:tcW w:w="76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434F69"/>
            </w:tcBorders>
          </w:tcPr>
          <w:p>
            <w:pPr>
              <w:jc w:val="center"/>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33% =</w:t>
            </w:r>
          </w:p>
        </w:tc>
        <w:tc>
          <w:tcPr>
            <w:tcW w:w="840" w:type="dxa"/>
            <w:vAlign w:val="bottom"/>
            <w:tcBorders>
              <w:bottom w:val="single" w:sz="8" w:color="434F69"/>
            </w:tcBorders>
            <w:gridSpan w:val="2"/>
          </w:tcPr>
          <w:p>
            <w:pPr>
              <w:jc w:val="right"/>
              <w:ind w:right="36"/>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w w:val="97"/>
              </w:rPr>
              <w:t>1,150,000</w:t>
            </w:r>
          </w:p>
        </w:tc>
      </w:tr>
      <w:tr>
        <w:trPr>
          <w:trHeight w:val="250"/>
        </w:trPr>
        <w:tc>
          <w:tcPr>
            <w:tcW w:w="1800" w:type="dxa"/>
            <w:vAlign w:val="bottom"/>
            <w:tcBorders>
              <w:left w:val="single" w:sz="8" w:color="434F69"/>
              <w:bottom w:val="single" w:sz="8" w:color="434F69"/>
            </w:tcBorders>
            <w:shd w:val="clear" w:color="auto" w:fill="D9DCE1"/>
          </w:tcPr>
          <w:p>
            <w:pPr>
              <w:ind w:left="40"/>
              <w:spacing w:after="0"/>
              <w:rPr>
                <w:sz w:val="20"/>
                <w:szCs w:val="20"/>
                <w:color w:val="auto"/>
              </w:rPr>
            </w:pPr>
            <w:r>
              <w:rPr>
                <w:rFonts w:ascii="Arial" w:cs="Arial" w:eastAsia="Arial" w:hAnsi="Arial"/>
                <w:sz w:val="18"/>
                <w:szCs w:val="18"/>
                <w:color w:val="auto"/>
              </w:rPr>
              <w:t>Al Swanson</w:t>
            </w:r>
          </w:p>
        </w:tc>
        <w:tc>
          <w:tcPr>
            <w:tcW w:w="1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800,000</w:t>
            </w:r>
          </w:p>
        </w:tc>
        <w:tc>
          <w:tcPr>
            <w:tcW w:w="7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67% +</w:t>
            </w:r>
          </w:p>
        </w:tc>
        <w:tc>
          <w:tcPr>
            <w:tcW w:w="76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33% =</w:t>
            </w:r>
          </w:p>
        </w:tc>
        <w:tc>
          <w:tcPr>
            <w:tcW w:w="840" w:type="dxa"/>
            <w:vAlign w:val="bottom"/>
            <w:tcBorders>
              <w:bottom w:val="single" w:sz="8" w:color="434F69"/>
            </w:tcBorders>
            <w:gridSpan w:val="2"/>
            <w:shd w:val="clear" w:color="auto" w:fill="D9DCE1"/>
          </w:tcPr>
          <w:p>
            <w:pPr>
              <w:jc w:val="right"/>
              <w:ind w:right="36"/>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980,000</w:t>
            </w:r>
          </w:p>
        </w:tc>
      </w:tr>
      <w:tr>
        <w:trPr>
          <w:trHeight w:val="250"/>
        </w:trPr>
        <w:tc>
          <w:tcPr>
            <w:tcW w:w="1800" w:type="dxa"/>
            <w:vAlign w:val="bottom"/>
            <w:tcBorders>
              <w:left w:val="single" w:sz="8" w:color="434F69"/>
              <w:bottom w:val="single" w:sz="8" w:color="434F69"/>
            </w:tcBorders>
          </w:tcPr>
          <w:p>
            <w:pPr>
              <w:ind w:left="40"/>
              <w:spacing w:after="0"/>
              <w:rPr>
                <w:sz w:val="20"/>
                <w:szCs w:val="20"/>
                <w:color w:val="auto"/>
              </w:rPr>
            </w:pPr>
            <w:r>
              <w:rPr>
                <w:rFonts w:ascii="Arial" w:cs="Arial" w:eastAsia="Arial" w:hAnsi="Arial"/>
                <w:sz w:val="18"/>
                <w:szCs w:val="18"/>
                <w:color w:val="auto"/>
              </w:rPr>
              <w:t>Richard McGee</w:t>
            </w:r>
          </w:p>
        </w:tc>
        <w:tc>
          <w:tcPr>
            <w:tcW w:w="1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800,000</w:t>
            </w:r>
          </w:p>
        </w:tc>
        <w:tc>
          <w:tcPr>
            <w:tcW w:w="7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434F69"/>
            </w:tcBorders>
          </w:tcPr>
          <w:p>
            <w:pPr>
              <w:jc w:val="center"/>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67% +</w:t>
            </w:r>
          </w:p>
        </w:tc>
        <w:tc>
          <w:tcPr>
            <w:tcW w:w="76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434F69"/>
            </w:tcBorders>
          </w:tcPr>
          <w:p>
            <w:pPr>
              <w:jc w:val="center"/>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33% =</w:t>
            </w:r>
          </w:p>
        </w:tc>
        <w:tc>
          <w:tcPr>
            <w:tcW w:w="840" w:type="dxa"/>
            <w:vAlign w:val="bottom"/>
            <w:tcBorders>
              <w:bottom w:val="single" w:sz="8" w:color="434F69"/>
            </w:tcBorders>
            <w:gridSpan w:val="2"/>
          </w:tcPr>
          <w:p>
            <w:pPr>
              <w:jc w:val="right"/>
              <w:ind w:right="36"/>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w w:val="97"/>
              </w:rPr>
              <w:t>1,050,000</w:t>
            </w:r>
          </w:p>
        </w:tc>
      </w:tr>
      <w:tr>
        <w:trPr>
          <w:trHeight w:val="250"/>
        </w:trPr>
        <w:tc>
          <w:tcPr>
            <w:tcW w:w="1800" w:type="dxa"/>
            <w:vAlign w:val="bottom"/>
            <w:tcBorders>
              <w:left w:val="single" w:sz="8" w:color="434F69"/>
              <w:bottom w:val="single" w:sz="8" w:color="434F69"/>
            </w:tcBorders>
            <w:shd w:val="clear" w:color="auto" w:fill="D9DCE1"/>
          </w:tcPr>
          <w:p>
            <w:pPr>
              <w:ind w:left="40"/>
              <w:spacing w:after="0"/>
              <w:rPr>
                <w:sz w:val="20"/>
                <w:szCs w:val="20"/>
                <w:color w:val="auto"/>
              </w:rPr>
            </w:pPr>
            <w:r>
              <w:rPr>
                <w:rFonts w:ascii="Arial" w:cs="Arial" w:eastAsia="Arial" w:hAnsi="Arial"/>
                <w:sz w:val="18"/>
                <w:szCs w:val="18"/>
                <w:color w:val="auto"/>
              </w:rPr>
              <w:t>Chris Chandler</w:t>
            </w:r>
          </w:p>
        </w:tc>
        <w:tc>
          <w:tcPr>
            <w:tcW w:w="1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800,000</w:t>
            </w:r>
          </w:p>
        </w:tc>
        <w:tc>
          <w:tcPr>
            <w:tcW w:w="7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67% +</w:t>
            </w:r>
          </w:p>
        </w:tc>
        <w:tc>
          <w:tcPr>
            <w:tcW w:w="76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33% =</w:t>
            </w:r>
          </w:p>
        </w:tc>
        <w:tc>
          <w:tcPr>
            <w:tcW w:w="840" w:type="dxa"/>
            <w:vAlign w:val="bottom"/>
            <w:tcBorders>
              <w:bottom w:val="single" w:sz="8" w:color="434F69"/>
            </w:tcBorders>
            <w:gridSpan w:val="2"/>
            <w:shd w:val="clear" w:color="auto" w:fill="D9DCE1"/>
          </w:tcPr>
          <w:p>
            <w:pPr>
              <w:jc w:val="right"/>
              <w:ind w:right="36"/>
              <w:spacing w:after="0"/>
              <w:rPr>
                <w:sz w:val="20"/>
                <w:szCs w:val="20"/>
                <w:color w:val="auto"/>
              </w:rPr>
            </w:pPr>
            <w:r>
              <w:rPr>
                <w:rFonts w:ascii="Arial" w:cs="Arial" w:eastAsia="Arial" w:hAnsi="Arial"/>
                <w:sz w:val="18"/>
                <w:szCs w:val="18"/>
                <w:color w:val="auto"/>
              </w:rPr>
              <w:t>126%</w:t>
            </w:r>
          </w:p>
        </w:tc>
        <w:tc>
          <w:tcPr>
            <w:tcW w:w="200" w:type="dxa"/>
            <w:vAlign w:val="bottom"/>
            <w:tcBorders>
              <w:bottom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w w:val="97"/>
              </w:rPr>
              <w:t>1,010,000</w:t>
            </w:r>
          </w:p>
        </w:tc>
      </w:tr>
      <w:tr>
        <w:trPr>
          <w:trHeight w:val="250"/>
        </w:trPr>
        <w:tc>
          <w:tcPr>
            <w:tcW w:w="1800" w:type="dxa"/>
            <w:vAlign w:val="bottom"/>
            <w:tcBorders>
              <w:left w:val="single" w:sz="8" w:color="434F69"/>
              <w:bottom w:val="single" w:sz="8" w:color="434F69"/>
            </w:tcBorders>
          </w:tcPr>
          <w:p>
            <w:pPr>
              <w:ind w:left="40"/>
              <w:spacing w:after="0"/>
              <w:rPr>
                <w:sz w:val="20"/>
                <w:szCs w:val="20"/>
                <w:color w:val="auto"/>
              </w:rPr>
            </w:pPr>
            <w:r>
              <w:rPr>
                <w:rFonts w:ascii="Arial" w:cs="Arial" w:eastAsia="Arial" w:hAnsi="Arial"/>
                <w:sz w:val="18"/>
                <w:szCs w:val="18"/>
                <w:color w:val="auto"/>
              </w:rPr>
              <w:t>Jeremy Goebel</w:t>
            </w:r>
          </w:p>
        </w:tc>
        <w:tc>
          <w:tcPr>
            <w:tcW w:w="1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800,000</w:t>
            </w:r>
          </w:p>
        </w:tc>
        <w:tc>
          <w:tcPr>
            <w:tcW w:w="7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434F69"/>
            </w:tcBorders>
          </w:tcPr>
          <w:p>
            <w:pPr>
              <w:jc w:val="center"/>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67% +</w:t>
            </w:r>
          </w:p>
        </w:tc>
        <w:tc>
          <w:tcPr>
            <w:tcW w:w="76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bottom w:val="single" w:sz="8" w:color="434F69"/>
            </w:tcBorders>
          </w:tcPr>
          <w:p>
            <w:pPr>
              <w:jc w:val="center"/>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33% =</w:t>
            </w:r>
          </w:p>
        </w:tc>
        <w:tc>
          <w:tcPr>
            <w:tcW w:w="840" w:type="dxa"/>
            <w:vAlign w:val="bottom"/>
            <w:tcBorders>
              <w:bottom w:val="single" w:sz="8" w:color="434F69"/>
            </w:tcBorders>
            <w:gridSpan w:val="2"/>
          </w:tcPr>
          <w:p>
            <w:pPr>
              <w:jc w:val="right"/>
              <w:ind w:right="36"/>
              <w:spacing w:after="0"/>
              <w:rPr>
                <w:sz w:val="20"/>
                <w:szCs w:val="20"/>
                <w:color w:val="auto"/>
              </w:rPr>
            </w:pPr>
            <w:r>
              <w:rPr>
                <w:rFonts w:ascii="Arial" w:cs="Arial" w:eastAsia="Arial" w:hAnsi="Arial"/>
                <w:sz w:val="18"/>
                <w:szCs w:val="18"/>
                <w:color w:val="auto"/>
              </w:rPr>
              <w:t>146%</w:t>
            </w:r>
          </w:p>
        </w:tc>
        <w:tc>
          <w:tcPr>
            <w:tcW w:w="2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w w:val="97"/>
              </w:rPr>
              <w:t>1,170,000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-1542415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73" w:lineRule="exact"/>
        <w:rPr>
          <w:sz w:val="20"/>
          <w:szCs w:val="20"/>
          <w:color w:val="auto"/>
        </w:rPr>
      </w:pPr>
    </w:p>
    <w:p>
      <w:pPr>
        <w:ind w:left="1480" w:hanging="220"/>
        <w:spacing w:after="0"/>
        <w:tabs>
          <w:tab w:leader="none" w:pos="1480" w:val="left"/>
        </w:tabs>
        <w:numPr>
          <w:ilvl w:val="0"/>
          <w:numId w:val="41"/>
        </w:numPr>
        <w:rPr>
          <w:rFonts w:ascii="Arial" w:cs="Arial" w:eastAsia="Arial" w:hAnsi="Arial"/>
          <w:sz w:val="26"/>
          <w:szCs w:val="26"/>
          <w:color w:val="auto"/>
          <w:vertAlign w:val="superscript"/>
        </w:rPr>
      </w:pPr>
      <w:r>
        <w:rPr>
          <w:rFonts w:ascii="Arial" w:cs="Arial" w:eastAsia="Arial" w:hAnsi="Arial"/>
          <w:sz w:val="17"/>
          <w:szCs w:val="17"/>
          <w:color w:val="auto"/>
        </w:rPr>
        <w:t>Final amounts were rounded up to the nearest multiple of $10,000.</w:t>
      </w:r>
    </w:p>
    <w:p>
      <w:pPr>
        <w:spacing w:after="0" w:line="116"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The annual LTIP targets for the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as a percentage of base salary, and the value of the 2021 annual LTIP awards to the Named Executive Officers are set forth in the table below:</w:t>
      </w:r>
    </w:p>
    <w:p>
      <w:pPr>
        <w:spacing w:after="0" w:line="154"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560" w:type="dxa"/>
            <w:vAlign w:val="bottom"/>
            <w:tcBorders>
              <w:left w:val="single" w:sz="8" w:color="434F69"/>
              <w:right w:val="single" w:sz="8" w:color="434F69"/>
            </w:tcBorders>
            <w:shd w:val="clear" w:color="auto" w:fill="434F69"/>
          </w:tcPr>
          <w:p>
            <w:pPr>
              <w:spacing w:after="0"/>
              <w:rPr>
                <w:sz w:val="21"/>
                <w:szCs w:val="21"/>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Annual LTIP</w:t>
            </w:r>
          </w:p>
        </w:tc>
        <w:tc>
          <w:tcPr>
            <w:tcW w:w="1340" w:type="dxa"/>
            <w:vAlign w:val="bottom"/>
            <w:tcBorders>
              <w:right w:val="single" w:sz="8" w:color="434F69"/>
            </w:tcBorders>
            <w:shd w:val="clear" w:color="auto" w:fill="434F69"/>
          </w:tcPr>
          <w:p>
            <w:pPr>
              <w:spacing w:after="0"/>
              <w:rPr>
                <w:sz w:val="21"/>
                <w:szCs w:val="21"/>
                <w:color w:val="auto"/>
              </w:rPr>
            </w:pPr>
          </w:p>
        </w:tc>
        <w:tc>
          <w:tcPr>
            <w:tcW w:w="1340" w:type="dxa"/>
            <w:vAlign w:val="bottom"/>
            <w:tcBorders>
              <w:right w:val="single" w:sz="8" w:color="434F69"/>
            </w:tcBorders>
            <w:shd w:val="clear" w:color="auto" w:fill="434F69"/>
          </w:tcPr>
          <w:p>
            <w:pPr>
              <w:spacing w:after="0"/>
              <w:rPr>
                <w:sz w:val="21"/>
                <w:szCs w:val="21"/>
                <w:color w:val="auto"/>
              </w:rPr>
            </w:pPr>
          </w:p>
        </w:tc>
        <w:tc>
          <w:tcPr>
            <w:tcW w:w="1360" w:type="dxa"/>
            <w:vAlign w:val="bottom"/>
            <w:tcBorders>
              <w:right w:val="single" w:sz="8" w:color="434F69"/>
            </w:tcBorders>
            <w:shd w:val="clear" w:color="auto" w:fill="434F69"/>
          </w:tcPr>
          <w:p>
            <w:pPr>
              <w:spacing w:after="0"/>
              <w:rPr>
                <w:sz w:val="21"/>
                <w:szCs w:val="21"/>
                <w:color w:val="auto"/>
              </w:rPr>
            </w:pPr>
          </w:p>
        </w:tc>
        <w:tc>
          <w:tcPr>
            <w:tcW w:w="1300" w:type="dxa"/>
            <w:vAlign w:val="bottom"/>
            <w:tcBorders>
              <w:right w:val="single" w:sz="8" w:color="434F69"/>
            </w:tcBorders>
            <w:shd w:val="clear" w:color="auto" w:fill="434F69"/>
          </w:tcPr>
          <w:p>
            <w:pPr>
              <w:spacing w:after="0"/>
              <w:rPr>
                <w:sz w:val="21"/>
                <w:szCs w:val="21"/>
                <w:color w:val="auto"/>
              </w:rPr>
            </w:pPr>
          </w:p>
        </w:tc>
      </w:tr>
      <w:tr>
        <w:trPr>
          <w:trHeight w:val="162"/>
        </w:trPr>
        <w:tc>
          <w:tcPr>
            <w:tcW w:w="156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Award Target</w:t>
            </w:r>
          </w:p>
        </w:tc>
        <w:tc>
          <w:tcPr>
            <w:tcW w:w="1340" w:type="dxa"/>
            <w:vAlign w:val="bottom"/>
            <w:tcBorders>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360" w:type="dxa"/>
            <w:vAlign w:val="bottom"/>
            <w:tcBorders>
              <w:right w:val="single" w:sz="8" w:color="434F69"/>
            </w:tcBorders>
            <w:shd w:val="clear" w:color="auto" w:fill="434F69"/>
          </w:tcPr>
          <w:p>
            <w:pPr>
              <w:spacing w:after="0"/>
              <w:rPr>
                <w:sz w:val="14"/>
                <w:szCs w:val="14"/>
                <w:color w:val="auto"/>
              </w:rPr>
            </w:pP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Performance-</w:t>
            </w:r>
          </w:p>
        </w:tc>
      </w:tr>
      <w:tr>
        <w:trPr>
          <w:trHeight w:val="162"/>
        </w:trPr>
        <w:tc>
          <w:tcPr>
            <w:tcW w:w="156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Value (as</w:t>
            </w:r>
          </w:p>
        </w:tc>
        <w:tc>
          <w:tcPr>
            <w:tcW w:w="1340" w:type="dxa"/>
            <w:vAlign w:val="bottom"/>
            <w:tcBorders>
              <w:right w:val="single" w:sz="8" w:color="434F69"/>
            </w:tcBorders>
            <w:shd w:val="clear" w:color="auto" w:fill="434F69"/>
          </w:tcPr>
          <w:p>
            <w:pPr>
              <w:ind w:left="220"/>
              <w:spacing w:after="0"/>
              <w:rPr>
                <w:sz w:val="20"/>
                <w:szCs w:val="20"/>
                <w:color w:val="auto"/>
              </w:rPr>
            </w:pPr>
            <w:r>
              <w:rPr>
                <w:rFonts w:ascii="Arial" w:cs="Arial" w:eastAsia="Arial" w:hAnsi="Arial"/>
                <w:sz w:val="14"/>
                <w:szCs w:val="14"/>
                <w:b w:val="1"/>
                <w:bCs w:val="1"/>
                <w:color w:val="FFFFFF"/>
              </w:rPr>
              <w:t>2021 Annual</w:t>
            </w:r>
          </w:p>
        </w:tc>
        <w:tc>
          <w:tcPr>
            <w:tcW w:w="1340" w:type="dxa"/>
            <w:vAlign w:val="bottom"/>
            <w:tcBorders>
              <w:right w:val="single" w:sz="8" w:color="434F69"/>
            </w:tcBorders>
            <w:shd w:val="clear" w:color="auto" w:fill="434F69"/>
          </w:tcPr>
          <w:p>
            <w:pPr>
              <w:jc w:val="right"/>
              <w:ind w:right="196"/>
              <w:spacing w:after="0"/>
              <w:rPr>
                <w:sz w:val="20"/>
                <w:szCs w:val="20"/>
                <w:color w:val="auto"/>
              </w:rPr>
            </w:pPr>
            <w:r>
              <w:rPr>
                <w:rFonts w:ascii="Arial" w:cs="Arial" w:eastAsia="Arial" w:hAnsi="Arial"/>
                <w:sz w:val="14"/>
                <w:szCs w:val="14"/>
                <w:b w:val="1"/>
                <w:bCs w:val="1"/>
                <w:color w:val="FFFFFF"/>
              </w:rPr>
              <w:t>2021 Annual</w:t>
            </w:r>
          </w:p>
        </w:tc>
        <w:tc>
          <w:tcPr>
            <w:tcW w:w="13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Time-Vested</w:t>
            </w: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Vested</w:t>
            </w:r>
          </w:p>
        </w:tc>
      </w:tr>
      <w:tr>
        <w:trPr>
          <w:trHeight w:val="162"/>
        </w:trPr>
        <w:tc>
          <w:tcPr>
            <w:tcW w:w="156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Named Executive</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 percentage of</w:t>
            </w: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LTIP Award</w:t>
            </w:r>
          </w:p>
        </w:tc>
        <w:tc>
          <w:tcPr>
            <w:tcW w:w="1340" w:type="dxa"/>
            <w:vAlign w:val="bottom"/>
            <w:tcBorders>
              <w:right w:val="single" w:sz="8" w:color="434F69"/>
            </w:tcBorders>
            <w:shd w:val="clear" w:color="auto" w:fill="434F69"/>
          </w:tcPr>
          <w:p>
            <w:pPr>
              <w:jc w:val="right"/>
              <w:ind w:right="116"/>
              <w:spacing w:after="0"/>
              <w:rPr>
                <w:sz w:val="20"/>
                <w:szCs w:val="20"/>
                <w:color w:val="auto"/>
              </w:rPr>
            </w:pPr>
            <w:r>
              <w:rPr>
                <w:rFonts w:ascii="Arial" w:cs="Arial" w:eastAsia="Arial" w:hAnsi="Arial"/>
                <w:sz w:val="14"/>
                <w:szCs w:val="14"/>
                <w:b w:val="1"/>
                <w:bCs w:val="1"/>
                <w:color w:val="FFFFFF"/>
              </w:rPr>
              <w:t>Phantom Units</w:t>
            </w:r>
          </w:p>
        </w:tc>
        <w:tc>
          <w:tcPr>
            <w:tcW w:w="13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Phantom Units</w:t>
            </w: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Phantom Units</w:t>
            </w:r>
          </w:p>
        </w:tc>
      </w:tr>
      <w:tr>
        <w:trPr>
          <w:trHeight w:val="216"/>
        </w:trPr>
        <w:tc>
          <w:tcPr>
            <w:tcW w:w="156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Officer</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base salary)</w:t>
            </w: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6"/>
              </w:rPr>
              <w:t>Value</w:t>
            </w:r>
          </w:p>
        </w:tc>
        <w:tc>
          <w:tcPr>
            <w:tcW w:w="1340" w:type="dxa"/>
            <w:vAlign w:val="bottom"/>
            <w:tcBorders>
              <w:right w:val="single" w:sz="8" w:color="434F69"/>
            </w:tcBorders>
            <w:shd w:val="clear" w:color="auto" w:fill="434F69"/>
          </w:tcPr>
          <w:p>
            <w:pPr>
              <w:jc w:val="right"/>
              <w:ind w:right="276"/>
              <w:spacing w:after="0"/>
              <w:rPr>
                <w:sz w:val="20"/>
                <w:szCs w:val="20"/>
                <w:color w:val="auto"/>
              </w:rPr>
            </w:pPr>
            <w:r>
              <w:rPr>
                <w:rFonts w:ascii="Arial" w:cs="Arial" w:eastAsia="Arial" w:hAnsi="Arial"/>
                <w:sz w:val="14"/>
                <w:szCs w:val="14"/>
                <w:b w:val="1"/>
                <w:bCs w:val="1"/>
                <w:color w:val="FFFFFF"/>
              </w:rPr>
              <w:t>Granted</w:t>
            </w:r>
            <w:r>
              <w:rPr>
                <w:rFonts w:ascii="Arial" w:cs="Arial" w:eastAsia="Arial" w:hAnsi="Arial"/>
                <w:sz w:val="17"/>
                <w:szCs w:val="17"/>
                <w:b w:val="1"/>
                <w:bCs w:val="1"/>
                <w:color w:val="FFFFFF"/>
                <w:vertAlign w:val="superscript"/>
              </w:rPr>
              <w:t>(1)</w:t>
            </w:r>
          </w:p>
        </w:tc>
        <w:tc>
          <w:tcPr>
            <w:tcW w:w="13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(50%)</w:t>
            </w: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(50%)</w:t>
            </w:r>
          </w:p>
        </w:tc>
      </w:tr>
      <w:tr>
        <w:trPr>
          <w:trHeight w:val="250"/>
        </w:trPr>
        <w:tc>
          <w:tcPr>
            <w:tcW w:w="15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320" w:type="dxa"/>
            <w:vAlign w:val="bottom"/>
            <w:tcBorders>
              <w:bottom w:val="single" w:sz="8" w:color="434F69"/>
              <w:right w:val="single" w:sz="8" w:color="434F69"/>
            </w:tcBorders>
            <w:shd w:val="clear" w:color="auto" w:fill="D9DCE1"/>
          </w:tcPr>
          <w:p>
            <w:pPr>
              <w:jc w:val="right"/>
              <w:ind w:right="278"/>
              <w:spacing w:after="0"/>
              <w:rPr>
                <w:sz w:val="20"/>
                <w:szCs w:val="20"/>
                <w:color w:val="auto"/>
              </w:rPr>
            </w:pPr>
            <w:r>
              <w:rPr>
                <w:rFonts w:ascii="Arial" w:cs="Arial" w:eastAsia="Arial" w:hAnsi="Arial"/>
                <w:sz w:val="18"/>
                <w:szCs w:val="18"/>
                <w:color w:val="auto"/>
              </w:rPr>
              <w:t>500%</w:t>
            </w:r>
          </w:p>
        </w:tc>
        <w:tc>
          <w:tcPr>
            <w:tcW w:w="134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$3,000,000</w:t>
            </w:r>
          </w:p>
        </w:tc>
        <w:tc>
          <w:tcPr>
            <w:tcW w:w="1340" w:type="dxa"/>
            <w:vAlign w:val="bottom"/>
            <w:tcBorders>
              <w:bottom w:val="single" w:sz="8" w:color="434F69"/>
              <w:right w:val="single" w:sz="8" w:color="434F69"/>
            </w:tcBorders>
            <w:shd w:val="clear" w:color="auto" w:fill="D9DCE1"/>
          </w:tcPr>
          <w:p>
            <w:pPr>
              <w:jc w:val="right"/>
              <w:ind w:right="256"/>
              <w:spacing w:after="0"/>
              <w:rPr>
                <w:sz w:val="20"/>
                <w:szCs w:val="20"/>
                <w:color w:val="auto"/>
              </w:rPr>
            </w:pPr>
            <w:r>
              <w:rPr>
                <w:rFonts w:ascii="Arial" w:cs="Arial" w:eastAsia="Arial" w:hAnsi="Arial"/>
                <w:sz w:val="18"/>
                <w:szCs w:val="18"/>
                <w:color w:val="auto"/>
              </w:rPr>
              <w:t>300,600</w:t>
            </w:r>
          </w:p>
        </w:tc>
        <w:tc>
          <w:tcPr>
            <w:tcW w:w="1360" w:type="dxa"/>
            <w:vAlign w:val="bottom"/>
            <w:tcBorders>
              <w:bottom w:val="single" w:sz="8" w:color="434F69"/>
              <w:right w:val="single" w:sz="8" w:color="434F69"/>
            </w:tcBorders>
            <w:shd w:val="clear" w:color="auto" w:fill="D9DCE1"/>
          </w:tcPr>
          <w:p>
            <w:pPr>
              <w:jc w:val="right"/>
              <w:ind w:right="276"/>
              <w:spacing w:after="0"/>
              <w:rPr>
                <w:sz w:val="20"/>
                <w:szCs w:val="20"/>
                <w:color w:val="auto"/>
              </w:rPr>
            </w:pPr>
            <w:r>
              <w:rPr>
                <w:rFonts w:ascii="Arial" w:cs="Arial" w:eastAsia="Arial" w:hAnsi="Arial"/>
                <w:sz w:val="18"/>
                <w:szCs w:val="18"/>
                <w:color w:val="auto"/>
              </w:rPr>
              <w:t>150,300</w:t>
            </w:r>
          </w:p>
        </w:tc>
        <w:tc>
          <w:tcPr>
            <w:tcW w:w="130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150,300</w:t>
            </w:r>
          </w:p>
        </w:tc>
      </w:tr>
      <w:tr>
        <w:trPr>
          <w:trHeight w:val="284"/>
        </w:trPr>
        <w:tc>
          <w:tcPr>
            <w:tcW w:w="15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1320" w:type="dxa"/>
            <w:vAlign w:val="bottom"/>
            <w:tcBorders>
              <w:bottom w:val="single" w:sz="8" w:color="434F69"/>
              <w:right w:val="single" w:sz="8" w:color="434F69"/>
            </w:tcBorders>
          </w:tcPr>
          <w:p>
            <w:pPr>
              <w:jc w:val="right"/>
              <w:ind w:right="278"/>
              <w:spacing w:after="0"/>
              <w:rPr>
                <w:sz w:val="20"/>
                <w:szCs w:val="20"/>
                <w:color w:val="auto"/>
              </w:rPr>
            </w:pPr>
            <w:r>
              <w:rPr>
                <w:rFonts w:ascii="Arial" w:cs="Arial" w:eastAsia="Arial" w:hAnsi="Arial"/>
                <w:sz w:val="18"/>
                <w:szCs w:val="18"/>
                <w:color w:val="auto"/>
              </w:rPr>
              <w:t>500%</w:t>
            </w:r>
          </w:p>
        </w:tc>
        <w:tc>
          <w:tcPr>
            <w:tcW w:w="1340" w:type="dxa"/>
            <w:vAlign w:val="bottom"/>
            <w:tcBorders>
              <w:bottom w:val="single" w:sz="8" w:color="434F69"/>
              <w:right w:val="single" w:sz="8" w:color="434F69"/>
            </w:tcBorders>
          </w:tcPr>
          <w:p>
            <w:pPr>
              <w:ind w:left="860"/>
              <w:spacing w:after="0"/>
              <w:rPr>
                <w:sz w:val="20"/>
                <w:szCs w:val="20"/>
                <w:color w:val="auto"/>
              </w:rPr>
            </w:pPr>
            <w:r>
              <w:rPr>
                <w:rFonts w:ascii="Arial" w:cs="Arial" w:eastAsia="Arial" w:hAnsi="Arial"/>
                <w:sz w:val="18"/>
                <w:szCs w:val="18"/>
                <w:color w:val="auto"/>
              </w:rPr>
              <w:t>n/a</w:t>
            </w:r>
            <w:r>
              <w:rPr>
                <w:rFonts w:ascii="Arial" w:cs="Arial" w:eastAsia="Arial" w:hAnsi="Arial"/>
                <w:sz w:val="23"/>
                <w:szCs w:val="23"/>
                <w:color w:val="auto"/>
                <w:vertAlign w:val="superscript"/>
              </w:rPr>
              <w:t>(2)</w:t>
            </w:r>
          </w:p>
        </w:tc>
        <w:tc>
          <w:tcPr>
            <w:tcW w:w="1340" w:type="dxa"/>
            <w:vAlign w:val="bottom"/>
            <w:tcBorders>
              <w:bottom w:val="single" w:sz="8" w:color="434F69"/>
              <w:right w:val="single" w:sz="8" w:color="434F69"/>
            </w:tcBorders>
          </w:tcPr>
          <w:p>
            <w:pPr>
              <w:jc w:val="right"/>
              <w:ind w:right="116"/>
              <w:spacing w:after="0"/>
              <w:rPr>
                <w:sz w:val="20"/>
                <w:szCs w:val="20"/>
                <w:color w:val="auto"/>
              </w:rPr>
            </w:pPr>
            <w:r>
              <w:rPr>
                <w:rFonts w:ascii="Arial" w:cs="Arial" w:eastAsia="Arial" w:hAnsi="Arial"/>
                <w:sz w:val="18"/>
                <w:szCs w:val="18"/>
                <w:color w:val="auto"/>
              </w:rPr>
              <w:t>n/a</w:t>
            </w:r>
            <w:r>
              <w:rPr>
                <w:rFonts w:ascii="Arial" w:cs="Arial" w:eastAsia="Arial" w:hAnsi="Arial"/>
                <w:sz w:val="23"/>
                <w:szCs w:val="23"/>
                <w:color w:val="auto"/>
                <w:vertAlign w:val="superscript"/>
              </w:rPr>
              <w:t>(2)</w:t>
            </w:r>
          </w:p>
        </w:tc>
        <w:tc>
          <w:tcPr>
            <w:tcW w:w="136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n/a</w:t>
            </w:r>
            <w:r>
              <w:rPr>
                <w:rFonts w:ascii="Arial" w:cs="Arial" w:eastAsia="Arial" w:hAnsi="Arial"/>
                <w:sz w:val="23"/>
                <w:szCs w:val="23"/>
                <w:color w:val="auto"/>
                <w:vertAlign w:val="superscript"/>
              </w:rPr>
              <w:t>(2)</w:t>
            </w:r>
          </w:p>
        </w:tc>
        <w:tc>
          <w:tcPr>
            <w:tcW w:w="13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3"/>
                <w:szCs w:val="23"/>
                <w:color w:val="auto"/>
                <w:vertAlign w:val="superscript"/>
              </w:rPr>
              <w:t>(2)</w:t>
            </w:r>
          </w:p>
        </w:tc>
      </w:tr>
      <w:tr>
        <w:trPr>
          <w:trHeight w:val="243"/>
        </w:trPr>
        <w:tc>
          <w:tcPr>
            <w:tcW w:w="15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320" w:type="dxa"/>
            <w:vAlign w:val="bottom"/>
            <w:tcBorders>
              <w:bottom w:val="single" w:sz="8" w:color="434F69"/>
              <w:right w:val="single" w:sz="8" w:color="434F69"/>
            </w:tcBorders>
            <w:shd w:val="clear" w:color="auto" w:fill="D9DCE1"/>
          </w:tcPr>
          <w:p>
            <w:pPr>
              <w:jc w:val="right"/>
              <w:ind w:right="278"/>
              <w:spacing w:after="0"/>
              <w:rPr>
                <w:sz w:val="20"/>
                <w:szCs w:val="20"/>
                <w:color w:val="auto"/>
              </w:rPr>
            </w:pPr>
            <w:r>
              <w:rPr>
                <w:rFonts w:ascii="Arial" w:cs="Arial" w:eastAsia="Arial" w:hAnsi="Arial"/>
                <w:sz w:val="18"/>
                <w:szCs w:val="18"/>
                <w:color w:val="auto"/>
              </w:rPr>
              <w:t>300%</w:t>
            </w:r>
          </w:p>
        </w:tc>
        <w:tc>
          <w:tcPr>
            <w:tcW w:w="134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$1,200,000</w:t>
            </w:r>
          </w:p>
        </w:tc>
        <w:tc>
          <w:tcPr>
            <w:tcW w:w="1340" w:type="dxa"/>
            <w:vAlign w:val="bottom"/>
            <w:tcBorders>
              <w:bottom w:val="single" w:sz="8" w:color="434F69"/>
              <w:right w:val="single" w:sz="8" w:color="434F69"/>
            </w:tcBorders>
            <w:shd w:val="clear" w:color="auto" w:fill="D9DCE1"/>
          </w:tcPr>
          <w:p>
            <w:pPr>
              <w:jc w:val="right"/>
              <w:ind w:right="256"/>
              <w:spacing w:after="0"/>
              <w:rPr>
                <w:sz w:val="20"/>
                <w:szCs w:val="20"/>
                <w:color w:val="auto"/>
              </w:rPr>
            </w:pPr>
            <w:r>
              <w:rPr>
                <w:rFonts w:ascii="Arial" w:cs="Arial" w:eastAsia="Arial" w:hAnsi="Arial"/>
                <w:sz w:val="18"/>
                <w:szCs w:val="18"/>
                <w:color w:val="auto"/>
              </w:rPr>
              <w:t>120,200</w:t>
            </w:r>
          </w:p>
        </w:tc>
        <w:tc>
          <w:tcPr>
            <w:tcW w:w="1360" w:type="dxa"/>
            <w:vAlign w:val="bottom"/>
            <w:tcBorders>
              <w:bottom w:val="single" w:sz="8" w:color="434F69"/>
              <w:right w:val="single" w:sz="8" w:color="434F69"/>
            </w:tcBorders>
            <w:shd w:val="clear" w:color="auto" w:fill="D9DCE1"/>
          </w:tcPr>
          <w:p>
            <w:pPr>
              <w:jc w:val="right"/>
              <w:ind w:right="276"/>
              <w:spacing w:after="0"/>
              <w:rPr>
                <w:sz w:val="20"/>
                <w:szCs w:val="20"/>
                <w:color w:val="auto"/>
              </w:rPr>
            </w:pPr>
            <w:r>
              <w:rPr>
                <w:rFonts w:ascii="Arial" w:cs="Arial" w:eastAsia="Arial" w:hAnsi="Arial"/>
                <w:sz w:val="18"/>
                <w:szCs w:val="18"/>
                <w:color w:val="auto"/>
              </w:rPr>
              <w:t>60,100</w:t>
            </w:r>
          </w:p>
        </w:tc>
        <w:tc>
          <w:tcPr>
            <w:tcW w:w="130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60,100</w:t>
            </w:r>
          </w:p>
        </w:tc>
      </w:tr>
      <w:tr>
        <w:trPr>
          <w:trHeight w:val="250"/>
        </w:trPr>
        <w:tc>
          <w:tcPr>
            <w:tcW w:w="15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320" w:type="dxa"/>
            <w:vAlign w:val="bottom"/>
            <w:tcBorders>
              <w:bottom w:val="single" w:sz="8" w:color="434F69"/>
              <w:right w:val="single" w:sz="8" w:color="434F69"/>
            </w:tcBorders>
          </w:tcPr>
          <w:p>
            <w:pPr>
              <w:jc w:val="right"/>
              <w:ind w:right="278"/>
              <w:spacing w:after="0"/>
              <w:rPr>
                <w:sz w:val="20"/>
                <w:szCs w:val="20"/>
                <w:color w:val="auto"/>
              </w:rPr>
            </w:pPr>
            <w:r>
              <w:rPr>
                <w:rFonts w:ascii="Arial" w:cs="Arial" w:eastAsia="Arial" w:hAnsi="Arial"/>
                <w:sz w:val="18"/>
                <w:szCs w:val="18"/>
                <w:color w:val="auto"/>
              </w:rPr>
              <w:t>300%</w:t>
            </w:r>
          </w:p>
        </w:tc>
        <w:tc>
          <w:tcPr>
            <w:tcW w:w="13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rPr>
              <w:t>$1,200,000</w:t>
            </w:r>
          </w:p>
        </w:tc>
        <w:tc>
          <w:tcPr>
            <w:tcW w:w="1340" w:type="dxa"/>
            <w:vAlign w:val="bottom"/>
            <w:tcBorders>
              <w:bottom w:val="single" w:sz="8" w:color="434F69"/>
              <w:right w:val="single" w:sz="8" w:color="434F69"/>
            </w:tcBorders>
          </w:tcPr>
          <w:p>
            <w:pPr>
              <w:jc w:val="right"/>
              <w:ind w:right="256"/>
              <w:spacing w:after="0"/>
              <w:rPr>
                <w:sz w:val="20"/>
                <w:szCs w:val="20"/>
                <w:color w:val="auto"/>
              </w:rPr>
            </w:pPr>
            <w:r>
              <w:rPr>
                <w:rFonts w:ascii="Arial" w:cs="Arial" w:eastAsia="Arial" w:hAnsi="Arial"/>
                <w:sz w:val="18"/>
                <w:szCs w:val="18"/>
                <w:color w:val="auto"/>
              </w:rPr>
              <w:t>120,200</w:t>
            </w:r>
          </w:p>
        </w:tc>
        <w:tc>
          <w:tcPr>
            <w:tcW w:w="1360" w:type="dxa"/>
            <w:vAlign w:val="bottom"/>
            <w:tcBorders>
              <w:bottom w:val="single" w:sz="8" w:color="434F69"/>
              <w:right w:val="single" w:sz="8" w:color="434F69"/>
            </w:tcBorders>
          </w:tcPr>
          <w:p>
            <w:pPr>
              <w:jc w:val="right"/>
              <w:ind w:right="276"/>
              <w:spacing w:after="0"/>
              <w:rPr>
                <w:sz w:val="20"/>
                <w:szCs w:val="20"/>
                <w:color w:val="auto"/>
              </w:rPr>
            </w:pPr>
            <w:r>
              <w:rPr>
                <w:rFonts w:ascii="Arial" w:cs="Arial" w:eastAsia="Arial" w:hAnsi="Arial"/>
                <w:sz w:val="18"/>
                <w:szCs w:val="18"/>
                <w:color w:val="auto"/>
              </w:rPr>
              <w:t>60,100</w:t>
            </w:r>
          </w:p>
        </w:tc>
        <w:tc>
          <w:tcPr>
            <w:tcW w:w="13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60,100</w:t>
            </w:r>
          </w:p>
        </w:tc>
      </w:tr>
      <w:tr>
        <w:trPr>
          <w:trHeight w:val="250"/>
        </w:trPr>
        <w:tc>
          <w:tcPr>
            <w:tcW w:w="15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1320" w:type="dxa"/>
            <w:vAlign w:val="bottom"/>
            <w:tcBorders>
              <w:bottom w:val="single" w:sz="8" w:color="434F69"/>
              <w:right w:val="single" w:sz="8" w:color="434F69"/>
            </w:tcBorders>
            <w:shd w:val="clear" w:color="auto" w:fill="D9DCE1"/>
          </w:tcPr>
          <w:p>
            <w:pPr>
              <w:jc w:val="right"/>
              <w:ind w:right="278"/>
              <w:spacing w:after="0"/>
              <w:rPr>
                <w:sz w:val="20"/>
                <w:szCs w:val="20"/>
                <w:color w:val="auto"/>
              </w:rPr>
            </w:pPr>
            <w:r>
              <w:rPr>
                <w:rFonts w:ascii="Arial" w:cs="Arial" w:eastAsia="Arial" w:hAnsi="Arial"/>
                <w:sz w:val="18"/>
                <w:szCs w:val="18"/>
                <w:color w:val="auto"/>
              </w:rPr>
              <w:t>300%</w:t>
            </w:r>
          </w:p>
        </w:tc>
        <w:tc>
          <w:tcPr>
            <w:tcW w:w="134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$1,200,000</w:t>
            </w:r>
          </w:p>
        </w:tc>
        <w:tc>
          <w:tcPr>
            <w:tcW w:w="1340" w:type="dxa"/>
            <w:vAlign w:val="bottom"/>
            <w:tcBorders>
              <w:bottom w:val="single" w:sz="8" w:color="434F69"/>
              <w:right w:val="single" w:sz="8" w:color="434F69"/>
            </w:tcBorders>
            <w:shd w:val="clear" w:color="auto" w:fill="D9DCE1"/>
          </w:tcPr>
          <w:p>
            <w:pPr>
              <w:jc w:val="right"/>
              <w:ind w:right="256"/>
              <w:spacing w:after="0"/>
              <w:rPr>
                <w:sz w:val="20"/>
                <w:szCs w:val="20"/>
                <w:color w:val="auto"/>
              </w:rPr>
            </w:pPr>
            <w:r>
              <w:rPr>
                <w:rFonts w:ascii="Arial" w:cs="Arial" w:eastAsia="Arial" w:hAnsi="Arial"/>
                <w:sz w:val="18"/>
                <w:szCs w:val="18"/>
                <w:color w:val="auto"/>
              </w:rPr>
              <w:t>120,200</w:t>
            </w:r>
          </w:p>
        </w:tc>
        <w:tc>
          <w:tcPr>
            <w:tcW w:w="1360" w:type="dxa"/>
            <w:vAlign w:val="bottom"/>
            <w:tcBorders>
              <w:bottom w:val="single" w:sz="8" w:color="434F69"/>
              <w:right w:val="single" w:sz="8" w:color="434F69"/>
            </w:tcBorders>
            <w:shd w:val="clear" w:color="auto" w:fill="D9DCE1"/>
          </w:tcPr>
          <w:p>
            <w:pPr>
              <w:jc w:val="right"/>
              <w:ind w:right="276"/>
              <w:spacing w:after="0"/>
              <w:rPr>
                <w:sz w:val="20"/>
                <w:szCs w:val="20"/>
                <w:color w:val="auto"/>
              </w:rPr>
            </w:pPr>
            <w:r>
              <w:rPr>
                <w:rFonts w:ascii="Arial" w:cs="Arial" w:eastAsia="Arial" w:hAnsi="Arial"/>
                <w:sz w:val="18"/>
                <w:szCs w:val="18"/>
                <w:color w:val="auto"/>
              </w:rPr>
              <w:t>60,100</w:t>
            </w:r>
          </w:p>
        </w:tc>
        <w:tc>
          <w:tcPr>
            <w:tcW w:w="130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60,100</w:t>
            </w:r>
          </w:p>
        </w:tc>
      </w:tr>
      <w:tr>
        <w:trPr>
          <w:trHeight w:val="250"/>
        </w:trPr>
        <w:tc>
          <w:tcPr>
            <w:tcW w:w="15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320" w:type="dxa"/>
            <w:vAlign w:val="bottom"/>
            <w:tcBorders>
              <w:bottom w:val="single" w:sz="8" w:color="434F69"/>
              <w:right w:val="single" w:sz="8" w:color="434F69"/>
            </w:tcBorders>
          </w:tcPr>
          <w:p>
            <w:pPr>
              <w:jc w:val="right"/>
              <w:ind w:right="278"/>
              <w:spacing w:after="0"/>
              <w:rPr>
                <w:sz w:val="20"/>
                <w:szCs w:val="20"/>
                <w:color w:val="auto"/>
              </w:rPr>
            </w:pPr>
            <w:r>
              <w:rPr>
                <w:rFonts w:ascii="Arial" w:cs="Arial" w:eastAsia="Arial" w:hAnsi="Arial"/>
                <w:sz w:val="18"/>
                <w:szCs w:val="18"/>
                <w:color w:val="auto"/>
              </w:rPr>
              <w:t>300%</w:t>
            </w:r>
          </w:p>
        </w:tc>
        <w:tc>
          <w:tcPr>
            <w:tcW w:w="13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rPr>
              <w:t>$1,200,000</w:t>
            </w:r>
          </w:p>
        </w:tc>
        <w:tc>
          <w:tcPr>
            <w:tcW w:w="1340" w:type="dxa"/>
            <w:vAlign w:val="bottom"/>
            <w:tcBorders>
              <w:bottom w:val="single" w:sz="8" w:color="434F69"/>
              <w:right w:val="single" w:sz="8" w:color="434F69"/>
            </w:tcBorders>
          </w:tcPr>
          <w:p>
            <w:pPr>
              <w:jc w:val="right"/>
              <w:ind w:right="256"/>
              <w:spacing w:after="0"/>
              <w:rPr>
                <w:sz w:val="20"/>
                <w:szCs w:val="20"/>
                <w:color w:val="auto"/>
              </w:rPr>
            </w:pPr>
            <w:r>
              <w:rPr>
                <w:rFonts w:ascii="Arial" w:cs="Arial" w:eastAsia="Arial" w:hAnsi="Arial"/>
                <w:sz w:val="18"/>
                <w:szCs w:val="18"/>
                <w:color w:val="auto"/>
              </w:rPr>
              <w:t>120,200</w:t>
            </w:r>
          </w:p>
        </w:tc>
        <w:tc>
          <w:tcPr>
            <w:tcW w:w="1360" w:type="dxa"/>
            <w:vAlign w:val="bottom"/>
            <w:tcBorders>
              <w:bottom w:val="single" w:sz="8" w:color="434F69"/>
              <w:right w:val="single" w:sz="8" w:color="434F69"/>
            </w:tcBorders>
          </w:tcPr>
          <w:p>
            <w:pPr>
              <w:jc w:val="right"/>
              <w:ind w:right="276"/>
              <w:spacing w:after="0"/>
              <w:rPr>
                <w:sz w:val="20"/>
                <w:szCs w:val="20"/>
                <w:color w:val="auto"/>
              </w:rPr>
            </w:pPr>
            <w:r>
              <w:rPr>
                <w:rFonts w:ascii="Arial" w:cs="Arial" w:eastAsia="Arial" w:hAnsi="Arial"/>
                <w:sz w:val="18"/>
                <w:szCs w:val="18"/>
                <w:color w:val="auto"/>
              </w:rPr>
              <w:t>60,100</w:t>
            </w:r>
          </w:p>
        </w:tc>
        <w:tc>
          <w:tcPr>
            <w:tcW w:w="13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60,100</w:t>
            </w:r>
          </w:p>
        </w:tc>
      </w:tr>
    </w:tbl>
    <w:p>
      <w:pPr>
        <w:spacing w:after="0" w:line="175" w:lineRule="exact"/>
        <w:rPr>
          <w:sz w:val="20"/>
          <w:szCs w:val="20"/>
          <w:color w:val="auto"/>
        </w:rPr>
      </w:pPr>
    </w:p>
    <w:p>
      <w:pPr>
        <w:ind w:left="1620" w:right="719" w:hanging="360"/>
        <w:spacing w:after="0" w:line="214" w:lineRule="auto"/>
        <w:tabs>
          <w:tab w:leader="none" w:pos="1620" w:val="left"/>
        </w:tabs>
        <w:numPr>
          <w:ilvl w:val="0"/>
          <w:numId w:val="42"/>
        </w:numPr>
        <w:rPr>
          <w:rFonts w:ascii="Arial" w:cs="Arial" w:eastAsia="Arial" w:hAnsi="Arial"/>
          <w:sz w:val="27"/>
          <w:szCs w:val="27"/>
          <w:color w:val="auto"/>
          <w:vertAlign w:val="superscript"/>
        </w:rPr>
      </w:pPr>
      <w:r>
        <w:rPr>
          <w:rFonts w:ascii="Arial" w:cs="Arial" w:eastAsia="Arial" w:hAnsi="Arial"/>
          <w:sz w:val="18"/>
          <w:szCs w:val="18"/>
          <w:color w:val="auto"/>
        </w:rPr>
        <w:t>Based on a volume weighted average price per unit for the 10-trading day period beginning five days before and ending five days after the ex-dividend date for the August 2021 distribution ($9.98).</w:t>
      </w:r>
    </w:p>
    <w:p>
      <w:pPr>
        <w:spacing w:after="0" w:line="69" w:lineRule="exact"/>
        <w:rPr>
          <w:rFonts w:ascii="Arial" w:cs="Arial" w:eastAsia="Arial" w:hAnsi="Arial"/>
          <w:sz w:val="27"/>
          <w:szCs w:val="27"/>
          <w:color w:val="auto"/>
          <w:vertAlign w:val="superscript"/>
        </w:rPr>
      </w:pPr>
    </w:p>
    <w:p>
      <w:pPr>
        <w:ind w:left="1620" w:right="479" w:hanging="360"/>
        <w:spacing w:after="0" w:line="200" w:lineRule="auto"/>
        <w:tabs>
          <w:tab w:leader="none" w:pos="1620" w:val="left"/>
        </w:tabs>
        <w:numPr>
          <w:ilvl w:val="0"/>
          <w:numId w:val="42"/>
        </w:numPr>
        <w:rPr>
          <w:rFonts w:ascii="Arial" w:cs="Arial" w:eastAsia="Arial" w:hAnsi="Arial"/>
          <w:sz w:val="27"/>
          <w:szCs w:val="27"/>
          <w:color w:val="auto"/>
          <w:vertAlign w:val="superscript"/>
        </w:rPr>
      </w:pPr>
      <w:r>
        <w:rPr>
          <w:rFonts w:ascii="Arial" w:cs="Arial" w:eastAsia="Arial" w:hAnsi="Arial"/>
          <w:sz w:val="18"/>
          <w:szCs w:val="18"/>
          <w:color w:val="auto"/>
        </w:rPr>
        <w:t>Annual LTIP grants were not awarded to Mr. Pefanis as he requested to not participate in the 2021 long-term incentive program.</w:t>
      </w:r>
    </w:p>
    <w:p>
      <w:pPr>
        <w:spacing w:after="0" w:line="149" w:lineRule="exact"/>
        <w:rPr>
          <w:sz w:val="20"/>
          <w:szCs w:val="20"/>
          <w:color w:val="auto"/>
        </w:rPr>
      </w:pPr>
    </w:p>
    <w:p>
      <w:pPr>
        <w:jc w:val="both"/>
        <w:ind w:left="1260" w:right="619" w:firstLine="360"/>
        <w:spacing w:after="0" w:line="256" w:lineRule="auto"/>
        <w:rPr>
          <w:sz w:val="20"/>
          <w:szCs w:val="20"/>
          <w:color w:val="auto"/>
        </w:rPr>
      </w:pPr>
      <w:r>
        <w:rPr>
          <w:rFonts w:ascii="Arial" w:cs="Arial" w:eastAsia="Arial" w:hAnsi="Arial"/>
          <w:sz w:val="18"/>
          <w:szCs w:val="18"/>
          <w:color w:val="auto"/>
        </w:rPr>
        <w:t>The 2021 time-vested phantom units will vest (become payable 1-for-1 in PAA common units) on the August 2024 distribution date. The performance-vested phantom units will potentially vest on the August 2024 distribution date at a scaled payout range of between 0% to 200% based on:</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479" w:hanging="360"/>
        <w:spacing w:after="0" w:line="250"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50% Relative TSR with Negative TSR Modifier</w:t>
      </w:r>
      <w:r>
        <w:rPr>
          <w:rFonts w:ascii="Arial" w:cs="Arial" w:eastAsia="Arial" w:hAnsi="Arial"/>
          <w:sz w:val="18"/>
          <w:szCs w:val="18"/>
          <w:color w:val="auto"/>
        </w:rPr>
        <w:t>: PAA’s TSR measured over the three-year period ending June 30, 2024 compared to the TSR of the TSR Comparator Peer Group identified on page 32 above (if PAA’s relative TSR results in a payout of over 100%, but actual TSR is negative, the payout on this portion of the award will be reduced by 25</w:t>
      </w:r>
    </w:p>
    <w:p>
      <w:pPr>
        <w:spacing w:after="0" w:line="1"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gross percentage points, but not below 100%); and</w:t>
      </w:r>
    </w:p>
    <w:p>
      <w:pPr>
        <w:spacing w:after="0" w:line="157" w:lineRule="exact"/>
        <w:rPr>
          <w:rFonts w:ascii="Arial" w:cs="Arial" w:eastAsia="Arial" w:hAnsi="Arial"/>
          <w:sz w:val="18"/>
          <w:szCs w:val="18"/>
          <w:color w:val="auto"/>
        </w:rPr>
      </w:pPr>
    </w:p>
    <w:p>
      <w:pPr>
        <w:ind w:left="1980" w:right="499" w:hanging="360"/>
        <w:spacing w:after="0" w:line="254"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50% DCF per CUE with Leverage Modifier</w:t>
      </w:r>
      <w:r>
        <w:rPr>
          <w:rFonts w:ascii="Arial" w:cs="Arial" w:eastAsia="Arial" w:hAnsi="Arial"/>
          <w:sz w:val="18"/>
          <w:szCs w:val="18"/>
          <w:color w:val="auto"/>
        </w:rPr>
        <w:t>: PAA achieving cumulative DCF per CUE of $6.00 over the three-year period ending June 30, 2024 (payout may be decreased or increased (but not above 200%) based on PAA’s leverage ratio as of June 30, 2024 compared to the target leverage ratio set forth in PAA’s multi-year plan as of August 2021).</w:t>
      </w:r>
    </w:p>
    <w:p>
      <w:pPr>
        <w:spacing w:after="0" w:line="12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DERs associated with the time-vested phantom units will accrue for the first year and such accrued amount will be paid in cash in a lump sum on the August 2022 distribution date; beginning in November 2022, DERs on such time-vested phantom units will be paid quarterly until the associated phantom units vest. DERs associated with the performance-vested phantom units will accrue during the three-year performance period and be paid in cash in a lump sum on the August 2024 distribution date with respect to the number of such phantom units, if any, that vest on such date. See the “Grants of Plan Based Awards Table” below for additional information regarding the 2021 annual grants.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i w:val="1"/>
          <w:iCs w:val="1"/>
          <w:color w:val="auto"/>
        </w:rPr>
        <w:t xml:space="preserve">Equity Ownership. </w:t>
      </w:r>
      <w:r>
        <w:rPr>
          <w:rFonts w:ascii="Arial" w:cs="Arial" w:eastAsia="Arial" w:hAnsi="Arial"/>
          <w:sz w:val="18"/>
          <w:szCs w:val="18"/>
          <w:color w:val="auto"/>
        </w:rPr>
        <w:t>Our Named Executive Officers and directors collectively own substantial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 PAA and PAGP. As of March 28, 2022, the Named Executive Officers beneficially owned, in the aggregate, approximately 11.0 million units of equity interests in PAA and/or PAGP with an approximate market value of $120 million, and all executive officers and directors beneficially owned, in the aggregate, approximately 79.0 million units of equity interests in PAA and/or PAGP with an approximate market value of $863 million.</w:t>
      </w:r>
    </w:p>
    <w:p>
      <w:pPr>
        <w:spacing w:after="0" w:line="120"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i w:val="1"/>
          <w:iCs w:val="1"/>
          <w:color w:val="auto"/>
        </w:rPr>
        <w:t xml:space="preserve">Equity Ownership Guidelines. </w:t>
      </w:r>
      <w:r>
        <w:rPr>
          <w:rFonts w:ascii="Arial" w:cs="Arial" w:eastAsia="Arial" w:hAnsi="Arial"/>
          <w:sz w:val="18"/>
          <w:szCs w:val="18"/>
          <w:color w:val="auto"/>
        </w:rPr>
        <w:t>In November 2020, the Board adopted Equity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to further align the interests of our executive officers and directors with the interests of our unitholders by requiring each to achieve and maintain a minimum equity ownership level. Under these guidelines, each executive officer and director is expected to continuously own PAA and/or PAGP securities with a value equal to a specified multiple of his or her base salary or annual cash retainer as follows:</w:t>
      </w:r>
    </w:p>
    <w:p>
      <w:pPr>
        <w:spacing w:after="0" w:line="166" w:lineRule="exact"/>
        <w:rPr>
          <w:sz w:val="20"/>
          <w:szCs w:val="20"/>
          <w:color w:val="auto"/>
        </w:rPr>
      </w:pPr>
    </w:p>
    <w:tbl>
      <w:tblPr>
        <w:tblLayout w:type="fixed"/>
        <w:tblInd w:w="1630" w:type="dxa"/>
        <w:tblCellMar>
          <w:top w:w="0" w:type="dxa"/>
          <w:left w:w="0" w:type="dxa"/>
          <w:bottom w:w="0" w:type="dxa"/>
          <w:right w:w="0" w:type="dxa"/>
        </w:tblCellMar>
      </w:tblPr>
      <w:tr>
        <w:trPr>
          <w:trHeight w:val="243"/>
        </w:trPr>
        <w:tc>
          <w:tcPr>
            <w:tcW w:w="3640" w:type="dxa"/>
            <w:vAlign w:val="bottom"/>
            <w:tcBorders>
              <w:left w:val="single" w:sz="8" w:color="434F69"/>
              <w:right w:val="single" w:sz="8" w:color="434F69"/>
            </w:tcBorders>
            <w:shd w:val="clear" w:color="auto" w:fill="434F69"/>
          </w:tcPr>
          <w:p>
            <w:pPr>
              <w:spacing w:after="0"/>
              <w:rPr>
                <w:sz w:val="21"/>
                <w:szCs w:val="21"/>
                <w:color w:val="auto"/>
              </w:rPr>
            </w:pPr>
          </w:p>
        </w:tc>
        <w:tc>
          <w:tcPr>
            <w:tcW w:w="38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Multiple of Base Salary or</w:t>
            </w:r>
          </w:p>
        </w:tc>
      </w:tr>
      <w:tr>
        <w:trPr>
          <w:trHeight w:val="196"/>
        </w:trPr>
        <w:tc>
          <w:tcPr>
            <w:tcW w:w="3640" w:type="dxa"/>
            <w:vAlign w:val="bottom"/>
            <w:tcBorders>
              <w:left w:val="single" w:sz="8" w:color="434F69"/>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Title</w:t>
            </w:r>
          </w:p>
        </w:tc>
        <w:tc>
          <w:tcPr>
            <w:tcW w:w="384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Annual Cash Retainer</w:t>
            </w:r>
          </w:p>
        </w:tc>
      </w:tr>
      <w:tr>
        <w:trPr>
          <w:trHeight w:val="250"/>
        </w:trPr>
        <w:tc>
          <w:tcPr>
            <w:tcW w:w="36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CEO</w:t>
            </w:r>
          </w:p>
        </w:tc>
        <w:tc>
          <w:tcPr>
            <w:tcW w:w="384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6x</w:t>
            </w:r>
          </w:p>
        </w:tc>
      </w:tr>
      <w:tr>
        <w:trPr>
          <w:trHeight w:val="250"/>
        </w:trPr>
        <w:tc>
          <w:tcPr>
            <w:tcW w:w="3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President</w:t>
            </w:r>
          </w:p>
        </w:tc>
        <w:tc>
          <w:tcPr>
            <w:tcW w:w="38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rPr>
              <w:t>5x</w:t>
            </w:r>
          </w:p>
        </w:tc>
      </w:tr>
      <w:tr>
        <w:trPr>
          <w:trHeight w:val="250"/>
        </w:trPr>
        <w:tc>
          <w:tcPr>
            <w:tcW w:w="36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EVP</w:t>
            </w:r>
          </w:p>
        </w:tc>
        <w:tc>
          <w:tcPr>
            <w:tcW w:w="384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3x</w:t>
            </w:r>
          </w:p>
        </w:tc>
      </w:tr>
      <w:tr>
        <w:trPr>
          <w:trHeight w:val="250"/>
        </w:trPr>
        <w:tc>
          <w:tcPr>
            <w:tcW w:w="3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SVP</w:t>
            </w:r>
          </w:p>
        </w:tc>
        <w:tc>
          <w:tcPr>
            <w:tcW w:w="38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rPr>
              <w:t>1x</w:t>
            </w:r>
          </w:p>
        </w:tc>
      </w:tr>
      <w:tr>
        <w:trPr>
          <w:trHeight w:val="250"/>
        </w:trPr>
        <w:tc>
          <w:tcPr>
            <w:tcW w:w="36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Director</w:t>
            </w:r>
          </w:p>
        </w:tc>
        <w:tc>
          <w:tcPr>
            <w:tcW w:w="384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5x</w:t>
            </w:r>
          </w:p>
        </w:tc>
      </w:tr>
    </w:tbl>
    <w:p>
      <w:pPr>
        <w:spacing w:after="0" w:line="134"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Executive officers and directors are expected to meet these guidelines within five years after the later of becoming subject to the guidelines or the date of adoption of the guidelines. The compliance date for current executive officers and directors is November 2025, except for Mr. McCarthy whose compliance date is August 2026. All current executive officers and directors are on track to meet the applicable guidelines on their respective compliance dates. Executive officers and directors are required to hold 100% of units/shares acquired upon vesting of phantom units or phantom shares until ownership guidelines are met (“hold until met” requirement).</w:t>
      </w:r>
    </w:p>
    <w:p>
      <w:pPr>
        <w:spacing w:after="0" w:line="121" w:lineRule="exact"/>
        <w:rPr>
          <w:sz w:val="20"/>
          <w:szCs w:val="20"/>
          <w:color w:val="auto"/>
        </w:rPr>
      </w:pPr>
    </w:p>
    <w:p>
      <w:pPr>
        <w:ind w:left="1260" w:right="579" w:firstLine="360"/>
        <w:spacing w:after="0" w:line="256" w:lineRule="auto"/>
        <w:rPr>
          <w:sz w:val="20"/>
          <w:szCs w:val="20"/>
          <w:color w:val="auto"/>
        </w:rPr>
      </w:pPr>
      <w:r>
        <w:rPr>
          <w:rFonts w:ascii="Arial" w:cs="Arial" w:eastAsia="Arial" w:hAnsi="Arial"/>
          <w:sz w:val="18"/>
          <w:szCs w:val="18"/>
          <w:i w:val="1"/>
          <w:iCs w:val="1"/>
          <w:color w:val="auto"/>
        </w:rPr>
        <w:t xml:space="preserve">Anti-Hedging and Pledging Policies. </w:t>
      </w:r>
      <w:r>
        <w:rPr>
          <w:rFonts w:ascii="Arial" w:cs="Arial" w:eastAsia="Arial" w:hAnsi="Arial"/>
          <w:sz w:val="18"/>
          <w:szCs w:val="18"/>
          <w:color w:val="auto"/>
        </w:rPr>
        <w:t>We have policies and procedures in place that prohibit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officers, including our Named Executive Officers, from using puts, calls, options or other derivative securities to hedge the economic risk of their equity ownership in us, and from engaging in other types of hedging transactions, including prepaid variable forwards, equity swaps, collars and exchange funds. Our policies also prohibit pledging company securities or holding such securities in a margin account.</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539" w:firstLine="360"/>
        <w:spacing w:after="0" w:line="245" w:lineRule="auto"/>
        <w:rPr>
          <w:sz w:val="20"/>
          <w:szCs w:val="20"/>
          <w:color w:val="auto"/>
        </w:rPr>
      </w:pPr>
      <w:r>
        <w:rPr>
          <w:rFonts w:ascii="Arial" w:cs="Arial" w:eastAsia="Arial" w:hAnsi="Arial"/>
          <w:sz w:val="18"/>
          <w:szCs w:val="18"/>
          <w:i w:val="1"/>
          <w:iCs w:val="1"/>
          <w:color w:val="auto"/>
        </w:rPr>
        <w:t xml:space="preserve">Clawback Policy. </w:t>
      </w:r>
      <w:r>
        <w:rPr>
          <w:rFonts w:ascii="Arial" w:cs="Arial" w:eastAsia="Arial" w:hAnsi="Arial"/>
          <w:sz w:val="18"/>
          <w:szCs w:val="18"/>
          <w:color w:val="auto"/>
        </w:rPr>
        <w:t>In November 2020, the Board also adopted a Clawback Policy to further align</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interests of our executive officers with the interests of our unitholders, incentivize appropriate behaviors and discourage excessive risk taking. The Clawback Policy covers all executive officers and includes the following clawback triggers and related recoveries:</w:t>
      </w:r>
    </w:p>
    <w:p>
      <w:pPr>
        <w:spacing w:after="0" w:line="77" w:lineRule="exact"/>
        <w:rPr>
          <w:sz w:val="20"/>
          <w:szCs w:val="20"/>
          <w:color w:val="auto"/>
        </w:rPr>
      </w:pPr>
    </w:p>
    <w:p>
      <w:pPr>
        <w:ind w:left="1800" w:right="619" w:hanging="180"/>
        <w:spacing w:after="0" w:line="256"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Fraud or intentional/unlawful conduct that contributes to a material financial restatement that results in over-payment of performance-based compensation (Company may seek recovery of any excess compensation awarded or paid); and</w:t>
      </w:r>
    </w:p>
    <w:p>
      <w:pPr>
        <w:spacing w:after="0" w:line="93" w:lineRule="exact"/>
        <w:rPr>
          <w:rFonts w:ascii="Arial" w:cs="Arial" w:eastAsia="Arial" w:hAnsi="Arial"/>
          <w:sz w:val="18"/>
          <w:szCs w:val="18"/>
          <w:color w:val="auto"/>
        </w:rPr>
      </w:pPr>
    </w:p>
    <w:p>
      <w:pPr>
        <w:ind w:left="1800" w:right="439" w:hanging="180"/>
        <w:spacing w:after="0" w:line="254"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Detrimental conduct that results in significant financial, reputational or other harm to the Company (Company may seek recovery or forfeiture of any performance-based compensation or unvested time-based equity awards granted or paid during the 3-year period prior to discovery of the misconduct).</w:t>
      </w:r>
    </w:p>
    <w:p>
      <w:pPr>
        <w:spacing w:after="0" w:line="11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i w:val="1"/>
          <w:iCs w:val="1"/>
          <w:color w:val="auto"/>
        </w:rPr>
        <w:t xml:space="preserve">Change in Control Triggers. </w:t>
      </w:r>
      <w:r>
        <w:rPr>
          <w:rFonts w:ascii="Arial" w:cs="Arial" w:eastAsia="Arial" w:hAnsi="Arial"/>
          <w:sz w:val="18"/>
          <w:szCs w:val="18"/>
          <w:color w:val="auto"/>
        </w:rPr>
        <w:t>Our long-term incentive plan grants provide for accelerated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upon a change of control (as defined in such agreements), but such vesting becomes operative only if the change in control is accompanied by a “change in status” (which includes the termination of employment by GP LLC without cause and certain other circumstances involving a voluntary separation or retirement). We believe this “double trigger” arrangement is appropriate because it provides assurance to the executive, but does not offer a windfall to the executive when there has been no real change in employment status. Pursuant to the legacy AAP Management Unit grant agreements held by Messrs. Chiang (375,521 units) and Goebel (37,552 units), upon the occurrence of a change in control, any earned AAP Management Units become vested units. In addition, the provisions in Mr. Pefanis’ legacy employment agreement provide for a severance payment if he terminates employment within three months following a change in control. Mr. Pefanis agreed to a conditional waiver of these provisions with respect to all prior qualifying transactions. See “— Potential Payments Upon Termination or Change-in-Control.”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w:t>
      </w:r>
    </w:p>
    <w:p>
      <w:pPr>
        <w:spacing w:after="0" w:line="105"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Code, we are a limited partnership and do not fall within the definition of a “corporation” under Section 162(m).</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180" w:lineRule="exact"/>
        <w:rPr>
          <w:sz w:val="20"/>
          <w:szCs w:val="20"/>
          <w:color w:val="auto"/>
        </w:rPr>
      </w:pPr>
    </w:p>
    <w:p>
      <w:pPr>
        <w:ind w:left="1260" w:right="519" w:firstLine="360"/>
        <w:spacing w:after="0" w:line="236" w:lineRule="auto"/>
        <w:rPr>
          <w:sz w:val="20"/>
          <w:szCs w:val="20"/>
          <w:color w:val="auto"/>
        </w:rPr>
      </w:pPr>
      <w:r>
        <w:rPr>
          <w:rFonts w:ascii="Arial" w:cs="Arial" w:eastAsia="Arial" w:hAnsi="Arial"/>
          <w:sz w:val="18"/>
          <w:szCs w:val="18"/>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targeted performance thresholds. For us, such risks would primarily attach to certain commercial merchant activities as well as to the execution of investment capital projects and acquisitions and the realization of associated returns.</w:t>
      </w:r>
    </w:p>
    <w:p>
      <w:pPr>
        <w:spacing w:after="0" w:line="127"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investment capital projects and acquisitions relative to expectations.</w:t>
      </w:r>
    </w:p>
    <w:p>
      <w:pPr>
        <w:spacing w:after="0" w:line="121"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long-term incentive awards are typically based on the passage of time and performance thresholds associated with achieving specified long-term financial goals. Also, the fact that we utilize a variety of metrics in connection with our incentive arrangements (both short and long term), including a leverage modifier in</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color w:val="auto"/>
        </w:rPr>
        <w:t>the case of our long term incentive plan grants, provides a structural mitigant against excessive risk taking to achieve performance targets.</w:t>
      </w:r>
    </w:p>
    <w:p>
      <w:pPr>
        <w:spacing w:after="0" w:line="117"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combination with our risk-management practices and the processes employed by the compensation committee and the Board, we believe there is an adequate level of oversight with respect to the degree of risk being taken by management to achieve short and long term performance goals and we believe that risks arising from our compensation policies and practices for employees are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66" w:lineRule="exact"/>
        <w:rPr>
          <w:sz w:val="20"/>
          <w:szCs w:val="20"/>
          <w:color w:val="auto"/>
        </w:rPr>
      </w:pPr>
    </w:p>
    <w:p>
      <w:pPr>
        <w:jc w:val="both"/>
        <w:ind w:left="1260" w:right="519" w:firstLine="360"/>
        <w:spacing w:after="0" w:line="238" w:lineRule="auto"/>
        <w:rPr>
          <w:sz w:val="20"/>
          <w:szCs w:val="20"/>
          <w:color w:val="auto"/>
        </w:rPr>
      </w:pPr>
      <w:r>
        <w:rPr>
          <w:rFonts w:ascii="Arial" w:cs="Arial" w:eastAsia="Arial" w:hAnsi="Arial"/>
          <w:sz w:val="18"/>
          <w:szCs w:val="18"/>
          <w:color w:val="auto"/>
        </w:rPr>
        <w:t>The following table sets forth certain compensation information for our Named Executive Officers. As a result of his request to not participate in the 2021 long-term incentive program, Mr. Pefanis is not one of the three most highly compensated executive officers, but he is included as a Named Executive Officer given the significance of his role as President of Plains.</w:t>
      </w:r>
    </w:p>
    <w:p>
      <w:pPr>
        <w:spacing w:after="0" w:line="179"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2540" w:type="dxa"/>
            <w:vAlign w:val="bottom"/>
            <w:tcBorders>
              <w:left w:val="single" w:sz="8" w:color="434F69"/>
              <w:right w:val="single" w:sz="8" w:color="434F69"/>
            </w:tcBorders>
            <w:shd w:val="clear" w:color="auto" w:fill="434F69"/>
          </w:tcPr>
          <w:p>
            <w:pPr>
              <w:spacing w:after="0"/>
              <w:rPr>
                <w:sz w:val="21"/>
                <w:szCs w:val="21"/>
                <w:color w:val="auto"/>
              </w:rPr>
            </w:pPr>
          </w:p>
        </w:tc>
        <w:tc>
          <w:tcPr>
            <w:tcW w:w="560" w:type="dxa"/>
            <w:vAlign w:val="bottom"/>
            <w:tcBorders>
              <w:right w:val="single" w:sz="8" w:color="434F69"/>
            </w:tcBorders>
            <w:shd w:val="clear" w:color="auto" w:fill="434F69"/>
          </w:tcPr>
          <w:p>
            <w:pPr>
              <w:spacing w:after="0"/>
              <w:rPr>
                <w:sz w:val="21"/>
                <w:szCs w:val="21"/>
                <w:color w:val="auto"/>
              </w:rPr>
            </w:pPr>
          </w:p>
        </w:tc>
        <w:tc>
          <w:tcPr>
            <w:tcW w:w="780" w:type="dxa"/>
            <w:vAlign w:val="bottom"/>
            <w:tcBorders>
              <w:right w:val="single" w:sz="8" w:color="434F69"/>
            </w:tcBorders>
            <w:shd w:val="clear" w:color="auto" w:fill="434F69"/>
          </w:tcPr>
          <w:p>
            <w:pPr>
              <w:spacing w:after="0"/>
              <w:rPr>
                <w:sz w:val="21"/>
                <w:szCs w:val="21"/>
                <w:color w:val="auto"/>
              </w:rPr>
            </w:pPr>
          </w:p>
        </w:tc>
        <w:tc>
          <w:tcPr>
            <w:tcW w:w="940" w:type="dxa"/>
            <w:vAlign w:val="bottom"/>
            <w:tcBorders>
              <w:right w:val="single" w:sz="8" w:color="434F69"/>
            </w:tcBorders>
            <w:shd w:val="clear" w:color="auto" w:fill="434F69"/>
          </w:tcPr>
          <w:p>
            <w:pPr>
              <w:spacing w:after="0"/>
              <w:rPr>
                <w:sz w:val="21"/>
                <w:szCs w:val="21"/>
                <w:color w:val="auto"/>
              </w:rPr>
            </w:pP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Non-Equity</w:t>
            </w:r>
          </w:p>
        </w:tc>
        <w:tc>
          <w:tcPr>
            <w:tcW w:w="1240" w:type="dxa"/>
            <w:vAlign w:val="bottom"/>
            <w:tcBorders>
              <w:right w:val="single" w:sz="8" w:color="434F69"/>
            </w:tcBorders>
            <w:shd w:val="clear" w:color="auto" w:fill="434F69"/>
          </w:tcPr>
          <w:p>
            <w:pPr>
              <w:spacing w:after="0"/>
              <w:rPr>
                <w:sz w:val="21"/>
                <w:szCs w:val="21"/>
                <w:color w:val="auto"/>
              </w:rPr>
            </w:pPr>
          </w:p>
        </w:tc>
        <w:tc>
          <w:tcPr>
            <w:tcW w:w="920" w:type="dxa"/>
            <w:vAlign w:val="bottom"/>
            <w:tcBorders>
              <w:right w:val="single" w:sz="8" w:color="434F69"/>
            </w:tcBorders>
            <w:shd w:val="clear" w:color="auto" w:fill="434F69"/>
          </w:tcPr>
          <w:p>
            <w:pPr>
              <w:spacing w:after="0"/>
              <w:rPr>
                <w:sz w:val="21"/>
                <w:szCs w:val="21"/>
                <w:color w:val="auto"/>
              </w:rPr>
            </w:pPr>
          </w:p>
        </w:tc>
      </w:tr>
      <w:tr>
        <w:trPr>
          <w:trHeight w:val="162"/>
        </w:trPr>
        <w:tc>
          <w:tcPr>
            <w:tcW w:w="2540" w:type="dxa"/>
            <w:vAlign w:val="bottom"/>
            <w:tcBorders>
              <w:left w:val="single" w:sz="8" w:color="434F69"/>
              <w:right w:val="single" w:sz="8" w:color="434F69"/>
            </w:tcBorders>
            <w:shd w:val="clear" w:color="auto" w:fill="434F69"/>
          </w:tcPr>
          <w:p>
            <w:pPr>
              <w:spacing w:after="0"/>
              <w:rPr>
                <w:sz w:val="14"/>
                <w:szCs w:val="14"/>
                <w:color w:val="auto"/>
              </w:rPr>
            </w:pPr>
          </w:p>
        </w:tc>
        <w:tc>
          <w:tcPr>
            <w:tcW w:w="560" w:type="dxa"/>
            <w:vAlign w:val="bottom"/>
            <w:tcBorders>
              <w:right w:val="single" w:sz="8" w:color="434F69"/>
            </w:tcBorders>
            <w:shd w:val="clear" w:color="auto" w:fill="434F69"/>
          </w:tcPr>
          <w:p>
            <w:pPr>
              <w:spacing w:after="0"/>
              <w:rPr>
                <w:sz w:val="14"/>
                <w:szCs w:val="14"/>
                <w:color w:val="auto"/>
              </w:rPr>
            </w:pPr>
          </w:p>
        </w:tc>
        <w:tc>
          <w:tcPr>
            <w:tcW w:w="780" w:type="dxa"/>
            <w:vAlign w:val="bottom"/>
            <w:tcBorders>
              <w:right w:val="single" w:sz="8" w:color="434F69"/>
            </w:tcBorders>
            <w:shd w:val="clear" w:color="auto" w:fill="434F69"/>
          </w:tcPr>
          <w:p>
            <w:pPr>
              <w:spacing w:after="0"/>
              <w:rPr>
                <w:sz w:val="14"/>
                <w:szCs w:val="14"/>
                <w:color w:val="auto"/>
              </w:rPr>
            </w:pPr>
          </w:p>
        </w:tc>
        <w:tc>
          <w:tcPr>
            <w:tcW w:w="940" w:type="dxa"/>
            <w:vAlign w:val="bottom"/>
            <w:tcBorders>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Incentive</w:t>
            </w:r>
          </w:p>
        </w:tc>
        <w:tc>
          <w:tcPr>
            <w:tcW w:w="1240" w:type="dxa"/>
            <w:vAlign w:val="bottom"/>
            <w:tcBorders>
              <w:right w:val="single" w:sz="8" w:color="434F69"/>
            </w:tcBorders>
            <w:shd w:val="clear" w:color="auto" w:fill="434F69"/>
          </w:tcPr>
          <w:p>
            <w:pPr>
              <w:spacing w:after="0"/>
              <w:rPr>
                <w:sz w:val="14"/>
                <w:szCs w:val="14"/>
                <w:color w:val="auto"/>
              </w:rPr>
            </w:pPr>
          </w:p>
        </w:tc>
        <w:tc>
          <w:tcPr>
            <w:tcW w:w="920" w:type="dxa"/>
            <w:vAlign w:val="bottom"/>
            <w:tcBorders>
              <w:right w:val="single" w:sz="8" w:color="434F69"/>
            </w:tcBorders>
            <w:shd w:val="clear" w:color="auto" w:fill="434F69"/>
          </w:tcPr>
          <w:p>
            <w:pPr>
              <w:spacing w:after="0"/>
              <w:rPr>
                <w:sz w:val="14"/>
                <w:szCs w:val="14"/>
                <w:color w:val="auto"/>
              </w:rPr>
            </w:pPr>
          </w:p>
        </w:tc>
      </w:tr>
      <w:tr>
        <w:trPr>
          <w:trHeight w:val="162"/>
        </w:trPr>
        <w:tc>
          <w:tcPr>
            <w:tcW w:w="2540" w:type="dxa"/>
            <w:vAlign w:val="bottom"/>
            <w:tcBorders>
              <w:left w:val="single" w:sz="8" w:color="434F69"/>
              <w:right w:val="single" w:sz="8" w:color="434F69"/>
            </w:tcBorders>
            <w:shd w:val="clear" w:color="auto" w:fill="434F69"/>
          </w:tcPr>
          <w:p>
            <w:pPr>
              <w:spacing w:after="0"/>
              <w:rPr>
                <w:sz w:val="14"/>
                <w:szCs w:val="14"/>
                <w:color w:val="auto"/>
              </w:rPr>
            </w:pPr>
          </w:p>
        </w:tc>
        <w:tc>
          <w:tcPr>
            <w:tcW w:w="560" w:type="dxa"/>
            <w:vAlign w:val="bottom"/>
            <w:tcBorders>
              <w:right w:val="single" w:sz="8" w:color="434F69"/>
            </w:tcBorders>
            <w:shd w:val="clear" w:color="auto" w:fill="434F69"/>
          </w:tcPr>
          <w:p>
            <w:pPr>
              <w:spacing w:after="0"/>
              <w:rPr>
                <w:sz w:val="14"/>
                <w:szCs w:val="14"/>
                <w:color w:val="auto"/>
              </w:rPr>
            </w:pPr>
          </w:p>
        </w:tc>
        <w:tc>
          <w:tcPr>
            <w:tcW w:w="780" w:type="dxa"/>
            <w:vAlign w:val="bottom"/>
            <w:tcBorders>
              <w:right w:val="single" w:sz="8" w:color="434F69"/>
            </w:tcBorders>
            <w:shd w:val="clear" w:color="auto" w:fill="434F69"/>
          </w:tcPr>
          <w:p>
            <w:pPr>
              <w:spacing w:after="0"/>
              <w:rPr>
                <w:sz w:val="14"/>
                <w:szCs w:val="14"/>
                <w:color w:val="auto"/>
              </w:rPr>
            </w:pPr>
          </w:p>
        </w:tc>
        <w:tc>
          <w:tcPr>
            <w:tcW w:w="9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Stock</w:t>
            </w: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Plan</w:t>
            </w: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All Other</w:t>
            </w:r>
          </w:p>
        </w:tc>
        <w:tc>
          <w:tcPr>
            <w:tcW w:w="920" w:type="dxa"/>
            <w:vAlign w:val="bottom"/>
            <w:tcBorders>
              <w:right w:val="single" w:sz="8" w:color="434F69"/>
            </w:tcBorders>
            <w:shd w:val="clear" w:color="auto" w:fill="434F69"/>
          </w:tcPr>
          <w:p>
            <w:pPr>
              <w:spacing w:after="0"/>
              <w:rPr>
                <w:sz w:val="14"/>
                <w:szCs w:val="14"/>
                <w:color w:val="auto"/>
              </w:rPr>
            </w:pPr>
          </w:p>
        </w:tc>
      </w:tr>
      <w:tr>
        <w:trPr>
          <w:trHeight w:val="151"/>
        </w:trPr>
        <w:tc>
          <w:tcPr>
            <w:tcW w:w="2540" w:type="dxa"/>
            <w:vAlign w:val="bottom"/>
            <w:tcBorders>
              <w:left w:val="single" w:sz="8" w:color="434F69"/>
              <w:right w:val="single" w:sz="8" w:color="434F69"/>
            </w:tcBorders>
            <w:shd w:val="clear" w:color="auto" w:fill="434F69"/>
          </w:tcPr>
          <w:p>
            <w:pPr>
              <w:ind w:left="60"/>
              <w:spacing w:after="0" w:line="151" w:lineRule="exact"/>
              <w:rPr>
                <w:sz w:val="20"/>
                <w:szCs w:val="20"/>
                <w:color w:val="auto"/>
              </w:rPr>
            </w:pPr>
            <w:r>
              <w:rPr>
                <w:rFonts w:ascii="Arial" w:cs="Arial" w:eastAsia="Arial" w:hAnsi="Arial"/>
                <w:sz w:val="14"/>
                <w:szCs w:val="14"/>
                <w:b w:val="1"/>
                <w:bCs w:val="1"/>
                <w:color w:val="FFFFFF"/>
              </w:rPr>
              <w:t>Name and Current Principal</w:t>
            </w:r>
          </w:p>
        </w:tc>
        <w:tc>
          <w:tcPr>
            <w:tcW w:w="560" w:type="dxa"/>
            <w:vAlign w:val="bottom"/>
            <w:tcBorders>
              <w:right w:val="single" w:sz="8" w:color="434F69"/>
            </w:tcBorders>
            <w:shd w:val="clear" w:color="auto" w:fill="434F69"/>
          </w:tcPr>
          <w:p>
            <w:pPr>
              <w:spacing w:after="0"/>
              <w:rPr>
                <w:sz w:val="13"/>
                <w:szCs w:val="13"/>
                <w:color w:val="auto"/>
              </w:rPr>
            </w:pPr>
          </w:p>
        </w:tc>
        <w:tc>
          <w:tcPr>
            <w:tcW w:w="780" w:type="dxa"/>
            <w:vAlign w:val="bottom"/>
            <w:tcBorders>
              <w:right w:val="single" w:sz="8" w:color="434F69"/>
            </w:tcBorders>
            <w:shd w:val="clear" w:color="auto" w:fill="434F69"/>
          </w:tcPr>
          <w:p>
            <w:pPr>
              <w:ind w:left="140"/>
              <w:spacing w:after="0" w:line="151" w:lineRule="exact"/>
              <w:rPr>
                <w:sz w:val="20"/>
                <w:szCs w:val="20"/>
                <w:color w:val="auto"/>
              </w:rPr>
            </w:pPr>
            <w:r>
              <w:rPr>
                <w:rFonts w:ascii="Arial" w:cs="Arial" w:eastAsia="Arial" w:hAnsi="Arial"/>
                <w:sz w:val="14"/>
                <w:szCs w:val="14"/>
                <w:b w:val="1"/>
                <w:bCs w:val="1"/>
                <w:color w:val="FFFFFF"/>
              </w:rPr>
              <w:t>Salary</w:t>
            </w:r>
          </w:p>
        </w:tc>
        <w:tc>
          <w:tcPr>
            <w:tcW w:w="94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Awards</w:t>
            </w:r>
          </w:p>
        </w:tc>
        <w:tc>
          <w:tcPr>
            <w:tcW w:w="124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Compensation</w:t>
            </w:r>
          </w:p>
        </w:tc>
        <w:tc>
          <w:tcPr>
            <w:tcW w:w="124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Compensation</w:t>
            </w:r>
          </w:p>
        </w:tc>
        <w:tc>
          <w:tcPr>
            <w:tcW w:w="920" w:type="dxa"/>
            <w:vAlign w:val="bottom"/>
            <w:tcBorders>
              <w:right w:val="single" w:sz="8" w:color="434F69"/>
            </w:tcBorders>
            <w:shd w:val="clear" w:color="auto" w:fill="434F69"/>
          </w:tcPr>
          <w:p>
            <w:pPr>
              <w:ind w:left="280"/>
              <w:spacing w:after="0" w:line="151" w:lineRule="exact"/>
              <w:rPr>
                <w:sz w:val="20"/>
                <w:szCs w:val="20"/>
                <w:color w:val="auto"/>
              </w:rPr>
            </w:pPr>
            <w:r>
              <w:rPr>
                <w:rFonts w:ascii="Arial" w:cs="Arial" w:eastAsia="Arial" w:hAnsi="Arial"/>
                <w:sz w:val="14"/>
                <w:szCs w:val="14"/>
                <w:b w:val="1"/>
                <w:bCs w:val="1"/>
                <w:color w:val="FFFFFF"/>
              </w:rPr>
              <w:t>Total</w:t>
            </w:r>
          </w:p>
        </w:tc>
      </w:tr>
      <w:tr>
        <w:trPr>
          <w:trHeight w:val="226"/>
        </w:trPr>
        <w:tc>
          <w:tcPr>
            <w:tcW w:w="254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Position</w:t>
            </w:r>
          </w:p>
        </w:tc>
        <w:tc>
          <w:tcPr>
            <w:tcW w:w="560" w:type="dxa"/>
            <w:vAlign w:val="bottom"/>
            <w:tcBorders>
              <w:right w:val="single" w:sz="8" w:color="434F69"/>
            </w:tcBorders>
            <w:shd w:val="clear" w:color="auto" w:fill="434F69"/>
          </w:tcPr>
          <w:p>
            <w:pPr>
              <w:ind w:left="120"/>
              <w:spacing w:after="0"/>
              <w:rPr>
                <w:sz w:val="20"/>
                <w:szCs w:val="20"/>
                <w:color w:val="auto"/>
              </w:rPr>
            </w:pPr>
            <w:r>
              <w:rPr>
                <w:rFonts w:ascii="Arial" w:cs="Arial" w:eastAsia="Arial" w:hAnsi="Arial"/>
                <w:sz w:val="14"/>
                <w:szCs w:val="14"/>
                <w:b w:val="1"/>
                <w:bCs w:val="1"/>
                <w:color w:val="FFFFFF"/>
              </w:rPr>
              <w:t>Year</w:t>
            </w:r>
          </w:p>
        </w:tc>
        <w:tc>
          <w:tcPr>
            <w:tcW w:w="7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(1)</w:t>
            </w:r>
          </w:p>
        </w:tc>
        <w:tc>
          <w:tcPr>
            <w:tcW w:w="9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(2)</w:t>
            </w: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(3)</w:t>
            </w:r>
          </w:p>
        </w:tc>
        <w:tc>
          <w:tcPr>
            <w:tcW w:w="9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t>
            </w:r>
          </w:p>
        </w:tc>
      </w:tr>
      <w:tr>
        <w:trPr>
          <w:trHeight w:val="236"/>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6"/>
                <w:szCs w:val="16"/>
                <w:color w:val="auto"/>
              </w:rPr>
              <w:t>Willie Chiang</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2021</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600,000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2,053,850</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1,720,000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18,360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4,392,210</w:t>
            </w:r>
          </w:p>
        </w:tc>
      </w:tr>
      <w:tr>
        <w:trPr>
          <w:trHeight w:val="236"/>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Chairman and Chief Executive</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600,000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2,247,181</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1,425,000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4,290,241</w:t>
            </w:r>
          </w:p>
        </w:tc>
      </w:tr>
      <w:tr>
        <w:trPr>
          <w:trHeight w:val="237"/>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Officer</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600,000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1,273,118</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2,250,000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4,140,878</w:t>
            </w:r>
          </w:p>
        </w:tc>
      </w:tr>
      <w:tr>
        <w:trPr>
          <w:trHeight w:val="297"/>
        </w:trPr>
        <w:tc>
          <w:tcPr>
            <w:tcW w:w="25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60" w:type="dxa"/>
            <w:vAlign w:val="bottom"/>
            <w:tcBorders>
              <w:bottom w:val="single" w:sz="8" w:color="434F69"/>
              <w:right w:val="single" w:sz="8" w:color="434F69"/>
            </w:tcBorders>
            <w:shd w:val="clear" w:color="auto" w:fill="D9DCE1"/>
          </w:tcPr>
          <w:p>
            <w:pPr>
              <w:spacing w:after="0"/>
              <w:rPr>
                <w:sz w:val="24"/>
                <w:szCs w:val="24"/>
                <w:color w:val="auto"/>
              </w:rPr>
            </w:pPr>
          </w:p>
        </w:tc>
        <w:tc>
          <w:tcPr>
            <w:tcW w:w="78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3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6"/>
                <w:szCs w:val="16"/>
                <w:color w:val="auto"/>
              </w:rPr>
              <w:t>Harry Pefanis</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2021</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1,150,000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18,360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1,568,360</w:t>
            </w:r>
          </w:p>
        </w:tc>
      </w:tr>
      <w:tr>
        <w:trPr>
          <w:trHeight w:val="236"/>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President</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950,000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1,368,060</w:t>
            </w:r>
          </w:p>
        </w:tc>
      </w:tr>
      <w:tr>
        <w:trPr>
          <w:trHeight w:val="237"/>
        </w:trPr>
        <w:tc>
          <w:tcPr>
            <w:tcW w:w="2540" w:type="dxa"/>
            <w:vAlign w:val="bottom"/>
            <w:tcBorders>
              <w:left w:val="single" w:sz="8" w:color="434F69"/>
              <w:bottom w:val="single" w:sz="8" w:color="434F69"/>
              <w:right w:val="single" w:sz="8" w:color="434F69"/>
            </w:tcBorders>
          </w:tcPr>
          <w:p>
            <w:pPr>
              <w:spacing w:after="0"/>
              <w:rPr>
                <w:sz w:val="20"/>
                <w:szCs w:val="20"/>
                <w:color w:val="auto"/>
              </w:rPr>
            </w:pP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1,500,000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1,917,760</w:t>
            </w:r>
          </w:p>
        </w:tc>
      </w:tr>
      <w:tr>
        <w:trPr>
          <w:trHeight w:val="297"/>
        </w:trPr>
        <w:tc>
          <w:tcPr>
            <w:tcW w:w="25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60" w:type="dxa"/>
            <w:vAlign w:val="bottom"/>
            <w:tcBorders>
              <w:bottom w:val="single" w:sz="8" w:color="434F69"/>
              <w:right w:val="single" w:sz="8" w:color="434F69"/>
            </w:tcBorders>
            <w:shd w:val="clear" w:color="auto" w:fill="D9DCE1"/>
          </w:tcPr>
          <w:p>
            <w:pPr>
              <w:spacing w:after="0"/>
              <w:rPr>
                <w:sz w:val="24"/>
                <w:szCs w:val="24"/>
                <w:color w:val="auto"/>
              </w:rPr>
            </w:pPr>
          </w:p>
        </w:tc>
        <w:tc>
          <w:tcPr>
            <w:tcW w:w="78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3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6"/>
                <w:szCs w:val="16"/>
                <w:color w:val="auto"/>
              </w:rPr>
              <w:t>Al Swanson</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2021</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821,267</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980,000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18,360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2,219,627</w:t>
            </w:r>
          </w:p>
        </w:tc>
      </w:tr>
      <w:tr>
        <w:trPr>
          <w:trHeight w:val="236"/>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Executive Vice President and</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898,896</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775,000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2,091,956</w:t>
            </w:r>
          </w:p>
        </w:tc>
      </w:tr>
      <w:tr>
        <w:trPr>
          <w:trHeight w:val="237"/>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Chief Financial Officer</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509,288</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1,200,000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2,127,048</w:t>
            </w:r>
          </w:p>
        </w:tc>
      </w:tr>
      <w:tr>
        <w:trPr>
          <w:trHeight w:val="297"/>
        </w:trPr>
        <w:tc>
          <w:tcPr>
            <w:tcW w:w="25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60" w:type="dxa"/>
            <w:vAlign w:val="bottom"/>
            <w:tcBorders>
              <w:bottom w:val="single" w:sz="8" w:color="434F69"/>
              <w:right w:val="single" w:sz="8" w:color="434F69"/>
            </w:tcBorders>
            <w:shd w:val="clear" w:color="auto" w:fill="D9DCE1"/>
          </w:tcPr>
          <w:p>
            <w:pPr>
              <w:spacing w:after="0"/>
              <w:rPr>
                <w:sz w:val="24"/>
                <w:szCs w:val="24"/>
                <w:color w:val="auto"/>
              </w:rPr>
            </w:pPr>
          </w:p>
        </w:tc>
        <w:tc>
          <w:tcPr>
            <w:tcW w:w="78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3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6"/>
                <w:szCs w:val="16"/>
                <w:color w:val="auto"/>
              </w:rPr>
              <w:t>Richard McGee</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2021</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821,267</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1,050,000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18,360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2,289,627</w:t>
            </w:r>
          </w:p>
        </w:tc>
      </w:tr>
      <w:tr>
        <w:trPr>
          <w:trHeight w:val="236"/>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Executive Vice President,</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898,896</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775,000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2,091,956</w:t>
            </w:r>
          </w:p>
        </w:tc>
      </w:tr>
      <w:tr>
        <w:trPr>
          <w:trHeight w:val="204"/>
        </w:trPr>
        <w:tc>
          <w:tcPr>
            <w:tcW w:w="2540" w:type="dxa"/>
            <w:vAlign w:val="bottom"/>
            <w:tcBorders>
              <w:left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General Counsel and</w:t>
            </w:r>
          </w:p>
        </w:tc>
        <w:tc>
          <w:tcPr>
            <w:tcW w:w="560" w:type="dxa"/>
            <w:vAlign w:val="bottom"/>
            <w:tcBorders>
              <w:right w:val="single" w:sz="8" w:color="434F69"/>
            </w:tcBorders>
          </w:tcPr>
          <w:p>
            <w:pPr>
              <w:spacing w:after="0"/>
              <w:rPr>
                <w:sz w:val="17"/>
                <w:szCs w:val="17"/>
                <w:color w:val="auto"/>
              </w:rPr>
            </w:pPr>
          </w:p>
        </w:tc>
        <w:tc>
          <w:tcPr>
            <w:tcW w:w="780" w:type="dxa"/>
            <w:vAlign w:val="bottom"/>
            <w:tcBorders>
              <w:right w:val="single" w:sz="8" w:color="434F69"/>
            </w:tcBorders>
          </w:tcPr>
          <w:p>
            <w:pPr>
              <w:spacing w:after="0"/>
              <w:rPr>
                <w:sz w:val="17"/>
                <w:szCs w:val="17"/>
                <w:color w:val="auto"/>
              </w:rPr>
            </w:pPr>
          </w:p>
        </w:tc>
        <w:tc>
          <w:tcPr>
            <w:tcW w:w="940" w:type="dxa"/>
            <w:vAlign w:val="bottom"/>
            <w:tcBorders>
              <w:right w:val="single" w:sz="8" w:color="434F69"/>
            </w:tcBorders>
          </w:tcPr>
          <w:p>
            <w:pPr>
              <w:spacing w:after="0"/>
              <w:rPr>
                <w:sz w:val="17"/>
                <w:szCs w:val="17"/>
                <w:color w:val="auto"/>
              </w:rPr>
            </w:pPr>
          </w:p>
        </w:tc>
        <w:tc>
          <w:tcPr>
            <w:tcW w:w="1240" w:type="dxa"/>
            <w:vAlign w:val="bottom"/>
            <w:tcBorders>
              <w:right w:val="single" w:sz="8" w:color="434F69"/>
            </w:tcBorders>
          </w:tcPr>
          <w:p>
            <w:pPr>
              <w:spacing w:after="0"/>
              <w:rPr>
                <w:sz w:val="17"/>
                <w:szCs w:val="17"/>
                <w:color w:val="auto"/>
              </w:rPr>
            </w:pPr>
          </w:p>
        </w:tc>
        <w:tc>
          <w:tcPr>
            <w:tcW w:w="1240" w:type="dxa"/>
            <w:vAlign w:val="bottom"/>
            <w:tcBorders>
              <w:right w:val="single" w:sz="8" w:color="434F69"/>
            </w:tcBorders>
          </w:tcPr>
          <w:p>
            <w:pPr>
              <w:spacing w:after="0"/>
              <w:rPr>
                <w:sz w:val="17"/>
                <w:szCs w:val="17"/>
                <w:color w:val="auto"/>
              </w:rPr>
            </w:pPr>
          </w:p>
        </w:tc>
        <w:tc>
          <w:tcPr>
            <w:tcW w:w="920" w:type="dxa"/>
            <w:vAlign w:val="bottom"/>
            <w:tcBorders>
              <w:right w:val="single" w:sz="8" w:color="434F69"/>
            </w:tcBorders>
          </w:tcPr>
          <w:p>
            <w:pPr>
              <w:spacing w:after="0"/>
              <w:rPr>
                <w:sz w:val="17"/>
                <w:szCs w:val="17"/>
                <w:color w:val="auto"/>
              </w:rPr>
            </w:pPr>
          </w:p>
        </w:tc>
      </w:tr>
      <w:tr>
        <w:trPr>
          <w:trHeight w:val="208"/>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Secretary</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509,288</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1,200,000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2,127,048</w:t>
            </w:r>
          </w:p>
        </w:tc>
      </w:tr>
      <w:tr>
        <w:trPr>
          <w:trHeight w:val="297"/>
        </w:trPr>
        <w:tc>
          <w:tcPr>
            <w:tcW w:w="25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60" w:type="dxa"/>
            <w:vAlign w:val="bottom"/>
            <w:tcBorders>
              <w:bottom w:val="single" w:sz="8" w:color="434F69"/>
              <w:right w:val="single" w:sz="8" w:color="434F69"/>
            </w:tcBorders>
            <w:shd w:val="clear" w:color="auto" w:fill="D9DCE1"/>
          </w:tcPr>
          <w:p>
            <w:pPr>
              <w:spacing w:after="0"/>
              <w:rPr>
                <w:sz w:val="24"/>
                <w:szCs w:val="24"/>
                <w:color w:val="auto"/>
              </w:rPr>
            </w:pPr>
          </w:p>
        </w:tc>
        <w:tc>
          <w:tcPr>
            <w:tcW w:w="78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3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6"/>
                <w:szCs w:val="16"/>
                <w:color w:val="auto"/>
              </w:rPr>
              <w:t>Chris Chandler</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2021</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821,267</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1,010,000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18,360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2,249,627</w:t>
            </w:r>
          </w:p>
        </w:tc>
      </w:tr>
      <w:tr>
        <w:trPr>
          <w:trHeight w:val="236"/>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Executive Vice President and</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898,896</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800,000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2,116,956</w:t>
            </w:r>
          </w:p>
        </w:tc>
      </w:tr>
      <w:tr>
        <w:trPr>
          <w:trHeight w:val="237"/>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Chief Operating Officer</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396,000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4,410,788</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1,400,000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6,224,548</w:t>
            </w:r>
          </w:p>
        </w:tc>
      </w:tr>
      <w:tr>
        <w:trPr>
          <w:trHeight w:val="297"/>
        </w:trPr>
        <w:tc>
          <w:tcPr>
            <w:tcW w:w="25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60" w:type="dxa"/>
            <w:vAlign w:val="bottom"/>
            <w:tcBorders>
              <w:bottom w:val="single" w:sz="8" w:color="434F69"/>
              <w:right w:val="single" w:sz="8" w:color="434F69"/>
            </w:tcBorders>
            <w:shd w:val="clear" w:color="auto" w:fill="D9DCE1"/>
          </w:tcPr>
          <w:p>
            <w:pPr>
              <w:spacing w:after="0"/>
              <w:rPr>
                <w:sz w:val="24"/>
                <w:szCs w:val="24"/>
                <w:color w:val="auto"/>
              </w:rPr>
            </w:pPr>
          </w:p>
        </w:tc>
        <w:tc>
          <w:tcPr>
            <w:tcW w:w="78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3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6"/>
                <w:szCs w:val="16"/>
                <w:color w:val="auto"/>
              </w:rPr>
              <w:t>Jeremy Goebel</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2021</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821,267</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1,170,000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18,360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2,409,627</w:t>
            </w:r>
          </w:p>
        </w:tc>
      </w:tr>
      <w:tr>
        <w:trPr>
          <w:trHeight w:val="236"/>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Executive Vice President and</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898,896</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800,000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2,116,956</w:t>
            </w:r>
          </w:p>
        </w:tc>
      </w:tr>
      <w:tr>
        <w:trPr>
          <w:trHeight w:val="237"/>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Chief Commercial Officer</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396,000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4,410,788</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1,400,000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6,224,548</w:t>
            </w:r>
          </w:p>
        </w:tc>
      </w:tr>
    </w:tbl>
    <w:p>
      <w:pPr>
        <w:spacing w:after="0" w:line="80" w:lineRule="exact"/>
        <w:rPr>
          <w:sz w:val="20"/>
          <w:szCs w:val="20"/>
          <w:color w:val="auto"/>
        </w:rPr>
      </w:pPr>
    </w:p>
    <w:p>
      <w:pPr>
        <w:ind w:left="1620" w:hanging="360"/>
        <w:spacing w:after="0"/>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In March 2019, the salaries for each of Messrs. Chandler and Goebel were increased from</w:t>
      </w:r>
    </w:p>
    <w:p>
      <w:pPr>
        <w:ind w:left="1620" w:right="799"/>
        <w:spacing w:after="0" w:line="273" w:lineRule="auto"/>
        <w:rPr>
          <w:rFonts w:ascii="Arial" w:cs="Arial" w:eastAsia="Arial" w:hAnsi="Arial"/>
          <w:sz w:val="27"/>
          <w:szCs w:val="27"/>
          <w:color w:val="auto"/>
          <w:vertAlign w:val="superscript"/>
        </w:rPr>
      </w:pPr>
      <w:r>
        <w:rPr>
          <w:rFonts w:ascii="Arial" w:cs="Arial" w:eastAsia="Arial" w:hAnsi="Arial"/>
          <w:sz w:val="17"/>
          <w:szCs w:val="17"/>
          <w:color w:val="auto"/>
        </w:rPr>
        <w:t>$375,000 to $400,000 in connection with their promotions to the executive vice president level. Salary amounts in the table for Messrs. Chandler and Goebel reflect a blended rate for 2019.</w:t>
      </w:r>
    </w:p>
    <w:p>
      <w:pPr>
        <w:spacing w:after="0" w:line="41" w:lineRule="exact"/>
        <w:rPr>
          <w:rFonts w:ascii="Arial" w:cs="Arial" w:eastAsia="Arial" w:hAnsi="Arial"/>
          <w:sz w:val="27"/>
          <w:szCs w:val="27"/>
          <w:color w:val="auto"/>
          <w:vertAlign w:val="superscript"/>
        </w:rPr>
      </w:pPr>
    </w:p>
    <w:p>
      <w:pPr>
        <w:ind w:left="1620" w:right="699" w:hanging="360"/>
        <w:spacing w:after="0" w:line="231" w:lineRule="auto"/>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Grant date fair values are presented for phantom unit grants awarded to Messrs. Chiang, Swanson, McGee, Chandler and Goebel in 2019, 2020 and 2021. Dollar amounts in the table represent the aggregate fair value of phantom units awarded based on the probable outcome of underlying performance conditions pursuant to FASB ASC Topic 718. See Note 18 to our Consolidated Financial Statements included in our 2021 Annual Report for further discussion regarding the calculation of grant date fair values.</w:t>
      </w:r>
    </w:p>
    <w:p>
      <w:pPr>
        <w:spacing w:after="0" w:line="68" w:lineRule="exact"/>
        <w:rPr>
          <w:rFonts w:ascii="Arial" w:cs="Arial" w:eastAsia="Arial" w:hAnsi="Arial"/>
          <w:sz w:val="27"/>
          <w:szCs w:val="27"/>
          <w:color w:val="auto"/>
          <w:vertAlign w:val="superscript"/>
        </w:rPr>
      </w:pPr>
    </w:p>
    <w:p>
      <w:pPr>
        <w:ind w:left="1620" w:right="419"/>
        <w:spacing w:after="0" w:line="238" w:lineRule="auto"/>
        <w:rPr>
          <w:rFonts w:ascii="Arial" w:cs="Arial" w:eastAsia="Arial" w:hAnsi="Arial"/>
          <w:sz w:val="27"/>
          <w:szCs w:val="27"/>
          <w:color w:val="auto"/>
          <w:vertAlign w:val="superscript"/>
        </w:rPr>
      </w:pPr>
      <w:r>
        <w:rPr>
          <w:rFonts w:ascii="Arial" w:cs="Arial" w:eastAsia="Arial" w:hAnsi="Arial"/>
          <w:sz w:val="18"/>
          <w:szCs w:val="18"/>
          <w:color w:val="auto"/>
        </w:rPr>
        <w:t>For phantom unit grants awarded in August 2019, 50% were deemed probable of vesting on the grant date. The maximum fair value of phantom unit grants awarded in August 2019, assuming that the highest level of performance conditions will be met, was $2,403,520 for Mr. Chiang and $961,485 for each of Messrs. Swanson, McGee, Chandler and Goebel.</w:t>
      </w:r>
    </w:p>
    <w:p>
      <w:pPr>
        <w:spacing w:after="0" w:line="69" w:lineRule="exact"/>
        <w:rPr>
          <w:rFonts w:ascii="Arial" w:cs="Arial" w:eastAsia="Arial" w:hAnsi="Arial"/>
          <w:sz w:val="27"/>
          <w:szCs w:val="27"/>
          <w:color w:val="auto"/>
          <w:vertAlign w:val="superscript"/>
        </w:rPr>
      </w:pPr>
    </w:p>
    <w:p>
      <w:pPr>
        <w:ind w:left="1620" w:right="699"/>
        <w:spacing w:after="0"/>
        <w:rPr>
          <w:rFonts w:ascii="Arial" w:cs="Arial" w:eastAsia="Arial" w:hAnsi="Arial"/>
          <w:sz w:val="27"/>
          <w:szCs w:val="27"/>
          <w:color w:val="auto"/>
          <w:vertAlign w:val="superscript"/>
        </w:rPr>
      </w:pPr>
      <w:r>
        <w:rPr>
          <w:rFonts w:ascii="Arial" w:cs="Arial" w:eastAsia="Arial" w:hAnsi="Arial"/>
          <w:sz w:val="18"/>
          <w:szCs w:val="18"/>
          <w:color w:val="auto"/>
        </w:rPr>
        <w:t>For phantom unit grants awarded in November 2019, 50% were deemed probable of vesting on the grant date. The maximum fair value of phantom unit grants awarded in November 2019, assuming</w:t>
      </w:r>
    </w:p>
    <w:p>
      <w:pPr>
        <w:sectPr>
          <w:pgSz w:w="11900" w:h="16838" w:orient="portrait"/>
          <w:cols w:equalWidth="0" w:num="1">
            <w:col w:w="9879"/>
          </w:cols>
          <w:pgMar w:left="580" w:top="132"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1700"/>
        <w:spacing w:after="0" w:line="261" w:lineRule="auto"/>
        <w:rPr>
          <w:sz w:val="20"/>
          <w:szCs w:val="20"/>
          <w:color w:val="auto"/>
        </w:rPr>
      </w:pPr>
      <w:r>
        <w:rPr>
          <w:rFonts w:ascii="Arial" w:cs="Arial" w:eastAsia="Arial" w:hAnsi="Arial"/>
          <w:sz w:val="18"/>
          <w:szCs w:val="18"/>
          <w:color w:val="auto"/>
        </w:rPr>
        <w:t>that the highest level of performance conditions will be met, was $6,865,000 for each of Messrs. Chandler and Goebel.</w:t>
      </w:r>
    </w:p>
    <w:p>
      <w:pPr>
        <w:spacing w:after="0" w:line="49" w:lineRule="exact"/>
        <w:rPr>
          <w:sz w:val="20"/>
          <w:szCs w:val="20"/>
          <w:color w:val="auto"/>
        </w:rPr>
      </w:pPr>
    </w:p>
    <w:p>
      <w:pPr>
        <w:ind w:left="1620" w:right="760"/>
        <w:spacing w:after="0" w:line="254" w:lineRule="auto"/>
        <w:rPr>
          <w:sz w:val="20"/>
          <w:szCs w:val="20"/>
          <w:color w:val="auto"/>
        </w:rPr>
      </w:pPr>
      <w:r>
        <w:rPr>
          <w:rFonts w:ascii="Arial" w:cs="Arial" w:eastAsia="Arial" w:hAnsi="Arial"/>
          <w:sz w:val="18"/>
          <w:szCs w:val="18"/>
          <w:color w:val="auto"/>
        </w:rPr>
        <w:t>For phantom unit grants awarded in August 2020, 75% were deemed probable of vesting on the grant date. The maximum fair value of phantom unit grants awarded in August 2020, assuming that the highest level of performance conditions will be met, was $4,494,363 for Mr. Chiang and $1,797,793 for each of Messrs. Swanson, McGee, Chandler and Goebel.</w:t>
      </w:r>
    </w:p>
    <w:p>
      <w:pPr>
        <w:spacing w:after="0" w:line="55" w:lineRule="exact"/>
        <w:rPr>
          <w:sz w:val="20"/>
          <w:szCs w:val="20"/>
          <w:color w:val="auto"/>
        </w:rPr>
      </w:pPr>
    </w:p>
    <w:p>
      <w:pPr>
        <w:ind w:left="1620" w:right="760"/>
        <w:spacing w:after="0" w:line="254" w:lineRule="auto"/>
        <w:rPr>
          <w:sz w:val="20"/>
          <w:szCs w:val="20"/>
          <w:color w:val="auto"/>
        </w:rPr>
      </w:pPr>
      <w:r>
        <w:rPr>
          <w:rFonts w:ascii="Arial" w:cs="Arial" w:eastAsia="Arial" w:hAnsi="Arial"/>
          <w:sz w:val="18"/>
          <w:szCs w:val="18"/>
          <w:color w:val="auto"/>
        </w:rPr>
        <w:t>For phantom unit grants awarded in August 2021, 75% were deemed probable of vesting on the grant date. The maximum fair value of phantom unit grants awarded in August 2021, assuming that the highest level of performance conditions will be met, was $2,738,466 for Mr. Chiang and $1,095,022 for each of Messrs. Swanson, McGee, Chandler and Goebel.</w:t>
      </w:r>
    </w:p>
    <w:p>
      <w:pPr>
        <w:spacing w:after="0" w:line="69" w:lineRule="exact"/>
        <w:rPr>
          <w:sz w:val="20"/>
          <w:szCs w:val="20"/>
          <w:color w:val="auto"/>
        </w:rPr>
      </w:pPr>
    </w:p>
    <w:p>
      <w:pPr>
        <w:jc w:val="both"/>
        <w:ind w:left="1620" w:right="820"/>
        <w:spacing w:after="0" w:line="256" w:lineRule="auto"/>
        <w:rPr>
          <w:sz w:val="20"/>
          <w:szCs w:val="20"/>
          <w:color w:val="auto"/>
        </w:rPr>
      </w:pPr>
      <w:r>
        <w:rPr>
          <w:rFonts w:ascii="Arial" w:cs="Arial" w:eastAsia="Arial" w:hAnsi="Arial"/>
          <w:sz w:val="18"/>
          <w:szCs w:val="18"/>
          <w:color w:val="auto"/>
        </w:rPr>
        <w:t>As referenced previously, Mr. Pefanis is a co-founder and substantial equity owner and for the last several years, despite being eligible for equity awards, has requested to not participate in the long-term incentive program.</w:t>
      </w:r>
    </w:p>
    <w:p>
      <w:pPr>
        <w:spacing w:after="0" w:line="53" w:lineRule="exact"/>
        <w:rPr>
          <w:sz w:val="20"/>
          <w:szCs w:val="20"/>
          <w:color w:val="auto"/>
        </w:rPr>
      </w:pPr>
    </w:p>
    <w:p>
      <w:pPr>
        <w:ind w:left="1620" w:right="800" w:hanging="360"/>
        <w:spacing w:after="0" w:line="222" w:lineRule="auto"/>
        <w:tabs>
          <w:tab w:leader="none" w:pos="1620"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GP LLC matches 100% of employees’ contributions to its 401(k) plan in cash, subject to certain limitations in the plan. All Other Compensation for 2021 includes $17,400 in matching contributions for each of the Named Executive Officers. The remaining amount represents premium payments on behalf of such Named Executive Officer for group term life insurance.</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Table</w:t>
      </w:r>
    </w:p>
    <w:p>
      <w:pPr>
        <w:spacing w:after="0" w:line="180" w:lineRule="exact"/>
        <w:rPr>
          <w:sz w:val="20"/>
          <w:szCs w:val="20"/>
          <w:color w:val="auto"/>
        </w:rPr>
      </w:pPr>
    </w:p>
    <w:p>
      <w:pPr>
        <w:ind w:left="1260" w:right="760" w:firstLine="360"/>
        <w:spacing w:after="0" w:line="261"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our Named Executive Officers during the fiscal year ended December 31, 2021:</w:t>
      </w:r>
    </w:p>
    <w:p>
      <w:pPr>
        <w:spacing w:after="0" w:line="199" w:lineRule="exact"/>
        <w:rPr>
          <w:sz w:val="20"/>
          <w:szCs w:val="20"/>
          <w:color w:val="auto"/>
        </w:rPr>
      </w:pPr>
    </w:p>
    <w:tbl>
      <w:tblPr>
        <w:tblLayout w:type="fixed"/>
        <w:tblInd w:w="510" w:type="dxa"/>
        <w:tblCellMar>
          <w:top w:w="0" w:type="dxa"/>
          <w:left w:w="0" w:type="dxa"/>
          <w:bottom w:w="0" w:type="dxa"/>
          <w:right w:w="0" w:type="dxa"/>
        </w:tblCellMar>
      </w:tblPr>
      <w:tr>
        <w:trPr>
          <w:trHeight w:val="243"/>
        </w:trPr>
        <w:tc>
          <w:tcPr>
            <w:tcW w:w="1160" w:type="dxa"/>
            <w:vAlign w:val="bottom"/>
            <w:tcBorders>
              <w:left w:val="single" w:sz="8" w:color="434F69"/>
              <w:right w:val="single" w:sz="8" w:color="434F69"/>
            </w:tcBorders>
            <w:shd w:val="clear" w:color="auto" w:fill="434F69"/>
          </w:tcPr>
          <w:p>
            <w:pPr>
              <w:spacing w:after="0"/>
              <w:rPr>
                <w:sz w:val="21"/>
                <w:szCs w:val="21"/>
                <w:color w:val="auto"/>
              </w:rPr>
            </w:pPr>
          </w:p>
        </w:tc>
        <w:tc>
          <w:tcPr>
            <w:tcW w:w="900" w:type="dxa"/>
            <w:vAlign w:val="bottom"/>
            <w:tcBorders>
              <w:right w:val="single" w:sz="8" w:color="434F69"/>
            </w:tcBorders>
            <w:shd w:val="clear" w:color="auto" w:fill="434F69"/>
          </w:tcPr>
          <w:p>
            <w:pPr>
              <w:spacing w:after="0"/>
              <w:rPr>
                <w:sz w:val="21"/>
                <w:szCs w:val="21"/>
                <w:color w:val="auto"/>
              </w:rPr>
            </w:pPr>
          </w:p>
        </w:tc>
        <w:tc>
          <w:tcPr>
            <w:tcW w:w="920" w:type="dxa"/>
            <w:vAlign w:val="bottom"/>
            <w:tcBorders>
              <w:right w:val="single" w:sz="8" w:color="434F69"/>
            </w:tcBorders>
            <w:shd w:val="clear" w:color="auto" w:fill="434F69"/>
          </w:tcPr>
          <w:p>
            <w:pPr>
              <w:spacing w:after="0"/>
              <w:rPr>
                <w:sz w:val="21"/>
                <w:szCs w:val="21"/>
                <w:color w:val="auto"/>
              </w:rPr>
            </w:pPr>
          </w:p>
        </w:tc>
        <w:tc>
          <w:tcPr>
            <w:tcW w:w="860" w:type="dxa"/>
            <w:vAlign w:val="bottom"/>
            <w:tcBorders>
              <w:right w:val="single" w:sz="8" w:color="434F69"/>
            </w:tcBorders>
            <w:shd w:val="clear" w:color="auto" w:fill="434F69"/>
          </w:tcPr>
          <w:p>
            <w:pPr>
              <w:spacing w:after="0"/>
              <w:rPr>
                <w:sz w:val="21"/>
                <w:szCs w:val="21"/>
                <w:color w:val="auto"/>
              </w:rPr>
            </w:pPr>
          </w:p>
        </w:tc>
        <w:tc>
          <w:tcPr>
            <w:tcW w:w="900" w:type="dxa"/>
            <w:vAlign w:val="bottom"/>
            <w:tcBorders>
              <w:right w:val="single" w:sz="8" w:color="434F69"/>
            </w:tcBorders>
            <w:shd w:val="clear" w:color="auto" w:fill="434F69"/>
          </w:tcPr>
          <w:p>
            <w:pPr>
              <w:spacing w:after="0"/>
              <w:rPr>
                <w:sz w:val="21"/>
                <w:szCs w:val="21"/>
                <w:color w:val="auto"/>
              </w:rPr>
            </w:pPr>
          </w:p>
        </w:tc>
        <w:tc>
          <w:tcPr>
            <w:tcW w:w="920" w:type="dxa"/>
            <w:vAlign w:val="bottom"/>
            <w:tcBorders>
              <w:right w:val="single" w:sz="8" w:color="434F69"/>
            </w:tcBorders>
            <w:shd w:val="clear" w:color="auto" w:fill="434F69"/>
          </w:tcPr>
          <w:p>
            <w:pPr>
              <w:spacing w:after="0"/>
              <w:rPr>
                <w:sz w:val="21"/>
                <w:szCs w:val="21"/>
                <w:color w:val="auto"/>
              </w:rPr>
            </w:pPr>
          </w:p>
        </w:tc>
        <w:tc>
          <w:tcPr>
            <w:tcW w:w="740" w:type="dxa"/>
            <w:vAlign w:val="bottom"/>
            <w:tcBorders>
              <w:right w:val="single" w:sz="8" w:color="434F69"/>
            </w:tcBorders>
            <w:shd w:val="clear" w:color="auto" w:fill="434F69"/>
          </w:tcPr>
          <w:p>
            <w:pPr>
              <w:spacing w:after="0"/>
              <w:rPr>
                <w:sz w:val="21"/>
                <w:szCs w:val="21"/>
                <w:color w:val="auto"/>
              </w:rPr>
            </w:pPr>
          </w:p>
        </w:tc>
        <w:tc>
          <w:tcPr>
            <w:tcW w:w="900" w:type="dxa"/>
            <w:vAlign w:val="bottom"/>
            <w:tcBorders>
              <w:right w:val="single" w:sz="8" w:color="434F69"/>
            </w:tcBorders>
            <w:shd w:val="clear" w:color="auto" w:fill="434F69"/>
          </w:tcPr>
          <w:p>
            <w:pPr>
              <w:spacing w:after="0"/>
              <w:rPr>
                <w:sz w:val="21"/>
                <w:szCs w:val="21"/>
                <w:color w:val="auto"/>
              </w:rPr>
            </w:pP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All Other</w:t>
            </w:r>
          </w:p>
        </w:tc>
        <w:tc>
          <w:tcPr>
            <w:tcW w:w="1220" w:type="dxa"/>
            <w:vAlign w:val="bottom"/>
            <w:tcBorders>
              <w:right w:val="single" w:sz="8" w:color="434F69"/>
            </w:tcBorders>
            <w:shd w:val="clear" w:color="auto" w:fill="434F69"/>
          </w:tcPr>
          <w:p>
            <w:pPr>
              <w:spacing w:after="0"/>
              <w:rPr>
                <w:sz w:val="21"/>
                <w:szCs w:val="21"/>
                <w:color w:val="auto"/>
              </w:rPr>
            </w:pPr>
          </w:p>
        </w:tc>
      </w:tr>
      <w:tr>
        <w:trPr>
          <w:trHeight w:val="189"/>
        </w:trPr>
        <w:tc>
          <w:tcPr>
            <w:tcW w:w="1160" w:type="dxa"/>
            <w:vAlign w:val="bottom"/>
            <w:tcBorders>
              <w:left w:val="single" w:sz="8" w:color="434F69"/>
              <w:right w:val="single" w:sz="8" w:color="434F69"/>
            </w:tcBorders>
            <w:shd w:val="clear" w:color="auto" w:fill="434F69"/>
          </w:tcPr>
          <w:p>
            <w:pPr>
              <w:spacing w:after="0"/>
              <w:rPr>
                <w:sz w:val="16"/>
                <w:szCs w:val="16"/>
                <w:color w:val="auto"/>
              </w:rPr>
            </w:pPr>
          </w:p>
        </w:tc>
        <w:tc>
          <w:tcPr>
            <w:tcW w:w="900" w:type="dxa"/>
            <w:vAlign w:val="bottom"/>
            <w:tcBorders>
              <w:right w:val="single" w:sz="8" w:color="434F69"/>
            </w:tcBorders>
            <w:shd w:val="clear" w:color="auto" w:fill="434F69"/>
          </w:tcPr>
          <w:p>
            <w:pPr>
              <w:spacing w:after="0"/>
              <w:rPr>
                <w:sz w:val="16"/>
                <w:szCs w:val="16"/>
                <w:color w:val="auto"/>
              </w:rPr>
            </w:pPr>
          </w:p>
        </w:tc>
        <w:tc>
          <w:tcPr>
            <w:tcW w:w="2680" w:type="dxa"/>
            <w:vAlign w:val="bottom"/>
            <w:tcBorders>
              <w:right w:val="single" w:sz="8" w:color="434F69"/>
            </w:tcBorders>
            <w:gridSpan w:val="3"/>
            <w:shd w:val="clear" w:color="auto" w:fill="434F69"/>
          </w:tcPr>
          <w:p>
            <w:pPr>
              <w:jc w:val="center"/>
              <w:spacing w:after="0"/>
              <w:rPr>
                <w:sz w:val="20"/>
                <w:szCs w:val="20"/>
                <w:color w:val="auto"/>
              </w:rPr>
            </w:pPr>
            <w:r>
              <w:rPr>
                <w:rFonts w:ascii="Arial" w:cs="Arial" w:eastAsia="Arial" w:hAnsi="Arial"/>
                <w:sz w:val="14"/>
                <w:szCs w:val="14"/>
                <w:b w:val="1"/>
                <w:bCs w:val="1"/>
                <w:color w:val="FFFFFF"/>
              </w:rPr>
              <w:t>Estimated Future Payouts Under</w:t>
            </w:r>
          </w:p>
        </w:tc>
        <w:tc>
          <w:tcPr>
            <w:tcW w:w="2560" w:type="dxa"/>
            <w:vAlign w:val="bottom"/>
            <w:tcBorders>
              <w:right w:val="single" w:sz="8" w:color="434F69"/>
            </w:tcBorders>
            <w:gridSpan w:val="3"/>
            <w:shd w:val="clear" w:color="auto" w:fill="434F69"/>
          </w:tcPr>
          <w:p>
            <w:pPr>
              <w:jc w:val="center"/>
              <w:spacing w:after="0"/>
              <w:rPr>
                <w:sz w:val="20"/>
                <w:szCs w:val="20"/>
                <w:color w:val="auto"/>
              </w:rPr>
            </w:pPr>
            <w:r>
              <w:rPr>
                <w:rFonts w:ascii="Arial" w:cs="Arial" w:eastAsia="Arial" w:hAnsi="Arial"/>
                <w:sz w:val="14"/>
                <w:szCs w:val="14"/>
                <w:b w:val="1"/>
                <w:bCs w:val="1"/>
                <w:color w:val="FFFFFF"/>
              </w:rPr>
              <w:t>Estimated Future Payouts Under</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Stock Awards:</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Grant Date</w:t>
            </w:r>
          </w:p>
        </w:tc>
      </w:tr>
      <w:tr>
        <w:trPr>
          <w:trHeight w:val="162"/>
        </w:trPr>
        <w:tc>
          <w:tcPr>
            <w:tcW w:w="1160" w:type="dxa"/>
            <w:vAlign w:val="bottom"/>
            <w:tcBorders>
              <w:left w:val="single" w:sz="8" w:color="434F69"/>
              <w:right w:val="single" w:sz="8" w:color="434F69"/>
            </w:tcBorders>
            <w:shd w:val="clear" w:color="auto" w:fill="434F69"/>
          </w:tcPr>
          <w:p>
            <w:pPr>
              <w:spacing w:after="0"/>
              <w:rPr>
                <w:sz w:val="14"/>
                <w:szCs w:val="14"/>
                <w:color w:val="auto"/>
              </w:rPr>
            </w:pPr>
          </w:p>
        </w:tc>
        <w:tc>
          <w:tcPr>
            <w:tcW w:w="900" w:type="dxa"/>
            <w:vAlign w:val="bottom"/>
            <w:tcBorders>
              <w:right w:val="single" w:sz="8" w:color="434F69"/>
            </w:tcBorders>
            <w:shd w:val="clear" w:color="auto" w:fill="434F69"/>
          </w:tcPr>
          <w:p>
            <w:pPr>
              <w:spacing w:after="0"/>
              <w:rPr>
                <w:sz w:val="14"/>
                <w:szCs w:val="14"/>
                <w:color w:val="auto"/>
              </w:rPr>
            </w:pPr>
          </w:p>
        </w:tc>
        <w:tc>
          <w:tcPr>
            <w:tcW w:w="2680" w:type="dxa"/>
            <w:vAlign w:val="bottom"/>
            <w:tcBorders>
              <w:right w:val="single" w:sz="8" w:color="434F69"/>
            </w:tcBorders>
            <w:gridSpan w:val="3"/>
            <w:shd w:val="clear" w:color="auto" w:fill="434F69"/>
          </w:tcPr>
          <w:p>
            <w:pPr>
              <w:jc w:val="center"/>
              <w:spacing w:after="0"/>
              <w:rPr>
                <w:sz w:val="20"/>
                <w:szCs w:val="20"/>
                <w:color w:val="auto"/>
              </w:rPr>
            </w:pPr>
            <w:r>
              <w:rPr>
                <w:rFonts w:ascii="Arial" w:cs="Arial" w:eastAsia="Arial" w:hAnsi="Arial"/>
                <w:sz w:val="14"/>
                <w:szCs w:val="14"/>
                <w:b w:val="1"/>
                <w:bCs w:val="1"/>
                <w:color w:val="FFFFFF"/>
              </w:rPr>
              <w:t>Non-Equity Incentive Plan Awards</w:t>
            </w:r>
          </w:p>
        </w:tc>
        <w:tc>
          <w:tcPr>
            <w:tcW w:w="2560" w:type="dxa"/>
            <w:vAlign w:val="bottom"/>
            <w:tcBorders>
              <w:right w:val="single" w:sz="8" w:color="434F69"/>
            </w:tcBorders>
            <w:gridSpan w:val="3"/>
            <w:shd w:val="clear" w:color="auto" w:fill="434F69"/>
          </w:tcPr>
          <w:p>
            <w:pPr>
              <w:jc w:val="center"/>
              <w:spacing w:after="0" w:line="162" w:lineRule="exact"/>
              <w:rPr>
                <w:sz w:val="20"/>
                <w:szCs w:val="20"/>
                <w:color w:val="auto"/>
              </w:rPr>
            </w:pPr>
            <w:r>
              <w:rPr>
                <w:rFonts w:ascii="Arial" w:cs="Arial" w:eastAsia="Arial" w:hAnsi="Arial"/>
                <w:sz w:val="14"/>
                <w:szCs w:val="14"/>
                <w:b w:val="1"/>
                <w:bCs w:val="1"/>
                <w:color w:val="FFFFFF"/>
              </w:rPr>
              <w:t>Equity Incentive Plan Awards</w:t>
            </w:r>
            <w:r>
              <w:rPr>
                <w:rFonts w:ascii="Arial" w:cs="Arial" w:eastAsia="Arial" w:hAnsi="Arial"/>
                <w:sz w:val="17"/>
                <w:szCs w:val="17"/>
                <w:b w:val="1"/>
                <w:bCs w:val="1"/>
                <w:color w:val="FFFFFF"/>
                <w:vertAlign w:val="superscript"/>
              </w:rPr>
              <w:t>(1)</w:t>
            </w:r>
          </w:p>
        </w:tc>
        <w:tc>
          <w:tcPr>
            <w:tcW w:w="1220" w:type="dxa"/>
            <w:vAlign w:val="bottom"/>
            <w:tcBorders>
              <w:right w:val="single" w:sz="8" w:color="434F69"/>
            </w:tcBorders>
            <w:shd w:val="clear" w:color="auto" w:fill="434F69"/>
          </w:tcPr>
          <w:p>
            <w:pPr>
              <w:jc w:val="center"/>
              <w:ind w:right="8"/>
              <w:spacing w:after="0"/>
              <w:rPr>
                <w:sz w:val="20"/>
                <w:szCs w:val="20"/>
                <w:color w:val="auto"/>
              </w:rPr>
            </w:pPr>
            <w:r>
              <w:rPr>
                <w:rFonts w:ascii="Arial" w:cs="Arial" w:eastAsia="Arial" w:hAnsi="Arial"/>
                <w:sz w:val="14"/>
                <w:szCs w:val="14"/>
                <w:b w:val="1"/>
                <w:bCs w:val="1"/>
                <w:color w:val="FFFFFF"/>
              </w:rPr>
              <w:t>Number Of</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Fair Value</w:t>
            </w:r>
          </w:p>
        </w:tc>
      </w:tr>
      <w:tr>
        <w:trPr>
          <w:trHeight w:val="135"/>
        </w:trPr>
        <w:tc>
          <w:tcPr>
            <w:tcW w:w="1160" w:type="dxa"/>
            <w:vAlign w:val="bottom"/>
            <w:tcBorders>
              <w:left w:val="single" w:sz="8" w:color="434F69"/>
              <w:right w:val="single" w:sz="8" w:color="434F69"/>
            </w:tcBorders>
            <w:shd w:val="clear" w:color="auto" w:fill="434F69"/>
          </w:tcPr>
          <w:p>
            <w:pPr>
              <w:spacing w:after="0"/>
              <w:rPr>
                <w:sz w:val="11"/>
                <w:szCs w:val="11"/>
                <w:color w:val="auto"/>
              </w:rPr>
            </w:pPr>
          </w:p>
        </w:tc>
        <w:tc>
          <w:tcPr>
            <w:tcW w:w="900" w:type="dxa"/>
            <w:vAlign w:val="bottom"/>
            <w:tcBorders>
              <w:right w:val="single" w:sz="8" w:color="434F69"/>
            </w:tcBorders>
            <w:shd w:val="clear" w:color="auto" w:fill="434F69"/>
          </w:tcPr>
          <w:p>
            <w:pPr>
              <w:spacing w:after="0"/>
              <w:rPr>
                <w:sz w:val="11"/>
                <w:szCs w:val="11"/>
                <w:color w:val="auto"/>
              </w:rPr>
            </w:pPr>
          </w:p>
        </w:tc>
        <w:tc>
          <w:tcPr>
            <w:tcW w:w="920" w:type="dxa"/>
            <w:vAlign w:val="bottom"/>
            <w:tcBorders>
              <w:right w:val="single" w:sz="8" w:color="434F69"/>
            </w:tcBorders>
            <w:shd w:val="clear" w:color="auto" w:fill="434F69"/>
          </w:tcPr>
          <w:p>
            <w:pPr>
              <w:spacing w:after="0"/>
              <w:rPr>
                <w:sz w:val="11"/>
                <w:szCs w:val="11"/>
                <w:color w:val="auto"/>
              </w:rPr>
            </w:pPr>
          </w:p>
        </w:tc>
        <w:tc>
          <w:tcPr>
            <w:tcW w:w="860" w:type="dxa"/>
            <w:vAlign w:val="bottom"/>
            <w:tcBorders>
              <w:right w:val="single" w:sz="8" w:color="434F69"/>
            </w:tcBorders>
            <w:shd w:val="clear" w:color="auto" w:fill="434F69"/>
          </w:tcPr>
          <w:p>
            <w:pPr>
              <w:spacing w:after="0"/>
              <w:rPr>
                <w:sz w:val="11"/>
                <w:szCs w:val="11"/>
                <w:color w:val="auto"/>
              </w:rPr>
            </w:pPr>
          </w:p>
        </w:tc>
        <w:tc>
          <w:tcPr>
            <w:tcW w:w="900" w:type="dxa"/>
            <w:vAlign w:val="bottom"/>
            <w:tcBorders>
              <w:right w:val="single" w:sz="8" w:color="434F69"/>
            </w:tcBorders>
            <w:shd w:val="clear" w:color="auto" w:fill="434F69"/>
          </w:tcPr>
          <w:p>
            <w:pPr>
              <w:spacing w:after="0"/>
              <w:rPr>
                <w:sz w:val="11"/>
                <w:szCs w:val="11"/>
                <w:color w:val="auto"/>
              </w:rPr>
            </w:pPr>
          </w:p>
        </w:tc>
        <w:tc>
          <w:tcPr>
            <w:tcW w:w="920" w:type="dxa"/>
            <w:vAlign w:val="bottom"/>
            <w:tcBorders>
              <w:right w:val="single" w:sz="8" w:color="434F69"/>
            </w:tcBorders>
            <w:shd w:val="clear" w:color="auto" w:fill="434F69"/>
          </w:tcPr>
          <w:p>
            <w:pPr>
              <w:spacing w:after="0"/>
              <w:rPr>
                <w:sz w:val="11"/>
                <w:szCs w:val="11"/>
                <w:color w:val="auto"/>
              </w:rPr>
            </w:pPr>
          </w:p>
        </w:tc>
        <w:tc>
          <w:tcPr>
            <w:tcW w:w="740" w:type="dxa"/>
            <w:vAlign w:val="bottom"/>
            <w:tcBorders>
              <w:right w:val="single" w:sz="8" w:color="434F69"/>
            </w:tcBorders>
            <w:shd w:val="clear" w:color="auto" w:fill="434F69"/>
          </w:tcPr>
          <w:p>
            <w:pPr>
              <w:spacing w:after="0"/>
              <w:rPr>
                <w:sz w:val="11"/>
                <w:szCs w:val="11"/>
                <w:color w:val="auto"/>
              </w:rPr>
            </w:pPr>
          </w:p>
        </w:tc>
        <w:tc>
          <w:tcPr>
            <w:tcW w:w="900" w:type="dxa"/>
            <w:vAlign w:val="bottom"/>
            <w:tcBorders>
              <w:right w:val="single" w:sz="8" w:color="434F69"/>
            </w:tcBorders>
            <w:shd w:val="clear" w:color="auto" w:fill="434F69"/>
          </w:tcPr>
          <w:p>
            <w:pPr>
              <w:spacing w:after="0"/>
              <w:rPr>
                <w:sz w:val="11"/>
                <w:szCs w:val="11"/>
                <w:color w:val="auto"/>
              </w:rPr>
            </w:pPr>
          </w:p>
        </w:tc>
        <w:tc>
          <w:tcPr>
            <w:tcW w:w="1220" w:type="dxa"/>
            <w:vAlign w:val="bottom"/>
            <w:tcBorders>
              <w:right w:val="single" w:sz="8" w:color="434F69"/>
            </w:tcBorders>
            <w:shd w:val="clear" w:color="auto" w:fill="434F69"/>
          </w:tcPr>
          <w:p>
            <w:pPr>
              <w:jc w:val="center"/>
              <w:spacing w:after="0" w:line="135" w:lineRule="exact"/>
              <w:rPr>
                <w:sz w:val="20"/>
                <w:szCs w:val="20"/>
                <w:color w:val="auto"/>
              </w:rPr>
            </w:pPr>
            <w:r>
              <w:rPr>
                <w:rFonts w:ascii="Arial" w:cs="Arial" w:eastAsia="Arial" w:hAnsi="Arial"/>
                <w:sz w:val="14"/>
                <w:szCs w:val="14"/>
                <w:b w:val="1"/>
                <w:bCs w:val="1"/>
                <w:color w:val="FFFFFF"/>
              </w:rPr>
              <w:t>Shares Of</w:t>
            </w:r>
          </w:p>
        </w:tc>
        <w:tc>
          <w:tcPr>
            <w:tcW w:w="1220" w:type="dxa"/>
            <w:vAlign w:val="bottom"/>
            <w:tcBorders>
              <w:right w:val="single" w:sz="8" w:color="434F69"/>
            </w:tcBorders>
            <w:shd w:val="clear" w:color="auto" w:fill="434F69"/>
          </w:tcPr>
          <w:p>
            <w:pPr>
              <w:jc w:val="center"/>
              <w:spacing w:after="0" w:line="135" w:lineRule="exact"/>
              <w:rPr>
                <w:sz w:val="20"/>
                <w:szCs w:val="20"/>
                <w:color w:val="auto"/>
              </w:rPr>
            </w:pPr>
            <w:r>
              <w:rPr>
                <w:rFonts w:ascii="Arial" w:cs="Arial" w:eastAsia="Arial" w:hAnsi="Arial"/>
                <w:sz w:val="14"/>
                <w:szCs w:val="14"/>
                <w:b w:val="1"/>
                <w:bCs w:val="1"/>
                <w:color w:val="FFFFFF"/>
              </w:rPr>
              <w:t>Of Stock and</w:t>
            </w:r>
          </w:p>
        </w:tc>
      </w:tr>
      <w:tr>
        <w:trPr>
          <w:trHeight w:val="151"/>
        </w:trPr>
        <w:tc>
          <w:tcPr>
            <w:tcW w:w="1160" w:type="dxa"/>
            <w:vAlign w:val="bottom"/>
            <w:tcBorders>
              <w:left w:val="single" w:sz="8" w:color="434F69"/>
              <w:right w:val="single" w:sz="8" w:color="434F69"/>
            </w:tcBorders>
            <w:shd w:val="clear" w:color="auto" w:fill="434F69"/>
          </w:tcPr>
          <w:p>
            <w:pPr>
              <w:spacing w:after="0"/>
              <w:rPr>
                <w:sz w:val="13"/>
                <w:szCs w:val="13"/>
                <w:color w:val="auto"/>
              </w:rPr>
            </w:pPr>
          </w:p>
        </w:tc>
        <w:tc>
          <w:tcPr>
            <w:tcW w:w="900" w:type="dxa"/>
            <w:vAlign w:val="bottom"/>
            <w:tcBorders>
              <w:right w:val="single" w:sz="8" w:color="434F69"/>
            </w:tcBorders>
            <w:shd w:val="clear" w:color="auto" w:fill="434F69"/>
          </w:tcPr>
          <w:p>
            <w:pPr>
              <w:spacing w:after="0"/>
              <w:rPr>
                <w:sz w:val="13"/>
                <w:szCs w:val="13"/>
                <w:color w:val="auto"/>
              </w:rPr>
            </w:pPr>
          </w:p>
        </w:tc>
        <w:tc>
          <w:tcPr>
            <w:tcW w:w="920" w:type="dxa"/>
            <w:vAlign w:val="bottom"/>
            <w:tcBorders>
              <w:right w:val="single" w:sz="8" w:color="434F69"/>
            </w:tcBorders>
            <w:shd w:val="clear" w:color="auto" w:fill="434F69"/>
          </w:tcPr>
          <w:p>
            <w:pPr>
              <w:ind w:left="80"/>
              <w:spacing w:after="0" w:line="151" w:lineRule="exact"/>
              <w:rPr>
                <w:sz w:val="20"/>
                <w:szCs w:val="20"/>
                <w:color w:val="auto"/>
              </w:rPr>
            </w:pPr>
            <w:r>
              <w:rPr>
                <w:rFonts w:ascii="Arial" w:cs="Arial" w:eastAsia="Arial" w:hAnsi="Arial"/>
                <w:sz w:val="14"/>
                <w:szCs w:val="14"/>
                <w:b w:val="1"/>
                <w:bCs w:val="1"/>
                <w:color w:val="FFFFFF"/>
              </w:rPr>
              <w:t>Threshold</w:t>
            </w:r>
          </w:p>
        </w:tc>
        <w:tc>
          <w:tcPr>
            <w:tcW w:w="86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w w:val="98"/>
              </w:rPr>
              <w:t>Target</w:t>
            </w:r>
          </w:p>
        </w:tc>
        <w:tc>
          <w:tcPr>
            <w:tcW w:w="900" w:type="dxa"/>
            <w:vAlign w:val="bottom"/>
            <w:tcBorders>
              <w:right w:val="single" w:sz="8" w:color="434F69"/>
            </w:tcBorders>
            <w:shd w:val="clear" w:color="auto" w:fill="434F69"/>
          </w:tcPr>
          <w:p>
            <w:pPr>
              <w:jc w:val="right"/>
              <w:ind w:right="68"/>
              <w:spacing w:after="0" w:line="151" w:lineRule="exact"/>
              <w:rPr>
                <w:sz w:val="20"/>
                <w:szCs w:val="20"/>
                <w:color w:val="auto"/>
              </w:rPr>
            </w:pPr>
            <w:r>
              <w:rPr>
                <w:rFonts w:ascii="Arial" w:cs="Arial" w:eastAsia="Arial" w:hAnsi="Arial"/>
                <w:sz w:val="14"/>
                <w:szCs w:val="14"/>
                <w:b w:val="1"/>
                <w:bCs w:val="1"/>
                <w:color w:val="FFFFFF"/>
              </w:rPr>
              <w:t>Maximum</w:t>
            </w:r>
          </w:p>
        </w:tc>
        <w:tc>
          <w:tcPr>
            <w:tcW w:w="920" w:type="dxa"/>
            <w:vAlign w:val="bottom"/>
            <w:tcBorders>
              <w:right w:val="single" w:sz="8" w:color="434F69"/>
            </w:tcBorders>
            <w:shd w:val="clear" w:color="auto" w:fill="434F69"/>
          </w:tcPr>
          <w:p>
            <w:pPr>
              <w:ind w:left="80"/>
              <w:spacing w:after="0" w:line="151" w:lineRule="exact"/>
              <w:rPr>
                <w:sz w:val="20"/>
                <w:szCs w:val="20"/>
                <w:color w:val="auto"/>
              </w:rPr>
            </w:pPr>
            <w:r>
              <w:rPr>
                <w:rFonts w:ascii="Arial" w:cs="Arial" w:eastAsia="Arial" w:hAnsi="Arial"/>
                <w:sz w:val="14"/>
                <w:szCs w:val="14"/>
                <w:b w:val="1"/>
                <w:bCs w:val="1"/>
                <w:color w:val="FFFFFF"/>
              </w:rPr>
              <w:t>Threshold</w:t>
            </w:r>
          </w:p>
        </w:tc>
        <w:tc>
          <w:tcPr>
            <w:tcW w:w="74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w w:val="98"/>
              </w:rPr>
              <w:t>Target</w:t>
            </w:r>
          </w:p>
        </w:tc>
        <w:tc>
          <w:tcPr>
            <w:tcW w:w="900" w:type="dxa"/>
            <w:vAlign w:val="bottom"/>
            <w:tcBorders>
              <w:right w:val="single" w:sz="8" w:color="434F69"/>
            </w:tcBorders>
            <w:shd w:val="clear" w:color="auto" w:fill="434F69"/>
          </w:tcPr>
          <w:p>
            <w:pPr>
              <w:jc w:val="right"/>
              <w:ind w:right="68"/>
              <w:spacing w:after="0" w:line="151" w:lineRule="exact"/>
              <w:rPr>
                <w:sz w:val="20"/>
                <w:szCs w:val="20"/>
                <w:color w:val="auto"/>
              </w:rPr>
            </w:pPr>
            <w:r>
              <w:rPr>
                <w:rFonts w:ascii="Arial" w:cs="Arial" w:eastAsia="Arial" w:hAnsi="Arial"/>
                <w:sz w:val="14"/>
                <w:szCs w:val="14"/>
                <w:b w:val="1"/>
                <w:bCs w:val="1"/>
                <w:color w:val="FFFFFF"/>
              </w:rPr>
              <w:t>Maximum</w:t>
            </w:r>
          </w:p>
        </w:tc>
        <w:tc>
          <w:tcPr>
            <w:tcW w:w="122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Stock or Units</w:t>
            </w:r>
          </w:p>
        </w:tc>
        <w:tc>
          <w:tcPr>
            <w:tcW w:w="122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Option Awards</w:t>
            </w:r>
          </w:p>
        </w:tc>
      </w:tr>
      <w:tr>
        <w:trPr>
          <w:trHeight w:val="226"/>
        </w:trPr>
        <w:tc>
          <w:tcPr>
            <w:tcW w:w="1160" w:type="dxa"/>
            <w:vAlign w:val="bottom"/>
            <w:tcBorders>
              <w:left w:val="single" w:sz="8" w:color="434F69"/>
              <w:right w:val="single" w:sz="8" w:color="434F69"/>
            </w:tcBorders>
            <w:shd w:val="clear" w:color="auto" w:fill="434F69"/>
          </w:tcPr>
          <w:p>
            <w:pPr>
              <w:ind w:left="40"/>
              <w:spacing w:after="0"/>
              <w:rPr>
                <w:sz w:val="20"/>
                <w:szCs w:val="20"/>
                <w:color w:val="auto"/>
              </w:rPr>
            </w:pPr>
            <w:r>
              <w:rPr>
                <w:rFonts w:ascii="Arial" w:cs="Arial" w:eastAsia="Arial" w:hAnsi="Arial"/>
                <w:sz w:val="14"/>
                <w:szCs w:val="14"/>
                <w:b w:val="1"/>
                <w:bCs w:val="1"/>
                <w:color w:val="FFFFFF"/>
              </w:rPr>
              <w:t>Name</w:t>
            </w:r>
          </w:p>
        </w:tc>
        <w:tc>
          <w:tcPr>
            <w:tcW w:w="9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Grant Date</w:t>
            </w:r>
          </w:p>
        </w:tc>
        <w:tc>
          <w:tcPr>
            <w:tcW w:w="920" w:type="dxa"/>
            <w:vAlign w:val="bottom"/>
            <w:tcBorders>
              <w:right w:val="single" w:sz="8" w:color="434F69"/>
            </w:tcBorders>
            <w:shd w:val="clear" w:color="auto" w:fill="434F69"/>
          </w:tcPr>
          <w:p>
            <w:pPr>
              <w:ind w:left="360"/>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right w:val="single" w:sz="8" w:color="434F69"/>
            </w:tcBorders>
            <w:shd w:val="clear" w:color="auto" w:fill="434F69"/>
          </w:tcPr>
          <w:p>
            <w:pPr>
              <w:jc w:val="right"/>
              <w:ind w:right="268"/>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right w:val="single" w:sz="8" w:color="434F69"/>
            </w:tcBorders>
            <w:shd w:val="clear" w:color="auto" w:fill="434F69"/>
          </w:tcPr>
          <w:p>
            <w:pPr>
              <w:jc w:val="right"/>
              <w:ind w:right="288"/>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right w:val="single" w:sz="8" w:color="434F69"/>
            </w:tcBorders>
            <w:shd w:val="clear" w:color="auto" w:fill="434F69"/>
          </w:tcPr>
          <w:p>
            <w:pPr>
              <w:ind w:left="36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right w:val="single" w:sz="8" w:color="434F69"/>
            </w:tcBorders>
            <w:shd w:val="clear" w:color="auto" w:fill="434F69"/>
          </w:tcPr>
          <w:p>
            <w:pPr>
              <w:jc w:val="right"/>
              <w:ind w:right="208"/>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right w:val="single" w:sz="8" w:color="434F69"/>
            </w:tcBorders>
            <w:shd w:val="clear" w:color="auto" w:fill="434F69"/>
          </w:tcPr>
          <w:p>
            <w:pPr>
              <w:jc w:val="right"/>
              <w:ind w:right="288"/>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(2)</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(3)</w:t>
            </w:r>
          </w:p>
        </w:tc>
      </w:tr>
      <w:tr>
        <w:trPr>
          <w:trHeight w:val="210"/>
        </w:trPr>
        <w:tc>
          <w:tcPr>
            <w:tcW w:w="1160" w:type="dxa"/>
            <w:vAlign w:val="bottom"/>
            <w:tcBorders>
              <w:left w:val="single" w:sz="8" w:color="434F69"/>
              <w:bottom w:val="single" w:sz="8" w:color="434F69"/>
              <w:right w:val="single" w:sz="8" w:color="434F69"/>
            </w:tcBorders>
          </w:tcPr>
          <w:p>
            <w:pPr>
              <w:ind w:left="40"/>
              <w:spacing w:after="0"/>
              <w:rPr>
                <w:sz w:val="20"/>
                <w:szCs w:val="20"/>
                <w:color w:val="auto"/>
              </w:rPr>
            </w:pPr>
            <w:r>
              <w:rPr>
                <w:rFonts w:ascii="Arial" w:cs="Arial" w:eastAsia="Arial" w:hAnsi="Arial"/>
                <w:sz w:val="14"/>
                <w:szCs w:val="14"/>
                <w:color w:val="auto"/>
              </w:rPr>
              <w:t>Willie Chiang</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2/25/21</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1,500,000</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3,000,000</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08"/>
              <w:spacing w:after="0"/>
              <w:rPr>
                <w:sz w:val="20"/>
                <w:szCs w:val="20"/>
                <w:color w:val="auto"/>
              </w:rPr>
            </w:pPr>
            <w:r>
              <w:rPr>
                <w:rFonts w:ascii="Arial" w:cs="Arial" w:eastAsia="Arial" w:hAnsi="Arial"/>
                <w:sz w:val="14"/>
                <w:szCs w:val="14"/>
                <w:color w:val="auto"/>
              </w:rPr>
              <w:t>—</w:t>
            </w:r>
          </w:p>
        </w:tc>
      </w:tr>
      <w:tr>
        <w:trPr>
          <w:trHeight w:val="209"/>
        </w:trPr>
        <w:tc>
          <w:tcPr>
            <w:tcW w:w="1160" w:type="dxa"/>
            <w:vAlign w:val="bottom"/>
            <w:tcBorders>
              <w:left w:val="single" w:sz="8" w:color="434F69"/>
              <w:bottom w:val="single" w:sz="8" w:color="434F69"/>
              <w:right w:val="single" w:sz="8" w:color="434F69"/>
            </w:tcBorders>
          </w:tcPr>
          <w:p>
            <w:pPr>
              <w:spacing w:after="0"/>
              <w:rPr>
                <w:sz w:val="18"/>
                <w:szCs w:val="18"/>
                <w:color w:val="auto"/>
              </w:rPr>
            </w:pP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8/19/21</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150,300</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300,600</w:t>
            </w:r>
          </w:p>
        </w:tc>
        <w:tc>
          <w:tcPr>
            <w:tcW w:w="1220" w:type="dxa"/>
            <w:vAlign w:val="bottom"/>
            <w:tcBorders>
              <w:bottom w:val="single" w:sz="8" w:color="434F69"/>
              <w:right w:val="single" w:sz="8" w:color="434F69"/>
            </w:tcBorders>
          </w:tcPr>
          <w:p>
            <w:pPr>
              <w:jc w:val="right"/>
              <w:ind w:right="288"/>
              <w:spacing w:after="0"/>
              <w:rPr>
                <w:sz w:val="20"/>
                <w:szCs w:val="20"/>
                <w:color w:val="auto"/>
              </w:rPr>
            </w:pPr>
            <w:r>
              <w:rPr>
                <w:rFonts w:ascii="Arial" w:cs="Arial" w:eastAsia="Arial" w:hAnsi="Arial"/>
                <w:sz w:val="14"/>
                <w:szCs w:val="14"/>
                <w:color w:val="auto"/>
              </w:rPr>
              <w:t>150,300</w:t>
            </w:r>
          </w:p>
        </w:tc>
        <w:tc>
          <w:tcPr>
            <w:tcW w:w="1220" w:type="dxa"/>
            <w:vAlign w:val="bottom"/>
            <w:tcBorders>
              <w:bottom w:val="single" w:sz="8" w:color="434F69"/>
              <w:right w:val="single" w:sz="8" w:color="434F69"/>
            </w:tcBorders>
          </w:tcPr>
          <w:p>
            <w:pPr>
              <w:jc w:val="right"/>
              <w:ind w:right="208"/>
              <w:spacing w:after="0"/>
              <w:rPr>
                <w:sz w:val="20"/>
                <w:szCs w:val="20"/>
                <w:color w:val="auto"/>
              </w:rPr>
            </w:pPr>
            <w:r>
              <w:rPr>
                <w:rFonts w:ascii="Arial" w:cs="Arial" w:eastAsia="Arial" w:hAnsi="Arial"/>
                <w:sz w:val="14"/>
                <w:szCs w:val="14"/>
                <w:color w:val="auto"/>
              </w:rPr>
              <w:t>2,053,850</w:t>
            </w:r>
          </w:p>
        </w:tc>
      </w:tr>
      <w:tr>
        <w:trPr>
          <w:trHeight w:val="283"/>
        </w:trPr>
        <w:tc>
          <w:tcPr>
            <w:tcW w:w="11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74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04"/>
        </w:trPr>
        <w:tc>
          <w:tcPr>
            <w:tcW w:w="1160" w:type="dxa"/>
            <w:vAlign w:val="bottom"/>
            <w:tcBorders>
              <w:left w:val="single" w:sz="8" w:color="434F69"/>
              <w:bottom w:val="single" w:sz="8" w:color="434F69"/>
              <w:right w:val="single" w:sz="8" w:color="434F69"/>
            </w:tcBorders>
          </w:tcPr>
          <w:p>
            <w:pPr>
              <w:ind w:left="40"/>
              <w:spacing w:after="0"/>
              <w:rPr>
                <w:sz w:val="20"/>
                <w:szCs w:val="20"/>
                <w:color w:val="auto"/>
              </w:rPr>
            </w:pPr>
            <w:r>
              <w:rPr>
                <w:rFonts w:ascii="Arial" w:cs="Arial" w:eastAsia="Arial" w:hAnsi="Arial"/>
                <w:sz w:val="14"/>
                <w:szCs w:val="14"/>
                <w:color w:val="auto"/>
              </w:rPr>
              <w:t>Harry Pefanis</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2/25/21</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1,000,000</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2,000,000</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08"/>
              <w:spacing w:after="0"/>
              <w:rPr>
                <w:sz w:val="20"/>
                <w:szCs w:val="20"/>
                <w:color w:val="auto"/>
              </w:rPr>
            </w:pPr>
            <w:r>
              <w:rPr>
                <w:rFonts w:ascii="Arial" w:cs="Arial" w:eastAsia="Arial" w:hAnsi="Arial"/>
                <w:sz w:val="14"/>
                <w:szCs w:val="14"/>
                <w:color w:val="auto"/>
              </w:rPr>
              <w:t>—</w:t>
            </w:r>
          </w:p>
        </w:tc>
      </w:tr>
      <w:tr>
        <w:trPr>
          <w:trHeight w:val="283"/>
        </w:trPr>
        <w:tc>
          <w:tcPr>
            <w:tcW w:w="11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74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04"/>
        </w:trPr>
        <w:tc>
          <w:tcPr>
            <w:tcW w:w="1160" w:type="dxa"/>
            <w:vAlign w:val="bottom"/>
            <w:tcBorders>
              <w:left w:val="single" w:sz="8" w:color="434F69"/>
              <w:bottom w:val="single" w:sz="8" w:color="434F69"/>
              <w:right w:val="single" w:sz="8" w:color="434F69"/>
            </w:tcBorders>
          </w:tcPr>
          <w:p>
            <w:pPr>
              <w:ind w:left="40"/>
              <w:spacing w:after="0"/>
              <w:rPr>
                <w:sz w:val="20"/>
                <w:szCs w:val="20"/>
                <w:color w:val="auto"/>
              </w:rPr>
            </w:pPr>
            <w:r>
              <w:rPr>
                <w:rFonts w:ascii="Arial" w:cs="Arial" w:eastAsia="Arial" w:hAnsi="Arial"/>
                <w:sz w:val="14"/>
                <w:szCs w:val="14"/>
                <w:color w:val="auto"/>
              </w:rPr>
              <w:t>Al Swanson</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2/25/21</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800,000</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1,600,000</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08"/>
              <w:spacing w:after="0"/>
              <w:rPr>
                <w:sz w:val="20"/>
                <w:szCs w:val="20"/>
                <w:color w:val="auto"/>
              </w:rPr>
            </w:pPr>
            <w:r>
              <w:rPr>
                <w:rFonts w:ascii="Arial" w:cs="Arial" w:eastAsia="Arial" w:hAnsi="Arial"/>
                <w:sz w:val="14"/>
                <w:szCs w:val="14"/>
                <w:color w:val="auto"/>
              </w:rPr>
              <w:t>—</w:t>
            </w:r>
          </w:p>
        </w:tc>
      </w:tr>
      <w:tr>
        <w:trPr>
          <w:trHeight w:val="209"/>
        </w:trPr>
        <w:tc>
          <w:tcPr>
            <w:tcW w:w="1160" w:type="dxa"/>
            <w:vAlign w:val="bottom"/>
            <w:tcBorders>
              <w:left w:val="single" w:sz="8" w:color="434F69"/>
              <w:bottom w:val="single" w:sz="8" w:color="434F69"/>
              <w:right w:val="single" w:sz="8" w:color="434F69"/>
            </w:tcBorders>
          </w:tcPr>
          <w:p>
            <w:pPr>
              <w:spacing w:after="0"/>
              <w:rPr>
                <w:sz w:val="18"/>
                <w:szCs w:val="18"/>
                <w:color w:val="auto"/>
              </w:rPr>
            </w:pP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8/19/21</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60,100</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120,200</w:t>
            </w:r>
          </w:p>
        </w:tc>
        <w:tc>
          <w:tcPr>
            <w:tcW w:w="1220" w:type="dxa"/>
            <w:vAlign w:val="bottom"/>
            <w:tcBorders>
              <w:bottom w:val="single" w:sz="8" w:color="434F69"/>
              <w:right w:val="single" w:sz="8" w:color="434F69"/>
            </w:tcBorders>
          </w:tcPr>
          <w:p>
            <w:pPr>
              <w:jc w:val="right"/>
              <w:ind w:right="288"/>
              <w:spacing w:after="0"/>
              <w:rPr>
                <w:sz w:val="20"/>
                <w:szCs w:val="20"/>
                <w:color w:val="auto"/>
              </w:rPr>
            </w:pPr>
            <w:r>
              <w:rPr>
                <w:rFonts w:ascii="Arial" w:cs="Arial" w:eastAsia="Arial" w:hAnsi="Arial"/>
                <w:sz w:val="14"/>
                <w:szCs w:val="14"/>
                <w:color w:val="auto"/>
              </w:rPr>
              <w:t>60,100</w:t>
            </w:r>
          </w:p>
        </w:tc>
        <w:tc>
          <w:tcPr>
            <w:tcW w:w="1220" w:type="dxa"/>
            <w:vAlign w:val="bottom"/>
            <w:tcBorders>
              <w:bottom w:val="single" w:sz="8" w:color="434F69"/>
              <w:right w:val="single" w:sz="8" w:color="434F69"/>
            </w:tcBorders>
          </w:tcPr>
          <w:p>
            <w:pPr>
              <w:jc w:val="right"/>
              <w:ind w:right="208"/>
              <w:spacing w:after="0"/>
              <w:rPr>
                <w:sz w:val="20"/>
                <w:szCs w:val="20"/>
                <w:color w:val="auto"/>
              </w:rPr>
            </w:pPr>
            <w:r>
              <w:rPr>
                <w:rFonts w:ascii="Arial" w:cs="Arial" w:eastAsia="Arial" w:hAnsi="Arial"/>
                <w:sz w:val="14"/>
                <w:szCs w:val="14"/>
                <w:color w:val="auto"/>
              </w:rPr>
              <w:t>821,267</w:t>
            </w:r>
          </w:p>
        </w:tc>
      </w:tr>
      <w:tr>
        <w:trPr>
          <w:trHeight w:val="283"/>
        </w:trPr>
        <w:tc>
          <w:tcPr>
            <w:tcW w:w="11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74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04"/>
        </w:trPr>
        <w:tc>
          <w:tcPr>
            <w:tcW w:w="1160" w:type="dxa"/>
            <w:vAlign w:val="bottom"/>
            <w:tcBorders>
              <w:left w:val="single" w:sz="8" w:color="434F69"/>
              <w:bottom w:val="single" w:sz="8" w:color="434F69"/>
              <w:right w:val="single" w:sz="8" w:color="434F69"/>
            </w:tcBorders>
          </w:tcPr>
          <w:p>
            <w:pPr>
              <w:ind w:left="40"/>
              <w:spacing w:after="0"/>
              <w:rPr>
                <w:sz w:val="20"/>
                <w:szCs w:val="20"/>
                <w:color w:val="auto"/>
              </w:rPr>
            </w:pPr>
            <w:r>
              <w:rPr>
                <w:rFonts w:ascii="Arial" w:cs="Arial" w:eastAsia="Arial" w:hAnsi="Arial"/>
                <w:sz w:val="14"/>
                <w:szCs w:val="14"/>
                <w:color w:val="auto"/>
              </w:rPr>
              <w:t>Richard McGee</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2/25/21</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800,000</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1,600,000</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08"/>
              <w:spacing w:after="0"/>
              <w:rPr>
                <w:sz w:val="20"/>
                <w:szCs w:val="20"/>
                <w:color w:val="auto"/>
              </w:rPr>
            </w:pPr>
            <w:r>
              <w:rPr>
                <w:rFonts w:ascii="Arial" w:cs="Arial" w:eastAsia="Arial" w:hAnsi="Arial"/>
                <w:sz w:val="14"/>
                <w:szCs w:val="14"/>
                <w:color w:val="auto"/>
              </w:rPr>
              <w:t>—</w:t>
            </w:r>
          </w:p>
        </w:tc>
      </w:tr>
      <w:tr>
        <w:trPr>
          <w:trHeight w:val="209"/>
        </w:trPr>
        <w:tc>
          <w:tcPr>
            <w:tcW w:w="1160" w:type="dxa"/>
            <w:vAlign w:val="bottom"/>
            <w:tcBorders>
              <w:left w:val="single" w:sz="8" w:color="434F69"/>
              <w:bottom w:val="single" w:sz="8" w:color="434F69"/>
              <w:right w:val="single" w:sz="8" w:color="434F69"/>
            </w:tcBorders>
          </w:tcPr>
          <w:p>
            <w:pPr>
              <w:spacing w:after="0"/>
              <w:rPr>
                <w:sz w:val="18"/>
                <w:szCs w:val="18"/>
                <w:color w:val="auto"/>
              </w:rPr>
            </w:pP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8/19/21</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60,100</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120,200</w:t>
            </w:r>
          </w:p>
        </w:tc>
        <w:tc>
          <w:tcPr>
            <w:tcW w:w="1220" w:type="dxa"/>
            <w:vAlign w:val="bottom"/>
            <w:tcBorders>
              <w:bottom w:val="single" w:sz="8" w:color="434F69"/>
              <w:right w:val="single" w:sz="8" w:color="434F69"/>
            </w:tcBorders>
          </w:tcPr>
          <w:p>
            <w:pPr>
              <w:jc w:val="right"/>
              <w:ind w:right="288"/>
              <w:spacing w:after="0"/>
              <w:rPr>
                <w:sz w:val="20"/>
                <w:szCs w:val="20"/>
                <w:color w:val="auto"/>
              </w:rPr>
            </w:pPr>
            <w:r>
              <w:rPr>
                <w:rFonts w:ascii="Arial" w:cs="Arial" w:eastAsia="Arial" w:hAnsi="Arial"/>
                <w:sz w:val="14"/>
                <w:szCs w:val="14"/>
                <w:color w:val="auto"/>
              </w:rPr>
              <w:t>60,100</w:t>
            </w:r>
          </w:p>
        </w:tc>
        <w:tc>
          <w:tcPr>
            <w:tcW w:w="1220" w:type="dxa"/>
            <w:vAlign w:val="bottom"/>
            <w:tcBorders>
              <w:bottom w:val="single" w:sz="8" w:color="434F69"/>
              <w:right w:val="single" w:sz="8" w:color="434F69"/>
            </w:tcBorders>
          </w:tcPr>
          <w:p>
            <w:pPr>
              <w:jc w:val="right"/>
              <w:ind w:right="208"/>
              <w:spacing w:after="0"/>
              <w:rPr>
                <w:sz w:val="20"/>
                <w:szCs w:val="20"/>
                <w:color w:val="auto"/>
              </w:rPr>
            </w:pPr>
            <w:r>
              <w:rPr>
                <w:rFonts w:ascii="Arial" w:cs="Arial" w:eastAsia="Arial" w:hAnsi="Arial"/>
                <w:sz w:val="14"/>
                <w:szCs w:val="14"/>
                <w:color w:val="auto"/>
              </w:rPr>
              <w:t>821,267</w:t>
            </w:r>
          </w:p>
        </w:tc>
      </w:tr>
      <w:tr>
        <w:trPr>
          <w:trHeight w:val="283"/>
        </w:trPr>
        <w:tc>
          <w:tcPr>
            <w:tcW w:w="11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74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04"/>
        </w:trPr>
        <w:tc>
          <w:tcPr>
            <w:tcW w:w="1160" w:type="dxa"/>
            <w:vAlign w:val="bottom"/>
            <w:tcBorders>
              <w:left w:val="single" w:sz="8" w:color="434F69"/>
              <w:bottom w:val="single" w:sz="8" w:color="434F69"/>
              <w:right w:val="single" w:sz="8" w:color="434F69"/>
            </w:tcBorders>
          </w:tcPr>
          <w:p>
            <w:pPr>
              <w:ind w:left="40"/>
              <w:spacing w:after="0"/>
              <w:rPr>
                <w:sz w:val="20"/>
                <w:szCs w:val="20"/>
                <w:color w:val="auto"/>
              </w:rPr>
            </w:pPr>
            <w:r>
              <w:rPr>
                <w:rFonts w:ascii="Arial" w:cs="Arial" w:eastAsia="Arial" w:hAnsi="Arial"/>
                <w:sz w:val="14"/>
                <w:szCs w:val="14"/>
                <w:color w:val="auto"/>
              </w:rPr>
              <w:t>Chris Chandler</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2/25/21</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800,000</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1,600,000</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08"/>
              <w:spacing w:after="0"/>
              <w:rPr>
                <w:sz w:val="20"/>
                <w:szCs w:val="20"/>
                <w:color w:val="auto"/>
              </w:rPr>
            </w:pPr>
            <w:r>
              <w:rPr>
                <w:rFonts w:ascii="Arial" w:cs="Arial" w:eastAsia="Arial" w:hAnsi="Arial"/>
                <w:sz w:val="14"/>
                <w:szCs w:val="14"/>
                <w:color w:val="auto"/>
              </w:rPr>
              <w:t>—</w:t>
            </w:r>
          </w:p>
        </w:tc>
      </w:tr>
      <w:tr>
        <w:trPr>
          <w:trHeight w:val="209"/>
        </w:trPr>
        <w:tc>
          <w:tcPr>
            <w:tcW w:w="1160" w:type="dxa"/>
            <w:vAlign w:val="bottom"/>
            <w:tcBorders>
              <w:left w:val="single" w:sz="8" w:color="434F69"/>
              <w:bottom w:val="single" w:sz="8" w:color="434F69"/>
              <w:right w:val="single" w:sz="8" w:color="434F69"/>
            </w:tcBorders>
          </w:tcPr>
          <w:p>
            <w:pPr>
              <w:spacing w:after="0"/>
              <w:rPr>
                <w:sz w:val="18"/>
                <w:szCs w:val="18"/>
                <w:color w:val="auto"/>
              </w:rPr>
            </w:pP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8/19/21</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60,100</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120,200</w:t>
            </w:r>
          </w:p>
        </w:tc>
        <w:tc>
          <w:tcPr>
            <w:tcW w:w="1220" w:type="dxa"/>
            <w:vAlign w:val="bottom"/>
            <w:tcBorders>
              <w:bottom w:val="single" w:sz="8" w:color="434F69"/>
              <w:right w:val="single" w:sz="8" w:color="434F69"/>
            </w:tcBorders>
          </w:tcPr>
          <w:p>
            <w:pPr>
              <w:jc w:val="right"/>
              <w:ind w:right="288"/>
              <w:spacing w:after="0"/>
              <w:rPr>
                <w:sz w:val="20"/>
                <w:szCs w:val="20"/>
                <w:color w:val="auto"/>
              </w:rPr>
            </w:pPr>
            <w:r>
              <w:rPr>
                <w:rFonts w:ascii="Arial" w:cs="Arial" w:eastAsia="Arial" w:hAnsi="Arial"/>
                <w:sz w:val="14"/>
                <w:szCs w:val="14"/>
                <w:color w:val="auto"/>
              </w:rPr>
              <w:t>60,100</w:t>
            </w:r>
          </w:p>
        </w:tc>
        <w:tc>
          <w:tcPr>
            <w:tcW w:w="1220" w:type="dxa"/>
            <w:vAlign w:val="bottom"/>
            <w:tcBorders>
              <w:bottom w:val="single" w:sz="8" w:color="434F69"/>
              <w:right w:val="single" w:sz="8" w:color="434F69"/>
            </w:tcBorders>
          </w:tcPr>
          <w:p>
            <w:pPr>
              <w:jc w:val="right"/>
              <w:ind w:right="208"/>
              <w:spacing w:after="0"/>
              <w:rPr>
                <w:sz w:val="20"/>
                <w:szCs w:val="20"/>
                <w:color w:val="auto"/>
              </w:rPr>
            </w:pPr>
            <w:r>
              <w:rPr>
                <w:rFonts w:ascii="Arial" w:cs="Arial" w:eastAsia="Arial" w:hAnsi="Arial"/>
                <w:sz w:val="14"/>
                <w:szCs w:val="14"/>
                <w:color w:val="auto"/>
              </w:rPr>
              <w:t>821,267</w:t>
            </w:r>
          </w:p>
        </w:tc>
      </w:tr>
      <w:tr>
        <w:trPr>
          <w:trHeight w:val="283"/>
        </w:trPr>
        <w:tc>
          <w:tcPr>
            <w:tcW w:w="11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74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03"/>
        </w:trPr>
        <w:tc>
          <w:tcPr>
            <w:tcW w:w="1160" w:type="dxa"/>
            <w:vAlign w:val="bottom"/>
            <w:tcBorders>
              <w:left w:val="single" w:sz="8" w:color="434F69"/>
              <w:bottom w:val="single" w:sz="8" w:color="434F69"/>
              <w:right w:val="single" w:sz="8" w:color="434F69"/>
            </w:tcBorders>
          </w:tcPr>
          <w:p>
            <w:pPr>
              <w:ind w:left="40"/>
              <w:spacing w:after="0"/>
              <w:rPr>
                <w:sz w:val="20"/>
                <w:szCs w:val="20"/>
                <w:color w:val="auto"/>
              </w:rPr>
            </w:pPr>
            <w:r>
              <w:rPr>
                <w:rFonts w:ascii="Arial" w:cs="Arial" w:eastAsia="Arial" w:hAnsi="Arial"/>
                <w:sz w:val="14"/>
                <w:szCs w:val="14"/>
                <w:color w:val="auto"/>
              </w:rPr>
              <w:t>Jeremy Goebel</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2/25/21</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800,000</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1,600,000</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08"/>
              <w:spacing w:after="0"/>
              <w:rPr>
                <w:sz w:val="20"/>
                <w:szCs w:val="20"/>
                <w:color w:val="auto"/>
              </w:rPr>
            </w:pPr>
            <w:r>
              <w:rPr>
                <w:rFonts w:ascii="Arial" w:cs="Arial" w:eastAsia="Arial" w:hAnsi="Arial"/>
                <w:sz w:val="14"/>
                <w:szCs w:val="14"/>
                <w:color w:val="auto"/>
              </w:rPr>
              <w:t>—</w:t>
            </w:r>
          </w:p>
        </w:tc>
      </w:tr>
      <w:tr>
        <w:trPr>
          <w:trHeight w:val="209"/>
        </w:trPr>
        <w:tc>
          <w:tcPr>
            <w:tcW w:w="1160" w:type="dxa"/>
            <w:vAlign w:val="bottom"/>
            <w:tcBorders>
              <w:left w:val="single" w:sz="8" w:color="434F69"/>
              <w:bottom w:val="single" w:sz="8" w:color="434F69"/>
              <w:right w:val="single" w:sz="8" w:color="434F69"/>
            </w:tcBorders>
          </w:tcPr>
          <w:p>
            <w:pPr>
              <w:spacing w:after="0"/>
              <w:rPr>
                <w:sz w:val="18"/>
                <w:szCs w:val="18"/>
                <w:color w:val="auto"/>
              </w:rPr>
            </w:pP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8/19/21</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60,100</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120,200</w:t>
            </w:r>
          </w:p>
        </w:tc>
        <w:tc>
          <w:tcPr>
            <w:tcW w:w="1220" w:type="dxa"/>
            <w:vAlign w:val="bottom"/>
            <w:tcBorders>
              <w:bottom w:val="single" w:sz="8" w:color="434F69"/>
              <w:right w:val="single" w:sz="8" w:color="434F69"/>
            </w:tcBorders>
          </w:tcPr>
          <w:p>
            <w:pPr>
              <w:jc w:val="right"/>
              <w:ind w:right="288"/>
              <w:spacing w:after="0"/>
              <w:rPr>
                <w:sz w:val="20"/>
                <w:szCs w:val="20"/>
                <w:color w:val="auto"/>
              </w:rPr>
            </w:pPr>
            <w:r>
              <w:rPr>
                <w:rFonts w:ascii="Arial" w:cs="Arial" w:eastAsia="Arial" w:hAnsi="Arial"/>
                <w:sz w:val="14"/>
                <w:szCs w:val="14"/>
                <w:color w:val="auto"/>
              </w:rPr>
              <w:t>60,100</w:t>
            </w:r>
          </w:p>
        </w:tc>
        <w:tc>
          <w:tcPr>
            <w:tcW w:w="1220" w:type="dxa"/>
            <w:vAlign w:val="bottom"/>
            <w:tcBorders>
              <w:bottom w:val="single" w:sz="8" w:color="434F69"/>
              <w:right w:val="single" w:sz="8" w:color="434F69"/>
            </w:tcBorders>
          </w:tcPr>
          <w:p>
            <w:pPr>
              <w:jc w:val="right"/>
              <w:ind w:right="208"/>
              <w:spacing w:after="0"/>
              <w:rPr>
                <w:sz w:val="20"/>
                <w:szCs w:val="20"/>
                <w:color w:val="auto"/>
              </w:rPr>
            </w:pPr>
            <w:r>
              <w:rPr>
                <w:rFonts w:ascii="Arial" w:cs="Arial" w:eastAsia="Arial" w:hAnsi="Arial"/>
                <w:sz w:val="14"/>
                <w:szCs w:val="14"/>
                <w:color w:val="auto"/>
              </w:rPr>
              <w:t>821,267</w:t>
            </w:r>
          </w:p>
        </w:tc>
      </w:tr>
    </w:tbl>
    <w:p>
      <w:pPr>
        <w:spacing w:after="0" w:line="215" w:lineRule="exact"/>
        <w:rPr>
          <w:sz w:val="20"/>
          <w:szCs w:val="20"/>
          <w:color w:val="auto"/>
        </w:rPr>
      </w:pPr>
    </w:p>
    <w:p>
      <w:pPr>
        <w:ind w:left="1620" w:right="820" w:hanging="360"/>
        <w:spacing w:after="0" w:line="247" w:lineRule="auto"/>
        <w:tabs>
          <w:tab w:leader="none" w:pos="1620" w:val="left"/>
        </w:tabs>
        <w:numPr>
          <w:ilvl w:val="0"/>
          <w:numId w:val="47"/>
        </w:numPr>
        <w:rPr>
          <w:rFonts w:ascii="Arial" w:cs="Arial" w:eastAsia="Arial" w:hAnsi="Arial"/>
          <w:sz w:val="26"/>
          <w:szCs w:val="26"/>
          <w:color w:val="auto"/>
          <w:vertAlign w:val="superscript"/>
        </w:rPr>
      </w:pPr>
      <w:r>
        <w:rPr>
          <w:rFonts w:ascii="Arial" w:cs="Arial" w:eastAsia="Arial" w:hAnsi="Arial"/>
          <w:sz w:val="17"/>
          <w:szCs w:val="17"/>
          <w:color w:val="auto"/>
        </w:rPr>
        <w:t>Represents the performance-vested portion of phantom units granted in August 2021. These phantom units will potentially vest on the August 2024 distribution date at a scaled payout range of between 0% and 200% based on: (i) with respect to 50% of the performance-vested award, PAA’s TSR over the three-year period ending June 30, 2024 compared to the TSR of the TSR Comparator Peer Group (payout may be reduced if absolute TSR is negative); and (ii) with respect to the other 50% of the performance-vested award, PAA achieving cumulative DCF per CUE of $6.00 over the three-year period ending June 30, 2024 (payout may be decreased or increased by</w:t>
      </w:r>
    </w:p>
    <w:p>
      <w:pPr>
        <w:sectPr>
          <w:pgSz w:w="11900" w:h="16838" w:orient="portrait"/>
          <w:cols w:equalWidth="0" w:num="1">
            <w:col w:w="10220"/>
          </w:cols>
          <w:pgMar w:left="580" w:top="132" w:right="1099" w:bottom="1440" w:gutter="0" w:footer="0" w:header="0"/>
        </w:sectPr>
      </w:pPr>
    </w:p>
    <w:p>
      <w:pPr>
        <w:spacing w:after="0" w:line="38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99"/>
        <w:spacing w:after="0" w:line="253" w:lineRule="auto"/>
        <w:rPr>
          <w:sz w:val="20"/>
          <w:szCs w:val="20"/>
          <w:color w:val="auto"/>
        </w:rPr>
      </w:pPr>
      <w:r>
        <w:rPr>
          <w:rFonts w:ascii="Arial" w:cs="Arial" w:eastAsia="Arial" w:hAnsi="Arial"/>
          <w:sz w:val="18"/>
          <w:szCs w:val="18"/>
          <w:color w:val="auto"/>
        </w:rPr>
        <w:t>50 gross percentage points (but not above 200%) based on PAA’s leverage ratio as of June 30, 2024 compared to PAA’s target leverage ratio for such date as set forth in PAA’s multi-year plan as of August 2021). DERs associated with the performance-vested portion will accrue during the three-year performance period and be paid in cash in a lump sum on the August 2024 distribution date with respect to the number of such phantom units, if any, that vest on such date.</w:t>
      </w:r>
    </w:p>
    <w:p>
      <w:pPr>
        <w:spacing w:after="0" w:line="57" w:lineRule="exact"/>
        <w:rPr>
          <w:sz w:val="20"/>
          <w:szCs w:val="20"/>
          <w:color w:val="auto"/>
        </w:rPr>
      </w:pPr>
    </w:p>
    <w:p>
      <w:pPr>
        <w:ind w:left="1620" w:right="439" w:hanging="360"/>
        <w:spacing w:after="0" w:line="227" w:lineRule="auto"/>
        <w:tabs>
          <w:tab w:leader="none" w:pos="162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color w:val="auto"/>
        </w:rPr>
        <w:t>Represents the time-vested portion of phantom units granted in August 2021. These phantom units will vest on the August 2024 distribution date. DERs associated with the time-vested portion will accrue for the first year and such accrued amount will be paid in cash in a lump sum on the August 2022 distribution date; beginning in November 2022, DERs on such time-vested portion will be paid quarterly until the associated phantom units vest.</w:t>
      </w:r>
    </w:p>
    <w:p>
      <w:pPr>
        <w:spacing w:after="0" w:line="70" w:lineRule="exact"/>
        <w:rPr>
          <w:rFonts w:ascii="Arial" w:cs="Arial" w:eastAsia="Arial" w:hAnsi="Arial"/>
          <w:sz w:val="27"/>
          <w:szCs w:val="27"/>
          <w:color w:val="auto"/>
          <w:vertAlign w:val="superscript"/>
        </w:rPr>
      </w:pPr>
    </w:p>
    <w:p>
      <w:pPr>
        <w:ind w:left="1620" w:right="419" w:hanging="360"/>
        <w:spacing w:after="0" w:line="231" w:lineRule="auto"/>
        <w:tabs>
          <w:tab w:leader="none" w:pos="162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color w:val="auto"/>
        </w:rPr>
        <w:t>Represents the aggregate grant date fair values of phantom units granted in August 2021 based on the probable outcome of underlying performance conditions pursuant to FASB ASC Topic 718. For phantom unit grants awarded in August 2021, 75% were deemed probable of vesting on the grant date. The maximum fair value of phantom unit grants awarded in August 2021, assuming that the highest level of performance conditions will be met, was $2,738,466 for Mr. Chiang and $1,095,022 for each of Messrs. Swanson, McGee, Chandler and Goebel.</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80" w:lineRule="exact"/>
        <w:rPr>
          <w:sz w:val="20"/>
          <w:szCs w:val="20"/>
          <w:color w:val="auto"/>
        </w:rPr>
      </w:pPr>
    </w:p>
    <w:p>
      <w:pPr>
        <w:ind w:left="1260" w:right="599" w:firstLine="360"/>
        <w:spacing w:after="0" w:line="256"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 Compensation Discussion and Analysis” and in the footnotes to such table.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Contracts</w:t>
      </w:r>
    </w:p>
    <w:p>
      <w:pPr>
        <w:spacing w:after="0" w:line="180" w:lineRule="exact"/>
        <w:rPr>
          <w:sz w:val="20"/>
          <w:szCs w:val="20"/>
          <w:color w:val="auto"/>
        </w:rPr>
      </w:pPr>
    </w:p>
    <w:p>
      <w:pPr>
        <w:ind w:left="1260" w:right="619" w:firstLine="360"/>
        <w:spacing w:after="0" w:line="253" w:lineRule="auto"/>
        <w:rPr>
          <w:sz w:val="20"/>
          <w:szCs w:val="20"/>
          <w:color w:val="auto"/>
        </w:rPr>
      </w:pPr>
      <w:r>
        <w:rPr>
          <w:rFonts w:ascii="Arial" w:cs="Arial" w:eastAsia="Arial" w:hAnsi="Arial"/>
          <w:sz w:val="18"/>
          <w:szCs w:val="18"/>
          <w:color w:val="auto"/>
        </w:rPr>
        <w:t>Mr. Chiang’s previous employment agreement was amended and restated in connection with his promotion to CEO in October 2018. Pursuant to the amended and restated agreement, which may be terminated by the Company or by Mr. Chiang at any time, Mr. Chiang’s compensation, which is described throughout this Executive Compensation section, is subject to adjustment by the compensation committee and full Board.</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The initial three-year term of Mr. Pefanis’ current employment agreement commenced on June 30, 2001, and is automatically extended for one year on June 30 of each year (such that the term is reset to three years) unless Mr. Pefanis receives notice from the Chairman of the Board that the Board has elected not to extend the agreement. Pursuant to Mr. Pefanis’ agreement, Mr. Pefanis’ compensation, which is described throughout this Executive Compensation section, is subject to adjustment by the compensation committee and full Board. See “— Potential Payments upon Termination or Change-In-Control” for a discussion of the provisions in Mr. Pefanis’ employment agreement related to termination, change of control and related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certain information regarding outstanding equity awards as in effect at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2021 with respect to our Named Executive Officers:</w:t>
      </w:r>
    </w:p>
    <w:p>
      <w:pPr>
        <w:spacing w:after="0" w:line="199" w:lineRule="exact"/>
        <w:rPr>
          <w:sz w:val="20"/>
          <w:szCs w:val="20"/>
          <w:color w:val="auto"/>
        </w:rPr>
      </w:pPr>
    </w:p>
    <w:tbl>
      <w:tblPr>
        <w:tblLayout w:type="fixed"/>
        <w:tblInd w:w="1270" w:type="dxa"/>
        <w:tblCellMar>
          <w:top w:w="0" w:type="dxa"/>
          <w:left w:w="0" w:type="dxa"/>
          <w:bottom w:w="0" w:type="dxa"/>
          <w:right w:w="0" w:type="dxa"/>
        </w:tblCellMar>
      </w:tblPr>
      <w:tr>
        <w:trPr>
          <w:trHeight w:val="278"/>
        </w:trPr>
        <w:tc>
          <w:tcPr>
            <w:tcW w:w="2860" w:type="dxa"/>
            <w:vAlign w:val="bottom"/>
            <w:tcBorders>
              <w:left w:val="single" w:sz="8" w:color="434F69"/>
              <w:bottom w:val="single" w:sz="8" w:color="434F69"/>
              <w:right w:val="single" w:sz="8" w:color="434F69"/>
            </w:tcBorders>
            <w:shd w:val="clear" w:color="auto" w:fill="434F69"/>
          </w:tcPr>
          <w:p>
            <w:pPr>
              <w:spacing w:after="0"/>
              <w:rPr>
                <w:sz w:val="24"/>
                <w:szCs w:val="24"/>
                <w:color w:val="auto"/>
              </w:rPr>
            </w:pPr>
          </w:p>
        </w:tc>
        <w:tc>
          <w:tcPr>
            <w:tcW w:w="1100" w:type="dxa"/>
            <w:vAlign w:val="bottom"/>
            <w:tcBorders>
              <w:bottom w:val="single" w:sz="8" w:color="auto"/>
            </w:tcBorders>
            <w:shd w:val="clear" w:color="auto" w:fill="434F69"/>
          </w:tcPr>
          <w:p>
            <w:pPr>
              <w:spacing w:after="0"/>
              <w:rPr>
                <w:sz w:val="24"/>
                <w:szCs w:val="24"/>
                <w:color w:val="auto"/>
              </w:rPr>
            </w:pPr>
          </w:p>
        </w:tc>
        <w:tc>
          <w:tcPr>
            <w:tcW w:w="220" w:type="dxa"/>
            <w:vAlign w:val="bottom"/>
            <w:tcBorders>
              <w:bottom w:val="single" w:sz="8" w:color="auto"/>
              <w:right w:val="single" w:sz="8" w:color="434F69"/>
            </w:tcBorders>
            <w:shd w:val="clear" w:color="auto" w:fill="434F69"/>
          </w:tcPr>
          <w:p>
            <w:pPr>
              <w:spacing w:after="0"/>
              <w:rPr>
                <w:sz w:val="24"/>
                <w:szCs w:val="24"/>
                <w:color w:val="auto"/>
              </w:rPr>
            </w:pPr>
          </w:p>
        </w:tc>
        <w:tc>
          <w:tcPr>
            <w:tcW w:w="2660" w:type="dxa"/>
            <w:vAlign w:val="bottom"/>
            <w:tcBorders>
              <w:bottom w:val="single" w:sz="8" w:color="auto"/>
              <w:right w:val="single" w:sz="8" w:color="434F69"/>
            </w:tcBorders>
            <w:gridSpan w:val="2"/>
            <w:shd w:val="clear" w:color="auto" w:fill="434F69"/>
          </w:tcPr>
          <w:p>
            <w:pPr>
              <w:jc w:val="right"/>
              <w:ind w:right="795"/>
              <w:spacing w:after="0"/>
              <w:rPr>
                <w:sz w:val="20"/>
                <w:szCs w:val="20"/>
                <w:color w:val="auto"/>
              </w:rPr>
            </w:pPr>
            <w:r>
              <w:rPr>
                <w:rFonts w:ascii="Arial" w:cs="Arial" w:eastAsia="Arial" w:hAnsi="Arial"/>
                <w:sz w:val="14"/>
                <w:szCs w:val="14"/>
                <w:b w:val="1"/>
                <w:bCs w:val="1"/>
                <w:color w:val="FFFFFF"/>
              </w:rPr>
              <w:t>Unit Awards</w:t>
            </w:r>
          </w:p>
        </w:tc>
        <w:tc>
          <w:tcPr>
            <w:tcW w:w="1380" w:type="dxa"/>
            <w:vAlign w:val="bottom"/>
            <w:tcBorders>
              <w:bottom w:val="single" w:sz="8" w:color="auto"/>
              <w:right w:val="single" w:sz="8" w:color="434F69"/>
            </w:tcBorders>
            <w:shd w:val="clear" w:color="auto" w:fill="434F69"/>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860" w:type="dxa"/>
            <w:vAlign w:val="bottom"/>
            <w:tcBorders>
              <w:left w:val="single" w:sz="8" w:color="434F69"/>
              <w:right w:val="single" w:sz="8" w:color="434F69"/>
            </w:tcBorders>
            <w:shd w:val="clear" w:color="auto" w:fill="434F69"/>
          </w:tcPr>
          <w:p>
            <w:pPr>
              <w:spacing w:after="0"/>
              <w:rPr>
                <w:sz w:val="15"/>
                <w:szCs w:val="15"/>
                <w:color w:val="auto"/>
              </w:rPr>
            </w:pPr>
          </w:p>
        </w:tc>
        <w:tc>
          <w:tcPr>
            <w:tcW w:w="1100" w:type="dxa"/>
            <w:vAlign w:val="bottom"/>
            <w:shd w:val="clear" w:color="auto" w:fill="434F69"/>
          </w:tcPr>
          <w:p>
            <w:pPr>
              <w:spacing w:after="0"/>
              <w:rPr>
                <w:sz w:val="15"/>
                <w:szCs w:val="15"/>
                <w:color w:val="auto"/>
              </w:rPr>
            </w:pPr>
          </w:p>
        </w:tc>
        <w:tc>
          <w:tcPr>
            <w:tcW w:w="220" w:type="dxa"/>
            <w:vAlign w:val="bottom"/>
            <w:tcBorders>
              <w:right w:val="single" w:sz="8" w:color="434F69"/>
            </w:tcBorders>
            <w:shd w:val="clear" w:color="auto" w:fill="434F69"/>
          </w:tcPr>
          <w:p>
            <w:pPr>
              <w:spacing w:after="0"/>
              <w:rPr>
                <w:sz w:val="15"/>
                <w:szCs w:val="15"/>
                <w:color w:val="auto"/>
              </w:rPr>
            </w:pPr>
          </w:p>
        </w:tc>
        <w:tc>
          <w:tcPr>
            <w:tcW w:w="1260" w:type="dxa"/>
            <w:vAlign w:val="bottom"/>
            <w:tcBorders>
              <w:right w:val="single" w:sz="8" w:color="434F69"/>
            </w:tcBorders>
            <w:shd w:val="clear" w:color="auto" w:fill="434F69"/>
          </w:tcPr>
          <w:p>
            <w:pPr>
              <w:spacing w:after="0"/>
              <w:rPr>
                <w:sz w:val="15"/>
                <w:szCs w:val="15"/>
                <w:color w:val="auto"/>
              </w:rPr>
            </w:pPr>
          </w:p>
        </w:tc>
        <w:tc>
          <w:tcPr>
            <w:tcW w:w="1400" w:type="dxa"/>
            <w:vAlign w:val="bottom"/>
            <w:tcBorders>
              <w:right w:val="single" w:sz="8" w:color="434F69"/>
            </w:tcBorders>
            <w:shd w:val="clear" w:color="auto" w:fill="434F69"/>
          </w:tcPr>
          <w:p>
            <w:pPr>
              <w:spacing w:after="0"/>
              <w:rPr>
                <w:sz w:val="15"/>
                <w:szCs w:val="15"/>
                <w:color w:val="auto"/>
              </w:rPr>
            </w:pPr>
          </w:p>
        </w:tc>
        <w:tc>
          <w:tcPr>
            <w:tcW w:w="13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62"/>
        </w:trPr>
        <w:tc>
          <w:tcPr>
            <w:tcW w:w="2860" w:type="dxa"/>
            <w:vAlign w:val="bottom"/>
            <w:tcBorders>
              <w:left w:val="single" w:sz="8" w:color="434F69"/>
              <w:right w:val="single" w:sz="8" w:color="434F69"/>
            </w:tcBorders>
            <w:shd w:val="clear" w:color="auto" w:fill="434F69"/>
          </w:tcPr>
          <w:p>
            <w:pPr>
              <w:spacing w:after="0"/>
              <w:rPr>
                <w:sz w:val="14"/>
                <w:szCs w:val="14"/>
                <w:color w:val="auto"/>
              </w:rPr>
            </w:pPr>
          </w:p>
        </w:tc>
        <w:tc>
          <w:tcPr>
            <w:tcW w:w="1100" w:type="dxa"/>
            <w:vAlign w:val="bottom"/>
            <w:shd w:val="clear" w:color="auto" w:fill="434F69"/>
          </w:tcPr>
          <w:p>
            <w:pPr>
              <w:spacing w:after="0"/>
              <w:rPr>
                <w:sz w:val="14"/>
                <w:szCs w:val="14"/>
                <w:color w:val="auto"/>
              </w:rPr>
            </w:pPr>
          </w:p>
        </w:tc>
        <w:tc>
          <w:tcPr>
            <w:tcW w:w="220" w:type="dxa"/>
            <w:vAlign w:val="bottom"/>
            <w:tcBorders>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spacing w:after="0"/>
              <w:rPr>
                <w:sz w:val="14"/>
                <w:szCs w:val="14"/>
                <w:color w:val="auto"/>
              </w:rPr>
            </w:pPr>
          </w:p>
        </w:tc>
        <w:tc>
          <w:tcPr>
            <w:tcW w:w="14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Equity</w:t>
            </w:r>
          </w:p>
        </w:tc>
        <w:tc>
          <w:tcPr>
            <w:tcW w:w="13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62"/>
        </w:trPr>
        <w:tc>
          <w:tcPr>
            <w:tcW w:w="2860" w:type="dxa"/>
            <w:vAlign w:val="bottom"/>
            <w:tcBorders>
              <w:left w:val="single" w:sz="8" w:color="434F69"/>
              <w:right w:val="single" w:sz="8" w:color="434F69"/>
            </w:tcBorders>
            <w:shd w:val="clear" w:color="auto" w:fill="434F69"/>
          </w:tcPr>
          <w:p>
            <w:pPr>
              <w:spacing w:after="0"/>
              <w:rPr>
                <w:sz w:val="14"/>
                <w:szCs w:val="14"/>
                <w:color w:val="auto"/>
              </w:rPr>
            </w:pPr>
          </w:p>
        </w:tc>
        <w:tc>
          <w:tcPr>
            <w:tcW w:w="1100" w:type="dxa"/>
            <w:vAlign w:val="bottom"/>
            <w:shd w:val="clear" w:color="auto" w:fill="434F69"/>
          </w:tcPr>
          <w:p>
            <w:pPr>
              <w:spacing w:after="0"/>
              <w:rPr>
                <w:sz w:val="14"/>
                <w:szCs w:val="14"/>
                <w:color w:val="auto"/>
              </w:rPr>
            </w:pPr>
          </w:p>
        </w:tc>
        <w:tc>
          <w:tcPr>
            <w:tcW w:w="220" w:type="dxa"/>
            <w:vAlign w:val="bottom"/>
            <w:tcBorders>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spacing w:after="0"/>
              <w:rPr>
                <w:sz w:val="14"/>
                <w:szCs w:val="14"/>
                <w:color w:val="auto"/>
              </w:rPr>
            </w:pPr>
          </w:p>
        </w:tc>
        <w:tc>
          <w:tcPr>
            <w:tcW w:w="14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Incentive</w:t>
            </w:r>
          </w:p>
        </w:tc>
        <w:tc>
          <w:tcPr>
            <w:tcW w:w="13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Plan Awards:</w:t>
            </w:r>
          </w:p>
        </w:tc>
        <w:tc>
          <w:tcPr>
            <w:tcW w:w="0" w:type="dxa"/>
            <w:vAlign w:val="bottom"/>
          </w:tcPr>
          <w:p>
            <w:pPr>
              <w:spacing w:after="0"/>
              <w:rPr>
                <w:sz w:val="1"/>
                <w:szCs w:val="1"/>
                <w:color w:val="auto"/>
              </w:rPr>
            </w:pPr>
          </w:p>
        </w:tc>
      </w:tr>
      <w:tr>
        <w:trPr>
          <w:trHeight w:val="162"/>
        </w:trPr>
        <w:tc>
          <w:tcPr>
            <w:tcW w:w="2860" w:type="dxa"/>
            <w:vAlign w:val="bottom"/>
            <w:tcBorders>
              <w:left w:val="single" w:sz="8" w:color="434F69"/>
              <w:right w:val="single" w:sz="8" w:color="434F69"/>
            </w:tcBorders>
            <w:shd w:val="clear" w:color="auto" w:fill="434F69"/>
          </w:tcPr>
          <w:p>
            <w:pPr>
              <w:spacing w:after="0"/>
              <w:rPr>
                <w:sz w:val="14"/>
                <w:szCs w:val="14"/>
                <w:color w:val="auto"/>
              </w:rPr>
            </w:pPr>
          </w:p>
        </w:tc>
        <w:tc>
          <w:tcPr>
            <w:tcW w:w="1100" w:type="dxa"/>
            <w:vAlign w:val="bottom"/>
            <w:shd w:val="clear" w:color="auto" w:fill="434F69"/>
          </w:tcPr>
          <w:p>
            <w:pPr>
              <w:spacing w:after="0"/>
              <w:rPr>
                <w:sz w:val="14"/>
                <w:szCs w:val="14"/>
                <w:color w:val="auto"/>
              </w:rPr>
            </w:pPr>
          </w:p>
        </w:tc>
        <w:tc>
          <w:tcPr>
            <w:tcW w:w="220" w:type="dxa"/>
            <w:vAlign w:val="bottom"/>
            <w:tcBorders>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spacing w:after="0"/>
              <w:rPr>
                <w:sz w:val="14"/>
                <w:szCs w:val="14"/>
                <w:color w:val="auto"/>
              </w:rPr>
            </w:pPr>
          </w:p>
        </w:tc>
        <w:tc>
          <w:tcPr>
            <w:tcW w:w="14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Plan Awards:</w:t>
            </w:r>
          </w:p>
        </w:tc>
        <w:tc>
          <w:tcPr>
            <w:tcW w:w="13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162"/>
        </w:trPr>
        <w:tc>
          <w:tcPr>
            <w:tcW w:w="2860" w:type="dxa"/>
            <w:vAlign w:val="bottom"/>
            <w:tcBorders>
              <w:left w:val="single" w:sz="8" w:color="434F69"/>
              <w:right w:val="single" w:sz="8" w:color="434F69"/>
            </w:tcBorders>
            <w:shd w:val="clear" w:color="auto" w:fill="434F69"/>
          </w:tcPr>
          <w:p>
            <w:pPr>
              <w:spacing w:after="0"/>
              <w:rPr>
                <w:sz w:val="14"/>
                <w:szCs w:val="14"/>
                <w:color w:val="auto"/>
              </w:rPr>
            </w:pPr>
          </w:p>
        </w:tc>
        <w:tc>
          <w:tcPr>
            <w:tcW w:w="1100" w:type="dxa"/>
            <w:vAlign w:val="bottom"/>
            <w:shd w:val="clear" w:color="auto" w:fill="434F69"/>
          </w:tcPr>
          <w:p>
            <w:pPr>
              <w:spacing w:after="0"/>
              <w:rPr>
                <w:sz w:val="14"/>
                <w:szCs w:val="14"/>
                <w:color w:val="auto"/>
              </w:rPr>
            </w:pPr>
          </w:p>
        </w:tc>
        <w:tc>
          <w:tcPr>
            <w:tcW w:w="220" w:type="dxa"/>
            <w:vAlign w:val="bottom"/>
            <w:tcBorders>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Market</w:t>
            </w:r>
          </w:p>
        </w:tc>
        <w:tc>
          <w:tcPr>
            <w:tcW w:w="14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Number of</w:t>
            </w:r>
          </w:p>
        </w:tc>
        <w:tc>
          <w:tcPr>
            <w:tcW w:w="13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Payout Value</w:t>
            </w:r>
          </w:p>
        </w:tc>
        <w:tc>
          <w:tcPr>
            <w:tcW w:w="0" w:type="dxa"/>
            <w:vAlign w:val="bottom"/>
          </w:tcPr>
          <w:p>
            <w:pPr>
              <w:spacing w:after="0"/>
              <w:rPr>
                <w:sz w:val="1"/>
                <w:szCs w:val="1"/>
                <w:color w:val="auto"/>
              </w:rPr>
            </w:pPr>
          </w:p>
        </w:tc>
      </w:tr>
      <w:tr>
        <w:trPr>
          <w:trHeight w:val="162"/>
        </w:trPr>
        <w:tc>
          <w:tcPr>
            <w:tcW w:w="2860" w:type="dxa"/>
            <w:vAlign w:val="bottom"/>
            <w:tcBorders>
              <w:left w:val="single" w:sz="8" w:color="434F69"/>
              <w:right w:val="single" w:sz="8" w:color="434F69"/>
            </w:tcBorders>
            <w:shd w:val="clear" w:color="auto" w:fill="434F69"/>
          </w:tcPr>
          <w:p>
            <w:pPr>
              <w:spacing w:after="0"/>
              <w:rPr>
                <w:sz w:val="14"/>
                <w:szCs w:val="14"/>
                <w:color w:val="auto"/>
              </w:rPr>
            </w:pPr>
          </w:p>
        </w:tc>
        <w:tc>
          <w:tcPr>
            <w:tcW w:w="1100" w:type="dxa"/>
            <w:vAlign w:val="bottom"/>
            <w:shd w:val="clear" w:color="auto" w:fill="434F69"/>
          </w:tcPr>
          <w:p>
            <w:pPr>
              <w:spacing w:after="0"/>
              <w:rPr>
                <w:sz w:val="14"/>
                <w:szCs w:val="14"/>
                <w:color w:val="auto"/>
              </w:rPr>
            </w:pPr>
          </w:p>
        </w:tc>
        <w:tc>
          <w:tcPr>
            <w:tcW w:w="220" w:type="dxa"/>
            <w:vAlign w:val="bottom"/>
            <w:tcBorders>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4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Unearned</w:t>
            </w:r>
          </w:p>
        </w:tc>
        <w:tc>
          <w:tcPr>
            <w:tcW w:w="13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of Unearned</w:t>
            </w:r>
          </w:p>
        </w:tc>
        <w:tc>
          <w:tcPr>
            <w:tcW w:w="0" w:type="dxa"/>
            <w:vAlign w:val="bottom"/>
          </w:tcPr>
          <w:p>
            <w:pPr>
              <w:spacing w:after="0"/>
              <w:rPr>
                <w:sz w:val="1"/>
                <w:szCs w:val="1"/>
                <w:color w:val="auto"/>
              </w:rPr>
            </w:pPr>
          </w:p>
        </w:tc>
      </w:tr>
      <w:tr>
        <w:trPr>
          <w:trHeight w:val="162"/>
        </w:trPr>
        <w:tc>
          <w:tcPr>
            <w:tcW w:w="2860" w:type="dxa"/>
            <w:vAlign w:val="bottom"/>
            <w:tcBorders>
              <w:left w:val="single" w:sz="8" w:color="434F69"/>
              <w:right w:val="single" w:sz="8" w:color="434F69"/>
            </w:tcBorders>
            <w:shd w:val="clear" w:color="auto" w:fill="434F69"/>
          </w:tcPr>
          <w:p>
            <w:pPr>
              <w:spacing w:after="0"/>
              <w:rPr>
                <w:sz w:val="14"/>
                <w:szCs w:val="14"/>
                <w:color w:val="auto"/>
              </w:rPr>
            </w:pPr>
          </w:p>
        </w:tc>
        <w:tc>
          <w:tcPr>
            <w:tcW w:w="110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220" w:type="dxa"/>
            <w:vAlign w:val="bottom"/>
            <w:tcBorders>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Shares or</w:t>
            </w:r>
          </w:p>
        </w:tc>
        <w:tc>
          <w:tcPr>
            <w:tcW w:w="14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Shares,</w:t>
            </w:r>
          </w:p>
        </w:tc>
        <w:tc>
          <w:tcPr>
            <w:tcW w:w="13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62"/>
        </w:trPr>
        <w:tc>
          <w:tcPr>
            <w:tcW w:w="2860" w:type="dxa"/>
            <w:vAlign w:val="bottom"/>
            <w:tcBorders>
              <w:left w:val="single" w:sz="8" w:color="434F69"/>
              <w:right w:val="single" w:sz="8" w:color="434F69"/>
            </w:tcBorders>
            <w:shd w:val="clear" w:color="auto" w:fill="434F69"/>
          </w:tcPr>
          <w:p>
            <w:pPr>
              <w:spacing w:after="0"/>
              <w:rPr>
                <w:sz w:val="14"/>
                <w:szCs w:val="14"/>
                <w:color w:val="auto"/>
              </w:rPr>
            </w:pPr>
          </w:p>
        </w:tc>
        <w:tc>
          <w:tcPr>
            <w:tcW w:w="110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Shares or</w:t>
            </w:r>
          </w:p>
        </w:tc>
        <w:tc>
          <w:tcPr>
            <w:tcW w:w="220" w:type="dxa"/>
            <w:vAlign w:val="bottom"/>
            <w:tcBorders>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Units of</w:t>
            </w:r>
          </w:p>
        </w:tc>
        <w:tc>
          <w:tcPr>
            <w:tcW w:w="14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Units or</w:t>
            </w:r>
          </w:p>
        </w:tc>
        <w:tc>
          <w:tcPr>
            <w:tcW w:w="13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Units or</w:t>
            </w:r>
          </w:p>
        </w:tc>
        <w:tc>
          <w:tcPr>
            <w:tcW w:w="0" w:type="dxa"/>
            <w:vAlign w:val="bottom"/>
          </w:tcPr>
          <w:p>
            <w:pPr>
              <w:spacing w:after="0"/>
              <w:rPr>
                <w:sz w:val="1"/>
                <w:szCs w:val="1"/>
                <w:color w:val="auto"/>
              </w:rPr>
            </w:pPr>
          </w:p>
        </w:tc>
      </w:tr>
      <w:tr>
        <w:trPr>
          <w:trHeight w:val="162"/>
        </w:trPr>
        <w:tc>
          <w:tcPr>
            <w:tcW w:w="2860" w:type="dxa"/>
            <w:vAlign w:val="bottom"/>
            <w:tcBorders>
              <w:left w:val="single" w:sz="8" w:color="434F69"/>
              <w:right w:val="single" w:sz="8" w:color="434F69"/>
            </w:tcBorders>
            <w:shd w:val="clear" w:color="auto" w:fill="434F69"/>
          </w:tcPr>
          <w:p>
            <w:pPr>
              <w:spacing w:after="0"/>
              <w:rPr>
                <w:sz w:val="14"/>
                <w:szCs w:val="14"/>
                <w:color w:val="auto"/>
              </w:rPr>
            </w:pPr>
          </w:p>
        </w:tc>
        <w:tc>
          <w:tcPr>
            <w:tcW w:w="110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Units of Stock</w:t>
            </w:r>
          </w:p>
        </w:tc>
        <w:tc>
          <w:tcPr>
            <w:tcW w:w="220" w:type="dxa"/>
            <w:vAlign w:val="bottom"/>
            <w:tcBorders>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Stock That</w:t>
            </w:r>
          </w:p>
        </w:tc>
        <w:tc>
          <w:tcPr>
            <w:tcW w:w="14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Other Rights</w:t>
            </w:r>
          </w:p>
        </w:tc>
        <w:tc>
          <w:tcPr>
            <w:tcW w:w="13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Other Rights</w:t>
            </w:r>
          </w:p>
        </w:tc>
        <w:tc>
          <w:tcPr>
            <w:tcW w:w="0" w:type="dxa"/>
            <w:vAlign w:val="bottom"/>
          </w:tcPr>
          <w:p>
            <w:pPr>
              <w:spacing w:after="0"/>
              <w:rPr>
                <w:sz w:val="1"/>
                <w:szCs w:val="1"/>
                <w:color w:val="auto"/>
              </w:rPr>
            </w:pPr>
          </w:p>
        </w:tc>
      </w:tr>
      <w:tr>
        <w:trPr>
          <w:trHeight w:val="151"/>
        </w:trPr>
        <w:tc>
          <w:tcPr>
            <w:tcW w:w="2860" w:type="dxa"/>
            <w:vAlign w:val="bottom"/>
            <w:tcBorders>
              <w:left w:val="single" w:sz="8" w:color="434F69"/>
              <w:right w:val="single" w:sz="8" w:color="434F69"/>
            </w:tcBorders>
            <w:vMerge w:val="restart"/>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100" w:type="dxa"/>
            <w:vAlign w:val="bottom"/>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That Have</w:t>
            </w:r>
          </w:p>
        </w:tc>
        <w:tc>
          <w:tcPr>
            <w:tcW w:w="220" w:type="dxa"/>
            <w:vAlign w:val="bottom"/>
            <w:tcBorders>
              <w:right w:val="single" w:sz="8" w:color="434F69"/>
            </w:tcBorders>
            <w:shd w:val="clear" w:color="auto" w:fill="434F69"/>
          </w:tcPr>
          <w:p>
            <w:pPr>
              <w:spacing w:after="0"/>
              <w:rPr>
                <w:sz w:val="13"/>
                <w:szCs w:val="13"/>
                <w:color w:val="auto"/>
              </w:rPr>
            </w:pPr>
          </w:p>
        </w:tc>
        <w:tc>
          <w:tcPr>
            <w:tcW w:w="126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Have Not</w:t>
            </w:r>
          </w:p>
        </w:tc>
        <w:tc>
          <w:tcPr>
            <w:tcW w:w="140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That Have</w:t>
            </w:r>
          </w:p>
        </w:tc>
        <w:tc>
          <w:tcPr>
            <w:tcW w:w="138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That Have</w:t>
            </w:r>
          </w:p>
        </w:tc>
        <w:tc>
          <w:tcPr>
            <w:tcW w:w="0" w:type="dxa"/>
            <w:vAlign w:val="bottom"/>
          </w:tcPr>
          <w:p>
            <w:pPr>
              <w:spacing w:after="0"/>
              <w:rPr>
                <w:sz w:val="1"/>
                <w:szCs w:val="1"/>
                <w:color w:val="auto"/>
              </w:rPr>
            </w:pPr>
          </w:p>
        </w:tc>
      </w:tr>
      <w:tr>
        <w:trPr>
          <w:trHeight w:val="226"/>
        </w:trPr>
        <w:tc>
          <w:tcPr>
            <w:tcW w:w="2860" w:type="dxa"/>
            <w:vAlign w:val="bottom"/>
            <w:tcBorders>
              <w:left w:val="single" w:sz="8" w:color="434F69"/>
              <w:right w:val="single" w:sz="8" w:color="434F69"/>
            </w:tcBorders>
            <w:vMerge w:val="continue"/>
            <w:shd w:val="clear" w:color="auto" w:fill="434F69"/>
          </w:tcPr>
          <w:p>
            <w:pPr>
              <w:spacing w:after="0"/>
              <w:rPr>
                <w:sz w:val="19"/>
                <w:szCs w:val="19"/>
                <w:color w:val="auto"/>
              </w:rPr>
            </w:pPr>
          </w:p>
        </w:tc>
        <w:tc>
          <w:tcPr>
            <w:tcW w:w="110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9"/>
              </w:rPr>
              <w:t>Not Vested (#)</w:t>
            </w:r>
          </w:p>
        </w:tc>
        <w:tc>
          <w:tcPr>
            <w:tcW w:w="220" w:type="dxa"/>
            <w:vAlign w:val="bottom"/>
            <w:tcBorders>
              <w:right w:val="single" w:sz="8" w:color="434F69"/>
            </w:tcBorders>
            <w:shd w:val="clear" w:color="auto" w:fill="434F69"/>
          </w:tcPr>
          <w:p>
            <w:pPr>
              <w:spacing w:after="0"/>
              <w:rPr>
                <w:sz w:val="19"/>
                <w:szCs w:val="19"/>
                <w:color w:val="auto"/>
              </w:rPr>
            </w:pP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6"/>
              </w:rPr>
              <w:t>Vested ($)</w:t>
            </w:r>
            <w:r>
              <w:rPr>
                <w:rFonts w:ascii="Arial" w:cs="Arial" w:eastAsia="Arial" w:hAnsi="Arial"/>
                <w:sz w:val="17"/>
                <w:szCs w:val="17"/>
                <w:b w:val="1"/>
                <w:bCs w:val="1"/>
                <w:color w:val="FFFFFF"/>
                <w:w w:val="96"/>
                <w:vertAlign w:val="superscript"/>
              </w:rPr>
              <w:t>(1)</w:t>
            </w:r>
          </w:p>
        </w:tc>
        <w:tc>
          <w:tcPr>
            <w:tcW w:w="14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Not Vested (#)</w:t>
            </w:r>
          </w:p>
        </w:tc>
        <w:tc>
          <w:tcPr>
            <w:tcW w:w="1380" w:type="dxa"/>
            <w:vAlign w:val="bottom"/>
            <w:tcBorders>
              <w:right w:val="single" w:sz="8" w:color="434F69"/>
            </w:tcBorders>
            <w:shd w:val="clear" w:color="auto" w:fill="434F69"/>
          </w:tcPr>
          <w:p>
            <w:pPr>
              <w:jc w:val="center"/>
              <w:ind w:left="36"/>
              <w:spacing w:after="0"/>
              <w:rPr>
                <w:sz w:val="20"/>
                <w:szCs w:val="20"/>
                <w:color w:val="auto"/>
              </w:rPr>
            </w:pPr>
            <w:r>
              <w:rPr>
                <w:rFonts w:ascii="Arial" w:cs="Arial" w:eastAsia="Arial" w:hAnsi="Arial"/>
                <w:sz w:val="14"/>
                <w:szCs w:val="14"/>
                <w:b w:val="1"/>
                <w:bCs w:val="1"/>
                <w:color w:val="FFFFFF"/>
                <w:w w:val="98"/>
              </w:rPr>
              <w:t>Not Vested ($)</w:t>
            </w:r>
            <w:r>
              <w:rPr>
                <w:rFonts w:ascii="Arial" w:cs="Arial" w:eastAsia="Arial" w:hAnsi="Arial"/>
                <w:sz w:val="17"/>
                <w:szCs w:val="17"/>
                <w:b w:val="1"/>
                <w:bCs w:val="1"/>
                <w:color w:val="FFFFFF"/>
                <w:w w:val="98"/>
                <w:vertAlign w:val="superscript"/>
              </w:rPr>
              <w:t>(1)</w:t>
            </w:r>
          </w:p>
        </w:tc>
        <w:tc>
          <w:tcPr>
            <w:tcW w:w="0" w:type="dxa"/>
            <w:vAlign w:val="bottom"/>
          </w:tcPr>
          <w:p>
            <w:pPr>
              <w:spacing w:after="0"/>
              <w:rPr>
                <w:sz w:val="1"/>
                <w:szCs w:val="1"/>
                <w:color w:val="auto"/>
              </w:rPr>
            </w:pPr>
          </w:p>
        </w:tc>
      </w:tr>
      <w:tr>
        <w:trPr>
          <w:trHeight w:val="223"/>
        </w:trPr>
        <w:tc>
          <w:tcPr>
            <w:tcW w:w="28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Willie Chiang</w:t>
            </w:r>
          </w:p>
        </w:tc>
        <w:tc>
          <w:tcPr>
            <w:tcW w:w="1100" w:type="dxa"/>
            <w:vAlign w:val="bottom"/>
            <w:tcBorders>
              <w:bottom w:val="single" w:sz="8" w:color="434F69"/>
            </w:tcBorders>
          </w:tcPr>
          <w:p>
            <w:pPr>
              <w:jc w:val="right"/>
              <w:spacing w:after="0" w:line="223" w:lineRule="exact"/>
              <w:rPr>
                <w:sz w:val="20"/>
                <w:szCs w:val="20"/>
                <w:color w:val="auto"/>
              </w:rPr>
            </w:pPr>
            <w:r>
              <w:rPr>
                <w:rFonts w:ascii="Arial" w:cs="Arial" w:eastAsia="Arial" w:hAnsi="Arial"/>
                <w:sz w:val="18"/>
                <w:szCs w:val="18"/>
                <w:color w:val="auto"/>
              </w:rPr>
              <w:t>375,521</w:t>
            </w:r>
            <w:r>
              <w:rPr>
                <w:rFonts w:ascii="Arial" w:cs="Arial" w:eastAsia="Arial" w:hAnsi="Arial"/>
                <w:sz w:val="23"/>
                <w:szCs w:val="23"/>
                <w:color w:val="auto"/>
                <w:vertAlign w:val="superscript"/>
              </w:rPr>
              <w:t>(2)</w:t>
            </w:r>
          </w:p>
        </w:tc>
        <w:tc>
          <w:tcPr>
            <w:tcW w:w="220" w:type="dxa"/>
            <w:vAlign w:val="bottom"/>
            <w:tcBorders>
              <w:top w:val="single" w:sz="8" w:color="434F69"/>
              <w:bottom w:val="single" w:sz="8" w:color="434F69"/>
              <w:right w:val="single" w:sz="8" w:color="434F69"/>
            </w:tcBorders>
          </w:tcPr>
          <w:p>
            <w:pPr>
              <w:spacing w:after="0"/>
              <w:rPr>
                <w:sz w:val="19"/>
                <w:szCs w:val="19"/>
                <w:color w:val="auto"/>
              </w:rPr>
            </w:pPr>
          </w:p>
        </w:tc>
        <w:tc>
          <w:tcPr>
            <w:tcW w:w="1260" w:type="dxa"/>
            <w:vAlign w:val="bottom"/>
            <w:tcBorders>
              <w:top w:val="single" w:sz="8" w:color="434F69"/>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3,584,378</w:t>
            </w:r>
          </w:p>
        </w:tc>
        <w:tc>
          <w:tcPr>
            <w:tcW w:w="1400" w:type="dxa"/>
            <w:vAlign w:val="bottom"/>
            <w:tcBorders>
              <w:top w:val="single" w:sz="8" w:color="434F69"/>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434F69"/>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320" w:type="dxa"/>
            <w:vAlign w:val="bottom"/>
            <w:tcBorders>
              <w:bottom w:val="single" w:sz="8" w:color="434F69"/>
              <w:right w:val="single" w:sz="8" w:color="434F69"/>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434F69"/>
              <w:right w:val="single" w:sz="8" w:color="434F69"/>
            </w:tcBorders>
          </w:tcPr>
          <w:p>
            <w:pPr>
              <w:jc w:val="right"/>
              <w:ind w:right="155"/>
              <w:spacing w:after="0" w:line="236" w:lineRule="exact"/>
              <w:rPr>
                <w:sz w:val="20"/>
                <w:szCs w:val="20"/>
                <w:color w:val="auto"/>
              </w:rPr>
            </w:pPr>
            <w:r>
              <w:rPr>
                <w:rFonts w:ascii="Arial" w:cs="Arial" w:eastAsia="Arial" w:hAnsi="Arial"/>
                <w:sz w:val="18"/>
                <w:szCs w:val="18"/>
                <w:color w:val="auto"/>
              </w:rPr>
              <w:t>500,000</w:t>
            </w:r>
            <w:r>
              <w:rPr>
                <w:rFonts w:ascii="Arial" w:cs="Arial" w:eastAsia="Arial" w:hAnsi="Arial"/>
                <w:sz w:val="23"/>
                <w:szCs w:val="23"/>
                <w:color w:val="auto"/>
                <w:vertAlign w:val="superscript"/>
              </w:rPr>
              <w:t>(3)</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4,670,000</w:t>
            </w:r>
          </w:p>
        </w:tc>
        <w:tc>
          <w:tcPr>
            <w:tcW w:w="0" w:type="dxa"/>
            <w:vAlign w:val="bottom"/>
          </w:tcPr>
          <w:p>
            <w:pPr>
              <w:spacing w:after="0"/>
              <w:rPr>
                <w:sz w:val="1"/>
                <w:szCs w:val="1"/>
                <w:color w:val="auto"/>
              </w:rPr>
            </w:pPr>
          </w:p>
        </w:tc>
      </w:tr>
      <w:tr>
        <w:trPr>
          <w:trHeight w:val="237"/>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100" w:type="dxa"/>
            <w:vAlign w:val="bottom"/>
            <w:tcBorders>
              <w:bottom w:val="single" w:sz="8" w:color="434F69"/>
            </w:tcBorders>
          </w:tcPr>
          <w:p>
            <w:pPr>
              <w:jc w:val="right"/>
              <w:spacing w:after="0" w:line="236" w:lineRule="exact"/>
              <w:rPr>
                <w:sz w:val="20"/>
                <w:szCs w:val="20"/>
                <w:color w:val="auto"/>
              </w:rPr>
            </w:pPr>
            <w:r>
              <w:rPr>
                <w:rFonts w:ascii="Arial" w:cs="Arial" w:eastAsia="Arial" w:hAnsi="Arial"/>
                <w:sz w:val="18"/>
                <w:szCs w:val="18"/>
                <w:color w:val="auto"/>
              </w:rPr>
              <w:t>62,870</w:t>
            </w:r>
            <w:r>
              <w:rPr>
                <w:rFonts w:ascii="Arial" w:cs="Arial" w:eastAsia="Arial" w:hAnsi="Arial"/>
                <w:sz w:val="23"/>
                <w:szCs w:val="23"/>
                <w:color w:val="auto"/>
                <w:vertAlign w:val="superscript"/>
              </w:rPr>
              <w:t>(4)</w:t>
            </w:r>
          </w:p>
        </w:tc>
        <w:tc>
          <w:tcPr>
            <w:tcW w:w="220" w:type="dxa"/>
            <w:vAlign w:val="bottom"/>
            <w:tcBorders>
              <w:bottom w:val="single" w:sz="8" w:color="434F69"/>
              <w:right w:val="single" w:sz="8" w:color="434F69"/>
            </w:tcBorders>
          </w:tcPr>
          <w:p>
            <w:pPr>
              <w:spacing w:after="0"/>
              <w:rPr>
                <w:sz w:val="20"/>
                <w:szCs w:val="20"/>
                <w:color w:val="auto"/>
              </w:rPr>
            </w:pP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587,206</w:t>
            </w:r>
          </w:p>
        </w:tc>
        <w:tc>
          <w:tcPr>
            <w:tcW w:w="1400" w:type="dxa"/>
            <w:vAlign w:val="bottom"/>
            <w:tcBorders>
              <w:bottom w:val="single" w:sz="8" w:color="434F69"/>
              <w:right w:val="single" w:sz="8" w:color="434F69"/>
            </w:tcBorders>
          </w:tcPr>
          <w:p>
            <w:pPr>
              <w:jc w:val="right"/>
              <w:ind w:right="155"/>
              <w:spacing w:after="0" w:line="236" w:lineRule="exact"/>
              <w:rPr>
                <w:sz w:val="20"/>
                <w:szCs w:val="20"/>
                <w:color w:val="auto"/>
              </w:rPr>
            </w:pPr>
            <w:r>
              <w:rPr>
                <w:rFonts w:ascii="Arial" w:cs="Arial" w:eastAsia="Arial" w:hAnsi="Arial"/>
                <w:sz w:val="18"/>
                <w:szCs w:val="18"/>
                <w:color w:val="auto"/>
              </w:rPr>
              <w:t>62,870</w:t>
            </w:r>
            <w:r>
              <w:rPr>
                <w:rFonts w:ascii="Arial" w:cs="Arial" w:eastAsia="Arial" w:hAnsi="Arial"/>
                <w:sz w:val="23"/>
                <w:szCs w:val="23"/>
                <w:color w:val="auto"/>
                <w:vertAlign w:val="superscript"/>
              </w:rPr>
              <w:t>(5)</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587,206</w:t>
            </w:r>
          </w:p>
        </w:tc>
        <w:tc>
          <w:tcPr>
            <w:tcW w:w="0" w:type="dxa"/>
            <w:vAlign w:val="bottom"/>
          </w:tcPr>
          <w:p>
            <w:pPr>
              <w:spacing w:after="0"/>
              <w:rPr>
                <w:sz w:val="1"/>
                <w:szCs w:val="1"/>
                <w:color w:val="auto"/>
              </w:rPr>
            </w:pPr>
          </w:p>
        </w:tc>
      </w:tr>
      <w:tr>
        <w:trPr>
          <w:trHeight w:val="236"/>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320" w:type="dxa"/>
            <w:vAlign w:val="bottom"/>
            <w:tcBorders>
              <w:bottom w:val="single" w:sz="8" w:color="434F69"/>
              <w:right w:val="single" w:sz="8" w:color="434F69"/>
            </w:tcBorders>
            <w:gridSpan w:val="2"/>
          </w:tcPr>
          <w:p>
            <w:pPr>
              <w:jc w:val="right"/>
              <w:ind w:right="200"/>
              <w:spacing w:after="0" w:line="236" w:lineRule="exact"/>
              <w:rPr>
                <w:sz w:val="20"/>
                <w:szCs w:val="20"/>
                <w:color w:val="auto"/>
              </w:rPr>
            </w:pPr>
            <w:r>
              <w:rPr>
                <w:rFonts w:ascii="Arial" w:cs="Arial" w:eastAsia="Arial" w:hAnsi="Arial"/>
                <w:sz w:val="18"/>
                <w:szCs w:val="18"/>
                <w:color w:val="auto"/>
              </w:rPr>
              <w:t>187,970</w:t>
            </w:r>
            <w:r>
              <w:rPr>
                <w:rFonts w:ascii="Arial" w:cs="Arial" w:eastAsia="Arial" w:hAnsi="Arial"/>
                <w:sz w:val="23"/>
                <w:szCs w:val="23"/>
                <w:color w:val="auto"/>
                <w:vertAlign w:val="superscript"/>
              </w:rPr>
              <w:t>(10)</w:t>
            </w: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1,755,640</w:t>
            </w:r>
          </w:p>
        </w:tc>
        <w:tc>
          <w:tcPr>
            <w:tcW w:w="1400" w:type="dxa"/>
            <w:vAlign w:val="bottom"/>
            <w:tcBorders>
              <w:bottom w:val="single" w:sz="8" w:color="434F69"/>
              <w:right w:val="single" w:sz="8" w:color="434F69"/>
            </w:tcBorders>
          </w:tcPr>
          <w:p>
            <w:pPr>
              <w:jc w:val="right"/>
              <w:ind w:right="95"/>
              <w:spacing w:after="0" w:line="236" w:lineRule="exact"/>
              <w:rPr>
                <w:sz w:val="20"/>
                <w:szCs w:val="20"/>
                <w:color w:val="auto"/>
              </w:rPr>
            </w:pPr>
            <w:r>
              <w:rPr>
                <w:rFonts w:ascii="Arial" w:cs="Arial" w:eastAsia="Arial" w:hAnsi="Arial"/>
                <w:sz w:val="18"/>
                <w:szCs w:val="18"/>
                <w:color w:val="auto"/>
              </w:rPr>
              <w:t>187,970</w:t>
            </w:r>
            <w:r>
              <w:rPr>
                <w:rFonts w:ascii="Arial" w:cs="Arial" w:eastAsia="Arial" w:hAnsi="Arial"/>
                <w:sz w:val="23"/>
                <w:szCs w:val="23"/>
                <w:color w:val="auto"/>
                <w:vertAlign w:val="superscript"/>
              </w:rPr>
              <w:t>(11)</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1,755,640</w:t>
            </w:r>
          </w:p>
        </w:tc>
        <w:tc>
          <w:tcPr>
            <w:tcW w:w="0" w:type="dxa"/>
            <w:vAlign w:val="bottom"/>
          </w:tcPr>
          <w:p>
            <w:pPr>
              <w:spacing w:after="0"/>
              <w:rPr>
                <w:sz w:val="1"/>
                <w:szCs w:val="1"/>
                <w:color w:val="auto"/>
              </w:rPr>
            </w:pPr>
          </w:p>
        </w:tc>
      </w:tr>
      <w:tr>
        <w:trPr>
          <w:trHeight w:val="237"/>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320" w:type="dxa"/>
            <w:vAlign w:val="bottom"/>
            <w:tcBorders>
              <w:bottom w:val="single" w:sz="8" w:color="434F69"/>
              <w:right w:val="single" w:sz="8" w:color="434F69"/>
            </w:tcBorders>
            <w:gridSpan w:val="2"/>
          </w:tcPr>
          <w:p>
            <w:pPr>
              <w:jc w:val="right"/>
              <w:ind w:right="200"/>
              <w:spacing w:after="0" w:line="236" w:lineRule="exact"/>
              <w:rPr>
                <w:sz w:val="20"/>
                <w:szCs w:val="20"/>
                <w:color w:val="auto"/>
              </w:rPr>
            </w:pPr>
            <w:r>
              <w:rPr>
                <w:rFonts w:ascii="Arial" w:cs="Arial" w:eastAsia="Arial" w:hAnsi="Arial"/>
                <w:sz w:val="18"/>
                <w:szCs w:val="18"/>
                <w:color w:val="auto"/>
              </w:rPr>
              <w:t>150,300</w:t>
            </w:r>
            <w:r>
              <w:rPr>
                <w:rFonts w:ascii="Arial" w:cs="Arial" w:eastAsia="Arial" w:hAnsi="Arial"/>
                <w:sz w:val="23"/>
                <w:szCs w:val="23"/>
                <w:color w:val="auto"/>
                <w:vertAlign w:val="superscript"/>
              </w:rPr>
              <w:t>(12)</w:t>
            </w: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1,403,802</w:t>
            </w:r>
          </w:p>
        </w:tc>
        <w:tc>
          <w:tcPr>
            <w:tcW w:w="1400" w:type="dxa"/>
            <w:vAlign w:val="bottom"/>
            <w:tcBorders>
              <w:bottom w:val="single" w:sz="8" w:color="434F69"/>
              <w:right w:val="single" w:sz="8" w:color="434F69"/>
            </w:tcBorders>
          </w:tcPr>
          <w:p>
            <w:pPr>
              <w:jc w:val="right"/>
              <w:ind w:right="95"/>
              <w:spacing w:after="0" w:line="236" w:lineRule="exact"/>
              <w:rPr>
                <w:sz w:val="20"/>
                <w:szCs w:val="20"/>
                <w:color w:val="auto"/>
              </w:rPr>
            </w:pPr>
            <w:r>
              <w:rPr>
                <w:rFonts w:ascii="Arial" w:cs="Arial" w:eastAsia="Arial" w:hAnsi="Arial"/>
                <w:sz w:val="18"/>
                <w:szCs w:val="18"/>
                <w:color w:val="auto"/>
              </w:rPr>
              <w:t>150,300</w:t>
            </w:r>
            <w:r>
              <w:rPr>
                <w:rFonts w:ascii="Arial" w:cs="Arial" w:eastAsia="Arial" w:hAnsi="Arial"/>
                <w:sz w:val="23"/>
                <w:szCs w:val="23"/>
                <w:color w:val="auto"/>
                <w:vertAlign w:val="superscript"/>
              </w:rPr>
              <w:t>(13)</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1,403,802</w:t>
            </w:r>
          </w:p>
        </w:tc>
        <w:tc>
          <w:tcPr>
            <w:tcW w:w="0" w:type="dxa"/>
            <w:vAlign w:val="bottom"/>
          </w:tcPr>
          <w:p>
            <w:pPr>
              <w:spacing w:after="0"/>
              <w:rPr>
                <w:sz w:val="1"/>
                <w:szCs w:val="1"/>
                <w:color w:val="auto"/>
              </w:rPr>
            </w:pPr>
          </w:p>
        </w:tc>
      </w:tr>
      <w:tr>
        <w:trPr>
          <w:trHeight w:val="277"/>
        </w:trPr>
        <w:tc>
          <w:tcPr>
            <w:tcW w:w="28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100" w:type="dxa"/>
            <w:vAlign w:val="bottom"/>
            <w:tcBorders>
              <w:bottom w:val="single" w:sz="8" w:color="434F69"/>
            </w:tcBorders>
            <w:shd w:val="clear" w:color="auto" w:fill="D9DCE1"/>
          </w:tcPr>
          <w:p>
            <w:pPr>
              <w:spacing w:after="0"/>
              <w:rPr>
                <w:sz w:val="24"/>
                <w:szCs w:val="24"/>
                <w:color w:val="auto"/>
              </w:rPr>
            </w:pPr>
          </w:p>
        </w:tc>
        <w:tc>
          <w:tcPr>
            <w:tcW w:w="220" w:type="dxa"/>
            <w:vAlign w:val="bottom"/>
            <w:tcBorders>
              <w:bottom w:val="single" w:sz="8" w:color="434F69"/>
              <w:right w:val="single" w:sz="8" w:color="434F69"/>
            </w:tcBorders>
            <w:shd w:val="clear" w:color="auto" w:fill="D9DCE1"/>
          </w:tcPr>
          <w:p>
            <w:pPr>
              <w:spacing w:after="0"/>
              <w:rPr>
                <w:sz w:val="24"/>
                <w:szCs w:val="24"/>
                <w:color w:val="auto"/>
              </w:rPr>
            </w:pPr>
          </w:p>
        </w:tc>
        <w:tc>
          <w:tcPr>
            <w:tcW w:w="1260" w:type="dxa"/>
            <w:vAlign w:val="bottom"/>
            <w:tcBorders>
              <w:bottom w:val="single" w:sz="8" w:color="434F69"/>
              <w:right w:val="single" w:sz="8" w:color="434F69"/>
            </w:tcBorders>
            <w:shd w:val="clear" w:color="auto" w:fill="D9DCE1"/>
          </w:tcPr>
          <w:p>
            <w:pPr>
              <w:spacing w:after="0"/>
              <w:rPr>
                <w:sz w:val="24"/>
                <w:szCs w:val="24"/>
                <w:color w:val="auto"/>
              </w:rPr>
            </w:pPr>
          </w:p>
        </w:tc>
        <w:tc>
          <w:tcPr>
            <w:tcW w:w="1400" w:type="dxa"/>
            <w:vAlign w:val="bottom"/>
            <w:tcBorders>
              <w:bottom w:val="single" w:sz="8" w:color="434F69"/>
              <w:right w:val="single" w:sz="8" w:color="434F69"/>
            </w:tcBorders>
            <w:shd w:val="clear" w:color="auto" w:fill="D9DCE1"/>
          </w:tcPr>
          <w:p>
            <w:pPr>
              <w:spacing w:after="0"/>
              <w:rPr>
                <w:sz w:val="24"/>
                <w:szCs w:val="24"/>
                <w:color w:val="auto"/>
              </w:rPr>
            </w:pPr>
          </w:p>
        </w:tc>
        <w:tc>
          <w:tcPr>
            <w:tcW w:w="138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1320" w:type="dxa"/>
            <w:vAlign w:val="bottom"/>
            <w:tcBorders>
              <w:bottom w:val="single" w:sz="8" w:color="434F69"/>
              <w:right w:val="single" w:sz="8" w:color="434F69"/>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28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100" w:type="dxa"/>
            <w:vAlign w:val="bottom"/>
            <w:tcBorders>
              <w:bottom w:val="single" w:sz="8" w:color="434F69"/>
            </w:tcBorders>
            <w:shd w:val="clear" w:color="auto" w:fill="D9DCE1"/>
          </w:tcPr>
          <w:p>
            <w:pPr>
              <w:spacing w:after="0"/>
              <w:rPr>
                <w:sz w:val="24"/>
                <w:szCs w:val="24"/>
                <w:color w:val="auto"/>
              </w:rPr>
            </w:pPr>
          </w:p>
        </w:tc>
        <w:tc>
          <w:tcPr>
            <w:tcW w:w="220" w:type="dxa"/>
            <w:vAlign w:val="bottom"/>
            <w:tcBorders>
              <w:bottom w:val="single" w:sz="8" w:color="434F69"/>
              <w:right w:val="single" w:sz="8" w:color="434F69"/>
            </w:tcBorders>
            <w:shd w:val="clear" w:color="auto" w:fill="D9DCE1"/>
          </w:tcPr>
          <w:p>
            <w:pPr>
              <w:spacing w:after="0"/>
              <w:rPr>
                <w:sz w:val="24"/>
                <w:szCs w:val="24"/>
                <w:color w:val="auto"/>
              </w:rPr>
            </w:pPr>
          </w:p>
        </w:tc>
        <w:tc>
          <w:tcPr>
            <w:tcW w:w="1260" w:type="dxa"/>
            <w:vAlign w:val="bottom"/>
            <w:tcBorders>
              <w:bottom w:val="single" w:sz="8" w:color="434F69"/>
              <w:right w:val="single" w:sz="8" w:color="434F69"/>
            </w:tcBorders>
            <w:shd w:val="clear" w:color="auto" w:fill="D9DCE1"/>
          </w:tcPr>
          <w:p>
            <w:pPr>
              <w:spacing w:after="0"/>
              <w:rPr>
                <w:sz w:val="24"/>
                <w:szCs w:val="24"/>
                <w:color w:val="auto"/>
              </w:rPr>
            </w:pPr>
          </w:p>
        </w:tc>
        <w:tc>
          <w:tcPr>
            <w:tcW w:w="1400" w:type="dxa"/>
            <w:vAlign w:val="bottom"/>
            <w:tcBorders>
              <w:bottom w:val="single" w:sz="8" w:color="434F69"/>
              <w:right w:val="single" w:sz="8" w:color="434F69"/>
            </w:tcBorders>
            <w:shd w:val="clear" w:color="auto" w:fill="D9DCE1"/>
          </w:tcPr>
          <w:p>
            <w:pPr>
              <w:spacing w:after="0"/>
              <w:rPr>
                <w:sz w:val="24"/>
                <w:szCs w:val="24"/>
                <w:color w:val="auto"/>
              </w:rPr>
            </w:pPr>
          </w:p>
        </w:tc>
        <w:tc>
          <w:tcPr>
            <w:tcW w:w="138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 Swanson</w:t>
            </w:r>
          </w:p>
        </w:tc>
        <w:tc>
          <w:tcPr>
            <w:tcW w:w="1100" w:type="dxa"/>
            <w:vAlign w:val="bottom"/>
            <w:tcBorders>
              <w:bottom w:val="single" w:sz="8" w:color="434F69"/>
            </w:tcBorders>
          </w:tcPr>
          <w:p>
            <w:pPr>
              <w:jc w:val="right"/>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(4)</w:t>
            </w:r>
          </w:p>
        </w:tc>
        <w:tc>
          <w:tcPr>
            <w:tcW w:w="220" w:type="dxa"/>
            <w:vAlign w:val="bottom"/>
            <w:tcBorders>
              <w:bottom w:val="single" w:sz="8" w:color="434F69"/>
              <w:right w:val="single" w:sz="8" w:color="434F69"/>
            </w:tcBorders>
          </w:tcPr>
          <w:p>
            <w:pPr>
              <w:spacing w:after="0"/>
              <w:rPr>
                <w:sz w:val="20"/>
                <w:szCs w:val="20"/>
                <w:color w:val="auto"/>
              </w:rPr>
            </w:pP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234,901</w:t>
            </w:r>
          </w:p>
        </w:tc>
        <w:tc>
          <w:tcPr>
            <w:tcW w:w="1400" w:type="dxa"/>
            <w:vAlign w:val="bottom"/>
            <w:tcBorders>
              <w:bottom w:val="single" w:sz="8" w:color="434F69"/>
              <w:right w:val="single" w:sz="8" w:color="434F69"/>
            </w:tcBorders>
          </w:tcPr>
          <w:p>
            <w:pPr>
              <w:jc w:val="right"/>
              <w:ind w:right="155"/>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(5)</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234,901</w:t>
            </w:r>
          </w:p>
        </w:tc>
        <w:tc>
          <w:tcPr>
            <w:tcW w:w="0" w:type="dxa"/>
            <w:vAlign w:val="bottom"/>
          </w:tcPr>
          <w:p>
            <w:pPr>
              <w:spacing w:after="0"/>
              <w:rPr>
                <w:sz w:val="1"/>
                <w:szCs w:val="1"/>
                <w:color w:val="auto"/>
              </w:rPr>
            </w:pPr>
          </w:p>
        </w:tc>
      </w:tr>
      <w:tr>
        <w:trPr>
          <w:trHeight w:val="236"/>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320" w:type="dxa"/>
            <w:vAlign w:val="bottom"/>
            <w:tcBorders>
              <w:bottom w:val="single" w:sz="8" w:color="434F69"/>
              <w:right w:val="single" w:sz="8" w:color="434F69"/>
            </w:tcBorders>
            <w:gridSpan w:val="2"/>
          </w:tcPr>
          <w:p>
            <w:pPr>
              <w:jc w:val="right"/>
              <w:ind w:right="200"/>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(10)</w:t>
            </w: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702,275</w:t>
            </w:r>
          </w:p>
        </w:tc>
        <w:tc>
          <w:tcPr>
            <w:tcW w:w="1400" w:type="dxa"/>
            <w:vAlign w:val="bottom"/>
            <w:tcBorders>
              <w:bottom w:val="single" w:sz="8" w:color="434F69"/>
              <w:right w:val="single" w:sz="8" w:color="434F69"/>
            </w:tcBorders>
          </w:tcPr>
          <w:p>
            <w:pPr>
              <w:jc w:val="right"/>
              <w:ind w:right="95"/>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(11)</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702,275</w:t>
            </w:r>
          </w:p>
        </w:tc>
        <w:tc>
          <w:tcPr>
            <w:tcW w:w="0" w:type="dxa"/>
            <w:vAlign w:val="bottom"/>
          </w:tcPr>
          <w:p>
            <w:pPr>
              <w:spacing w:after="0"/>
              <w:rPr>
                <w:sz w:val="1"/>
                <w:szCs w:val="1"/>
                <w:color w:val="auto"/>
              </w:rPr>
            </w:pPr>
          </w:p>
        </w:tc>
      </w:tr>
      <w:tr>
        <w:trPr>
          <w:trHeight w:val="237"/>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320" w:type="dxa"/>
            <w:vAlign w:val="bottom"/>
            <w:tcBorders>
              <w:bottom w:val="single" w:sz="8" w:color="434F69"/>
              <w:right w:val="single" w:sz="8" w:color="434F69"/>
            </w:tcBorders>
            <w:gridSpan w:val="2"/>
          </w:tcPr>
          <w:p>
            <w:pPr>
              <w:jc w:val="right"/>
              <w:ind w:right="200"/>
              <w:spacing w:after="0" w:line="236" w:lineRule="exact"/>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(12)</w:t>
            </w: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561,334</w:t>
            </w:r>
          </w:p>
        </w:tc>
        <w:tc>
          <w:tcPr>
            <w:tcW w:w="1400" w:type="dxa"/>
            <w:vAlign w:val="bottom"/>
            <w:tcBorders>
              <w:bottom w:val="single" w:sz="8" w:color="434F69"/>
              <w:right w:val="single" w:sz="8" w:color="434F69"/>
            </w:tcBorders>
          </w:tcPr>
          <w:p>
            <w:pPr>
              <w:jc w:val="right"/>
              <w:ind w:right="95"/>
              <w:spacing w:after="0" w:line="236" w:lineRule="exact"/>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(13)</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561,334</w:t>
            </w:r>
          </w:p>
        </w:tc>
        <w:tc>
          <w:tcPr>
            <w:tcW w:w="0" w:type="dxa"/>
            <w:vAlign w:val="bottom"/>
          </w:tcPr>
          <w:p>
            <w:pPr>
              <w:spacing w:after="0"/>
              <w:rPr>
                <w:sz w:val="1"/>
                <w:szCs w:val="1"/>
                <w:color w:val="auto"/>
              </w:rPr>
            </w:pPr>
          </w:p>
        </w:tc>
      </w:tr>
      <w:tr>
        <w:trPr>
          <w:trHeight w:val="277"/>
        </w:trPr>
        <w:tc>
          <w:tcPr>
            <w:tcW w:w="28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100" w:type="dxa"/>
            <w:vAlign w:val="bottom"/>
            <w:tcBorders>
              <w:bottom w:val="single" w:sz="8" w:color="434F69"/>
            </w:tcBorders>
            <w:shd w:val="clear" w:color="auto" w:fill="D9DCE1"/>
          </w:tcPr>
          <w:p>
            <w:pPr>
              <w:spacing w:after="0"/>
              <w:rPr>
                <w:sz w:val="24"/>
                <w:szCs w:val="24"/>
                <w:color w:val="auto"/>
              </w:rPr>
            </w:pPr>
          </w:p>
        </w:tc>
        <w:tc>
          <w:tcPr>
            <w:tcW w:w="220" w:type="dxa"/>
            <w:vAlign w:val="bottom"/>
            <w:tcBorders>
              <w:bottom w:val="single" w:sz="8" w:color="434F69"/>
              <w:right w:val="single" w:sz="8" w:color="434F69"/>
            </w:tcBorders>
            <w:shd w:val="clear" w:color="auto" w:fill="D9DCE1"/>
          </w:tcPr>
          <w:p>
            <w:pPr>
              <w:spacing w:after="0"/>
              <w:rPr>
                <w:sz w:val="24"/>
                <w:szCs w:val="24"/>
                <w:color w:val="auto"/>
              </w:rPr>
            </w:pPr>
          </w:p>
        </w:tc>
        <w:tc>
          <w:tcPr>
            <w:tcW w:w="1260" w:type="dxa"/>
            <w:vAlign w:val="bottom"/>
            <w:tcBorders>
              <w:bottom w:val="single" w:sz="8" w:color="434F69"/>
              <w:right w:val="single" w:sz="8" w:color="434F69"/>
            </w:tcBorders>
            <w:shd w:val="clear" w:color="auto" w:fill="D9DCE1"/>
          </w:tcPr>
          <w:p>
            <w:pPr>
              <w:spacing w:after="0"/>
              <w:rPr>
                <w:sz w:val="24"/>
                <w:szCs w:val="24"/>
                <w:color w:val="auto"/>
              </w:rPr>
            </w:pPr>
          </w:p>
        </w:tc>
        <w:tc>
          <w:tcPr>
            <w:tcW w:w="1400" w:type="dxa"/>
            <w:vAlign w:val="bottom"/>
            <w:tcBorders>
              <w:bottom w:val="single" w:sz="8" w:color="434F69"/>
              <w:right w:val="single" w:sz="8" w:color="434F69"/>
            </w:tcBorders>
            <w:shd w:val="clear" w:color="auto" w:fill="D9DCE1"/>
          </w:tcPr>
          <w:p>
            <w:pPr>
              <w:spacing w:after="0"/>
              <w:rPr>
                <w:sz w:val="24"/>
                <w:szCs w:val="24"/>
                <w:color w:val="auto"/>
              </w:rPr>
            </w:pPr>
          </w:p>
        </w:tc>
        <w:tc>
          <w:tcPr>
            <w:tcW w:w="138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100" w:type="dxa"/>
            <w:vAlign w:val="bottom"/>
            <w:tcBorders>
              <w:bottom w:val="single" w:sz="8" w:color="434F69"/>
            </w:tcBorders>
          </w:tcPr>
          <w:p>
            <w:pPr>
              <w:jc w:val="right"/>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(4)</w:t>
            </w:r>
          </w:p>
        </w:tc>
        <w:tc>
          <w:tcPr>
            <w:tcW w:w="220" w:type="dxa"/>
            <w:vAlign w:val="bottom"/>
            <w:tcBorders>
              <w:bottom w:val="single" w:sz="8" w:color="434F69"/>
              <w:right w:val="single" w:sz="8" w:color="434F69"/>
            </w:tcBorders>
          </w:tcPr>
          <w:p>
            <w:pPr>
              <w:spacing w:after="0"/>
              <w:rPr>
                <w:sz w:val="20"/>
                <w:szCs w:val="20"/>
                <w:color w:val="auto"/>
              </w:rPr>
            </w:pP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234,901</w:t>
            </w:r>
          </w:p>
        </w:tc>
        <w:tc>
          <w:tcPr>
            <w:tcW w:w="1400" w:type="dxa"/>
            <w:vAlign w:val="bottom"/>
            <w:tcBorders>
              <w:bottom w:val="single" w:sz="8" w:color="434F69"/>
              <w:right w:val="single" w:sz="8" w:color="434F69"/>
            </w:tcBorders>
          </w:tcPr>
          <w:p>
            <w:pPr>
              <w:jc w:val="right"/>
              <w:ind w:right="155"/>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(5)</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234,901</w:t>
            </w:r>
          </w:p>
        </w:tc>
        <w:tc>
          <w:tcPr>
            <w:tcW w:w="0" w:type="dxa"/>
            <w:vAlign w:val="bottom"/>
          </w:tcPr>
          <w:p>
            <w:pPr>
              <w:spacing w:after="0"/>
              <w:rPr>
                <w:sz w:val="1"/>
                <w:szCs w:val="1"/>
                <w:color w:val="auto"/>
              </w:rPr>
            </w:pPr>
          </w:p>
        </w:tc>
      </w:tr>
      <w:tr>
        <w:trPr>
          <w:trHeight w:val="237"/>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320" w:type="dxa"/>
            <w:vAlign w:val="bottom"/>
            <w:tcBorders>
              <w:bottom w:val="single" w:sz="8" w:color="434F69"/>
              <w:right w:val="single" w:sz="8" w:color="434F69"/>
            </w:tcBorders>
            <w:gridSpan w:val="2"/>
          </w:tcPr>
          <w:p>
            <w:pPr>
              <w:jc w:val="right"/>
              <w:ind w:right="200"/>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(10)</w:t>
            </w: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702,275</w:t>
            </w:r>
          </w:p>
        </w:tc>
        <w:tc>
          <w:tcPr>
            <w:tcW w:w="1400" w:type="dxa"/>
            <w:vAlign w:val="bottom"/>
            <w:tcBorders>
              <w:bottom w:val="single" w:sz="8" w:color="434F69"/>
              <w:right w:val="single" w:sz="8" w:color="434F69"/>
            </w:tcBorders>
          </w:tcPr>
          <w:p>
            <w:pPr>
              <w:jc w:val="right"/>
              <w:ind w:right="95"/>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(11)</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702,275</w:t>
            </w:r>
          </w:p>
        </w:tc>
        <w:tc>
          <w:tcPr>
            <w:tcW w:w="0" w:type="dxa"/>
            <w:vAlign w:val="bottom"/>
          </w:tcPr>
          <w:p>
            <w:pPr>
              <w:spacing w:after="0"/>
              <w:rPr>
                <w:sz w:val="1"/>
                <w:szCs w:val="1"/>
                <w:color w:val="auto"/>
              </w:rPr>
            </w:pPr>
          </w:p>
        </w:tc>
      </w:tr>
      <w:tr>
        <w:trPr>
          <w:trHeight w:val="236"/>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320" w:type="dxa"/>
            <w:vAlign w:val="bottom"/>
            <w:tcBorders>
              <w:bottom w:val="single" w:sz="8" w:color="434F69"/>
              <w:right w:val="single" w:sz="8" w:color="434F69"/>
            </w:tcBorders>
            <w:gridSpan w:val="2"/>
          </w:tcPr>
          <w:p>
            <w:pPr>
              <w:jc w:val="right"/>
              <w:ind w:right="200"/>
              <w:spacing w:after="0" w:line="236" w:lineRule="exact"/>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(12)</w:t>
            </w: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561,334</w:t>
            </w:r>
          </w:p>
        </w:tc>
        <w:tc>
          <w:tcPr>
            <w:tcW w:w="1400" w:type="dxa"/>
            <w:vAlign w:val="bottom"/>
            <w:tcBorders>
              <w:bottom w:val="single" w:sz="8" w:color="434F69"/>
              <w:right w:val="single" w:sz="8" w:color="434F69"/>
            </w:tcBorders>
          </w:tcPr>
          <w:p>
            <w:pPr>
              <w:jc w:val="right"/>
              <w:ind w:right="95"/>
              <w:spacing w:after="0" w:line="236" w:lineRule="exact"/>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(13)</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561,334</w:t>
            </w:r>
          </w:p>
        </w:tc>
        <w:tc>
          <w:tcPr>
            <w:tcW w:w="0" w:type="dxa"/>
            <w:vAlign w:val="bottom"/>
          </w:tcPr>
          <w:p>
            <w:pPr>
              <w:spacing w:after="0"/>
              <w:rPr>
                <w:sz w:val="1"/>
                <w:szCs w:val="1"/>
                <w:color w:val="auto"/>
              </w:rPr>
            </w:pPr>
          </w:p>
        </w:tc>
      </w:tr>
      <w:tr>
        <w:trPr>
          <w:trHeight w:val="277"/>
        </w:trPr>
        <w:tc>
          <w:tcPr>
            <w:tcW w:w="28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100" w:type="dxa"/>
            <w:vAlign w:val="bottom"/>
            <w:tcBorders>
              <w:bottom w:val="single" w:sz="8" w:color="434F69"/>
            </w:tcBorders>
            <w:shd w:val="clear" w:color="auto" w:fill="D9DCE1"/>
          </w:tcPr>
          <w:p>
            <w:pPr>
              <w:spacing w:after="0"/>
              <w:rPr>
                <w:sz w:val="24"/>
                <w:szCs w:val="24"/>
                <w:color w:val="auto"/>
              </w:rPr>
            </w:pPr>
          </w:p>
        </w:tc>
        <w:tc>
          <w:tcPr>
            <w:tcW w:w="220" w:type="dxa"/>
            <w:vAlign w:val="bottom"/>
            <w:tcBorders>
              <w:bottom w:val="single" w:sz="8" w:color="434F69"/>
              <w:right w:val="single" w:sz="8" w:color="434F69"/>
            </w:tcBorders>
            <w:shd w:val="clear" w:color="auto" w:fill="D9DCE1"/>
          </w:tcPr>
          <w:p>
            <w:pPr>
              <w:spacing w:after="0"/>
              <w:rPr>
                <w:sz w:val="24"/>
                <w:szCs w:val="24"/>
                <w:color w:val="auto"/>
              </w:rPr>
            </w:pPr>
          </w:p>
        </w:tc>
        <w:tc>
          <w:tcPr>
            <w:tcW w:w="1260" w:type="dxa"/>
            <w:vAlign w:val="bottom"/>
            <w:tcBorders>
              <w:bottom w:val="single" w:sz="8" w:color="434F69"/>
              <w:right w:val="single" w:sz="8" w:color="434F69"/>
            </w:tcBorders>
            <w:shd w:val="clear" w:color="auto" w:fill="D9DCE1"/>
          </w:tcPr>
          <w:p>
            <w:pPr>
              <w:spacing w:after="0"/>
              <w:rPr>
                <w:sz w:val="24"/>
                <w:szCs w:val="24"/>
                <w:color w:val="auto"/>
              </w:rPr>
            </w:pPr>
          </w:p>
        </w:tc>
        <w:tc>
          <w:tcPr>
            <w:tcW w:w="1400" w:type="dxa"/>
            <w:vAlign w:val="bottom"/>
            <w:tcBorders>
              <w:bottom w:val="single" w:sz="8" w:color="434F69"/>
              <w:right w:val="single" w:sz="8" w:color="434F69"/>
            </w:tcBorders>
            <w:shd w:val="clear" w:color="auto" w:fill="D9DCE1"/>
          </w:tcPr>
          <w:p>
            <w:pPr>
              <w:spacing w:after="0"/>
              <w:rPr>
                <w:sz w:val="24"/>
                <w:szCs w:val="24"/>
                <w:color w:val="auto"/>
              </w:rPr>
            </w:pPr>
          </w:p>
        </w:tc>
        <w:tc>
          <w:tcPr>
            <w:tcW w:w="138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Chris Chandler</w:t>
            </w:r>
          </w:p>
        </w:tc>
        <w:tc>
          <w:tcPr>
            <w:tcW w:w="1100" w:type="dxa"/>
            <w:vAlign w:val="bottom"/>
            <w:tcBorders>
              <w:bottom w:val="single" w:sz="8" w:color="434F69"/>
            </w:tcBorders>
          </w:tcPr>
          <w:p>
            <w:pPr>
              <w:jc w:val="right"/>
              <w:spacing w:after="0" w:line="236" w:lineRule="exact"/>
              <w:rPr>
                <w:sz w:val="20"/>
                <w:szCs w:val="20"/>
                <w:color w:val="auto"/>
              </w:rPr>
            </w:pPr>
            <w:r>
              <w:rPr>
                <w:rFonts w:ascii="Arial" w:cs="Arial" w:eastAsia="Arial" w:hAnsi="Arial"/>
                <w:sz w:val="18"/>
                <w:szCs w:val="18"/>
                <w:color w:val="auto"/>
              </w:rPr>
              <w:t>45,000</w:t>
            </w:r>
            <w:r>
              <w:rPr>
                <w:rFonts w:ascii="Arial" w:cs="Arial" w:eastAsia="Arial" w:hAnsi="Arial"/>
                <w:sz w:val="23"/>
                <w:szCs w:val="23"/>
                <w:color w:val="auto"/>
                <w:vertAlign w:val="superscript"/>
              </w:rPr>
              <w:t>(7)</w:t>
            </w:r>
          </w:p>
        </w:tc>
        <w:tc>
          <w:tcPr>
            <w:tcW w:w="220" w:type="dxa"/>
            <w:vAlign w:val="bottom"/>
            <w:tcBorders>
              <w:bottom w:val="single" w:sz="8" w:color="434F69"/>
              <w:right w:val="single" w:sz="8" w:color="434F69"/>
            </w:tcBorders>
          </w:tcPr>
          <w:p>
            <w:pPr>
              <w:spacing w:after="0"/>
              <w:rPr>
                <w:sz w:val="20"/>
                <w:szCs w:val="20"/>
                <w:color w:val="auto"/>
              </w:rPr>
            </w:pP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420,300</w:t>
            </w:r>
          </w:p>
        </w:tc>
        <w:tc>
          <w:tcPr>
            <w:tcW w:w="140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100" w:type="dxa"/>
            <w:vAlign w:val="bottom"/>
            <w:tcBorders>
              <w:bottom w:val="single" w:sz="8" w:color="434F69"/>
            </w:tcBorders>
          </w:tcPr>
          <w:p>
            <w:pPr>
              <w:jc w:val="right"/>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(4)</w:t>
            </w:r>
          </w:p>
        </w:tc>
        <w:tc>
          <w:tcPr>
            <w:tcW w:w="220" w:type="dxa"/>
            <w:vAlign w:val="bottom"/>
            <w:tcBorders>
              <w:bottom w:val="single" w:sz="8" w:color="434F69"/>
              <w:right w:val="single" w:sz="8" w:color="434F69"/>
            </w:tcBorders>
          </w:tcPr>
          <w:p>
            <w:pPr>
              <w:spacing w:after="0"/>
              <w:rPr>
                <w:sz w:val="20"/>
                <w:szCs w:val="20"/>
                <w:color w:val="auto"/>
              </w:rPr>
            </w:pP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234,901</w:t>
            </w:r>
          </w:p>
        </w:tc>
        <w:tc>
          <w:tcPr>
            <w:tcW w:w="1400" w:type="dxa"/>
            <w:vAlign w:val="bottom"/>
            <w:tcBorders>
              <w:bottom w:val="single" w:sz="8" w:color="434F69"/>
              <w:right w:val="single" w:sz="8" w:color="434F69"/>
            </w:tcBorders>
          </w:tcPr>
          <w:p>
            <w:pPr>
              <w:jc w:val="right"/>
              <w:ind w:right="155"/>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(5)</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234,901</w:t>
            </w:r>
          </w:p>
        </w:tc>
        <w:tc>
          <w:tcPr>
            <w:tcW w:w="0" w:type="dxa"/>
            <w:vAlign w:val="bottom"/>
          </w:tcPr>
          <w:p>
            <w:pPr>
              <w:spacing w:after="0"/>
              <w:rPr>
                <w:sz w:val="1"/>
                <w:szCs w:val="1"/>
                <w:color w:val="auto"/>
              </w:rPr>
            </w:pPr>
          </w:p>
        </w:tc>
      </w:tr>
      <w:tr>
        <w:trPr>
          <w:trHeight w:val="237"/>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100" w:type="dxa"/>
            <w:vAlign w:val="bottom"/>
            <w:tcBorders>
              <w:bottom w:val="single" w:sz="8" w:color="434F69"/>
            </w:tcBorders>
          </w:tcPr>
          <w:p>
            <w:pPr>
              <w:jc w:val="right"/>
              <w:spacing w:after="0" w:line="236" w:lineRule="exact"/>
              <w:rPr>
                <w:sz w:val="20"/>
                <w:szCs w:val="20"/>
                <w:color w:val="auto"/>
              </w:rPr>
            </w:pPr>
            <w:r>
              <w:rPr>
                <w:rFonts w:ascii="Arial" w:cs="Arial" w:eastAsia="Arial" w:hAnsi="Arial"/>
                <w:sz w:val="18"/>
                <w:szCs w:val="18"/>
                <w:color w:val="auto"/>
              </w:rPr>
              <w:t>250,000</w:t>
            </w:r>
            <w:r>
              <w:rPr>
                <w:rFonts w:ascii="Arial" w:cs="Arial" w:eastAsia="Arial" w:hAnsi="Arial"/>
                <w:sz w:val="23"/>
                <w:szCs w:val="23"/>
                <w:color w:val="auto"/>
                <w:vertAlign w:val="superscript"/>
              </w:rPr>
              <w:t>(6)</w:t>
            </w:r>
          </w:p>
        </w:tc>
        <w:tc>
          <w:tcPr>
            <w:tcW w:w="220" w:type="dxa"/>
            <w:vAlign w:val="bottom"/>
            <w:tcBorders>
              <w:bottom w:val="single" w:sz="8" w:color="434F69"/>
              <w:right w:val="single" w:sz="8" w:color="434F69"/>
            </w:tcBorders>
          </w:tcPr>
          <w:p>
            <w:pPr>
              <w:spacing w:after="0"/>
              <w:rPr>
                <w:sz w:val="20"/>
                <w:szCs w:val="20"/>
                <w:color w:val="auto"/>
              </w:rPr>
            </w:pP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2,335,000</w:t>
            </w:r>
          </w:p>
        </w:tc>
        <w:tc>
          <w:tcPr>
            <w:tcW w:w="1400" w:type="dxa"/>
            <w:vAlign w:val="bottom"/>
            <w:tcBorders>
              <w:bottom w:val="single" w:sz="8" w:color="434F69"/>
              <w:right w:val="single" w:sz="8" w:color="434F69"/>
            </w:tcBorders>
          </w:tcPr>
          <w:p>
            <w:pPr>
              <w:jc w:val="right"/>
              <w:ind w:right="155"/>
              <w:spacing w:after="0" w:line="236" w:lineRule="exact"/>
              <w:rPr>
                <w:sz w:val="20"/>
                <w:szCs w:val="20"/>
                <w:color w:val="auto"/>
              </w:rPr>
            </w:pPr>
            <w:r>
              <w:rPr>
                <w:rFonts w:ascii="Arial" w:cs="Arial" w:eastAsia="Arial" w:hAnsi="Arial"/>
                <w:sz w:val="18"/>
                <w:szCs w:val="18"/>
                <w:color w:val="auto"/>
              </w:rPr>
              <w:t>250,000</w:t>
            </w:r>
            <w:r>
              <w:rPr>
                <w:rFonts w:ascii="Arial" w:cs="Arial" w:eastAsia="Arial" w:hAnsi="Arial"/>
                <w:sz w:val="23"/>
                <w:szCs w:val="23"/>
                <w:color w:val="auto"/>
                <w:vertAlign w:val="superscript"/>
              </w:rPr>
              <w:t>(6)</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2,335,000</w:t>
            </w:r>
          </w:p>
        </w:tc>
        <w:tc>
          <w:tcPr>
            <w:tcW w:w="0" w:type="dxa"/>
            <w:vAlign w:val="bottom"/>
          </w:tcPr>
          <w:p>
            <w:pPr>
              <w:spacing w:after="0"/>
              <w:rPr>
                <w:sz w:val="1"/>
                <w:szCs w:val="1"/>
                <w:color w:val="auto"/>
              </w:rPr>
            </w:pPr>
          </w:p>
        </w:tc>
      </w:tr>
      <w:tr>
        <w:trPr>
          <w:trHeight w:val="236"/>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320" w:type="dxa"/>
            <w:vAlign w:val="bottom"/>
            <w:tcBorders>
              <w:bottom w:val="single" w:sz="8" w:color="434F69"/>
              <w:right w:val="single" w:sz="8" w:color="434F69"/>
            </w:tcBorders>
            <w:gridSpan w:val="2"/>
          </w:tcPr>
          <w:p>
            <w:pPr>
              <w:jc w:val="right"/>
              <w:ind w:right="200"/>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(10)</w:t>
            </w: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702,275</w:t>
            </w:r>
          </w:p>
        </w:tc>
        <w:tc>
          <w:tcPr>
            <w:tcW w:w="1400" w:type="dxa"/>
            <w:vAlign w:val="bottom"/>
            <w:tcBorders>
              <w:bottom w:val="single" w:sz="8" w:color="434F69"/>
              <w:right w:val="single" w:sz="8" w:color="434F69"/>
            </w:tcBorders>
          </w:tcPr>
          <w:p>
            <w:pPr>
              <w:jc w:val="right"/>
              <w:ind w:right="95"/>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(11)</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702,275</w:t>
            </w:r>
          </w:p>
        </w:tc>
        <w:tc>
          <w:tcPr>
            <w:tcW w:w="0" w:type="dxa"/>
            <w:vAlign w:val="bottom"/>
          </w:tcPr>
          <w:p>
            <w:pPr>
              <w:spacing w:after="0"/>
              <w:rPr>
                <w:sz w:val="1"/>
                <w:szCs w:val="1"/>
                <w:color w:val="auto"/>
              </w:rPr>
            </w:pPr>
          </w:p>
        </w:tc>
      </w:tr>
      <w:tr>
        <w:trPr>
          <w:trHeight w:val="264"/>
        </w:trPr>
        <w:tc>
          <w:tcPr>
            <w:tcW w:w="2860" w:type="dxa"/>
            <w:vAlign w:val="bottom"/>
            <w:tcBorders>
              <w:left w:val="single" w:sz="8" w:color="434F69"/>
              <w:bottom w:val="single" w:sz="8" w:color="434F69"/>
              <w:right w:val="single" w:sz="8" w:color="434F69"/>
            </w:tcBorders>
          </w:tcPr>
          <w:p>
            <w:pPr>
              <w:spacing w:after="0"/>
              <w:rPr>
                <w:sz w:val="22"/>
                <w:szCs w:val="22"/>
                <w:color w:val="auto"/>
              </w:rPr>
            </w:pPr>
          </w:p>
        </w:tc>
        <w:tc>
          <w:tcPr>
            <w:tcW w:w="1320" w:type="dxa"/>
            <w:vAlign w:val="bottom"/>
            <w:tcBorders>
              <w:bottom w:val="single" w:sz="8" w:color="434F69"/>
              <w:right w:val="single" w:sz="8" w:color="434F69"/>
            </w:tcBorders>
            <w:gridSpan w:val="2"/>
          </w:tcPr>
          <w:p>
            <w:pPr>
              <w:jc w:val="right"/>
              <w:ind w:right="200"/>
              <w:spacing w:after="0"/>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(12)</w:t>
            </w: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561,334</w:t>
            </w:r>
          </w:p>
        </w:tc>
        <w:tc>
          <w:tcPr>
            <w:tcW w:w="140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(13)</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561,334</w:t>
            </w:r>
          </w:p>
        </w:tc>
        <w:tc>
          <w:tcPr>
            <w:tcW w:w="0" w:type="dxa"/>
            <w:vAlign w:val="bottom"/>
          </w:tcPr>
          <w:p>
            <w:pPr>
              <w:spacing w:after="0"/>
              <w:rPr>
                <w:sz w:val="1"/>
                <w:szCs w:val="1"/>
                <w:color w:val="auto"/>
              </w:rPr>
            </w:pPr>
          </w:p>
        </w:tc>
      </w:tr>
      <w:tr>
        <w:trPr>
          <w:trHeight w:val="277"/>
        </w:trPr>
        <w:tc>
          <w:tcPr>
            <w:tcW w:w="28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100" w:type="dxa"/>
            <w:vAlign w:val="bottom"/>
            <w:tcBorders>
              <w:bottom w:val="single" w:sz="8" w:color="434F69"/>
            </w:tcBorders>
            <w:shd w:val="clear" w:color="auto" w:fill="D9DCE1"/>
          </w:tcPr>
          <w:p>
            <w:pPr>
              <w:spacing w:after="0"/>
              <w:rPr>
                <w:sz w:val="24"/>
                <w:szCs w:val="24"/>
                <w:color w:val="auto"/>
              </w:rPr>
            </w:pPr>
          </w:p>
        </w:tc>
        <w:tc>
          <w:tcPr>
            <w:tcW w:w="220" w:type="dxa"/>
            <w:vAlign w:val="bottom"/>
            <w:tcBorders>
              <w:bottom w:val="single" w:sz="8" w:color="434F69"/>
              <w:right w:val="single" w:sz="8" w:color="434F69"/>
            </w:tcBorders>
            <w:shd w:val="clear" w:color="auto" w:fill="D9DCE1"/>
          </w:tcPr>
          <w:p>
            <w:pPr>
              <w:spacing w:after="0"/>
              <w:rPr>
                <w:sz w:val="24"/>
                <w:szCs w:val="24"/>
                <w:color w:val="auto"/>
              </w:rPr>
            </w:pPr>
          </w:p>
        </w:tc>
        <w:tc>
          <w:tcPr>
            <w:tcW w:w="1260" w:type="dxa"/>
            <w:vAlign w:val="bottom"/>
            <w:tcBorders>
              <w:bottom w:val="single" w:sz="8" w:color="434F69"/>
              <w:right w:val="single" w:sz="8" w:color="434F69"/>
            </w:tcBorders>
            <w:shd w:val="clear" w:color="auto" w:fill="D9DCE1"/>
          </w:tcPr>
          <w:p>
            <w:pPr>
              <w:spacing w:after="0"/>
              <w:rPr>
                <w:sz w:val="24"/>
                <w:szCs w:val="24"/>
                <w:color w:val="auto"/>
              </w:rPr>
            </w:pPr>
          </w:p>
        </w:tc>
        <w:tc>
          <w:tcPr>
            <w:tcW w:w="1400" w:type="dxa"/>
            <w:vAlign w:val="bottom"/>
            <w:tcBorders>
              <w:bottom w:val="single" w:sz="8" w:color="434F69"/>
              <w:right w:val="single" w:sz="8" w:color="434F69"/>
            </w:tcBorders>
            <w:shd w:val="clear" w:color="auto" w:fill="D9DCE1"/>
          </w:tcPr>
          <w:p>
            <w:pPr>
              <w:spacing w:after="0"/>
              <w:rPr>
                <w:sz w:val="24"/>
                <w:szCs w:val="24"/>
                <w:color w:val="auto"/>
              </w:rPr>
            </w:pPr>
          </w:p>
        </w:tc>
        <w:tc>
          <w:tcPr>
            <w:tcW w:w="138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100" w:type="dxa"/>
            <w:vAlign w:val="bottom"/>
            <w:tcBorders>
              <w:bottom w:val="single" w:sz="8" w:color="434F69"/>
            </w:tcBorders>
          </w:tcPr>
          <w:p>
            <w:pPr>
              <w:jc w:val="right"/>
              <w:spacing w:after="0" w:line="236" w:lineRule="exact"/>
              <w:rPr>
                <w:sz w:val="20"/>
                <w:szCs w:val="20"/>
                <w:color w:val="auto"/>
              </w:rPr>
            </w:pPr>
            <w:r>
              <w:rPr>
                <w:rFonts w:ascii="Arial" w:cs="Arial" w:eastAsia="Arial" w:hAnsi="Arial"/>
                <w:sz w:val="18"/>
                <w:szCs w:val="18"/>
                <w:color w:val="auto"/>
              </w:rPr>
              <w:t>37,552</w:t>
            </w:r>
            <w:r>
              <w:rPr>
                <w:rFonts w:ascii="Arial" w:cs="Arial" w:eastAsia="Arial" w:hAnsi="Arial"/>
                <w:sz w:val="23"/>
                <w:szCs w:val="23"/>
                <w:color w:val="auto"/>
                <w:vertAlign w:val="superscript"/>
              </w:rPr>
              <w:t>(8)</w:t>
            </w:r>
          </w:p>
        </w:tc>
        <w:tc>
          <w:tcPr>
            <w:tcW w:w="220" w:type="dxa"/>
            <w:vAlign w:val="bottom"/>
            <w:tcBorders>
              <w:bottom w:val="single" w:sz="8" w:color="434F69"/>
              <w:right w:val="single" w:sz="8" w:color="434F69"/>
            </w:tcBorders>
          </w:tcPr>
          <w:p>
            <w:pPr>
              <w:spacing w:after="0"/>
              <w:rPr>
                <w:sz w:val="20"/>
                <w:szCs w:val="20"/>
                <w:color w:val="auto"/>
              </w:rPr>
            </w:pP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358,449</w:t>
            </w:r>
          </w:p>
        </w:tc>
        <w:tc>
          <w:tcPr>
            <w:tcW w:w="140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100" w:type="dxa"/>
            <w:vAlign w:val="bottom"/>
            <w:tcBorders>
              <w:bottom w:val="single" w:sz="8" w:color="434F69"/>
            </w:tcBorders>
          </w:tcPr>
          <w:p>
            <w:pPr>
              <w:jc w:val="right"/>
              <w:spacing w:after="0" w:line="236" w:lineRule="exact"/>
              <w:rPr>
                <w:sz w:val="20"/>
                <w:szCs w:val="20"/>
                <w:color w:val="auto"/>
              </w:rPr>
            </w:pPr>
            <w:r>
              <w:rPr>
                <w:rFonts w:ascii="Arial" w:cs="Arial" w:eastAsia="Arial" w:hAnsi="Arial"/>
                <w:sz w:val="18"/>
                <w:szCs w:val="18"/>
                <w:color w:val="auto"/>
              </w:rPr>
              <w:t>60,000</w:t>
            </w:r>
            <w:r>
              <w:rPr>
                <w:rFonts w:ascii="Arial" w:cs="Arial" w:eastAsia="Arial" w:hAnsi="Arial"/>
                <w:sz w:val="23"/>
                <w:szCs w:val="23"/>
                <w:color w:val="auto"/>
                <w:vertAlign w:val="superscript"/>
              </w:rPr>
              <w:t>(9)</w:t>
            </w:r>
          </w:p>
        </w:tc>
        <w:tc>
          <w:tcPr>
            <w:tcW w:w="220" w:type="dxa"/>
            <w:vAlign w:val="bottom"/>
            <w:tcBorders>
              <w:bottom w:val="single" w:sz="8" w:color="434F69"/>
              <w:right w:val="single" w:sz="8" w:color="434F69"/>
            </w:tcBorders>
          </w:tcPr>
          <w:p>
            <w:pPr>
              <w:spacing w:after="0"/>
              <w:rPr>
                <w:sz w:val="20"/>
                <w:szCs w:val="20"/>
                <w:color w:val="auto"/>
              </w:rPr>
            </w:pP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560,400</w:t>
            </w:r>
          </w:p>
        </w:tc>
        <w:tc>
          <w:tcPr>
            <w:tcW w:w="1400" w:type="dxa"/>
            <w:vAlign w:val="bottom"/>
            <w:tcBorders>
              <w:bottom w:val="single" w:sz="8" w:color="434F69"/>
              <w:right w:val="single" w:sz="8" w:color="434F69"/>
            </w:tcBorders>
          </w:tcPr>
          <w:p>
            <w:pPr>
              <w:jc w:val="right"/>
              <w:ind w:right="295"/>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100" w:type="dxa"/>
            <w:vAlign w:val="bottom"/>
            <w:tcBorders>
              <w:bottom w:val="single" w:sz="8" w:color="434F69"/>
            </w:tcBorders>
          </w:tcPr>
          <w:p>
            <w:pPr>
              <w:jc w:val="right"/>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(4)</w:t>
            </w:r>
          </w:p>
        </w:tc>
        <w:tc>
          <w:tcPr>
            <w:tcW w:w="220" w:type="dxa"/>
            <w:vAlign w:val="bottom"/>
            <w:tcBorders>
              <w:bottom w:val="single" w:sz="8" w:color="434F69"/>
              <w:right w:val="single" w:sz="8" w:color="434F69"/>
            </w:tcBorders>
          </w:tcPr>
          <w:p>
            <w:pPr>
              <w:spacing w:after="0"/>
              <w:rPr>
                <w:sz w:val="20"/>
                <w:szCs w:val="20"/>
                <w:color w:val="auto"/>
              </w:rPr>
            </w:pP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234,901</w:t>
            </w:r>
          </w:p>
        </w:tc>
        <w:tc>
          <w:tcPr>
            <w:tcW w:w="1400" w:type="dxa"/>
            <w:vAlign w:val="bottom"/>
            <w:tcBorders>
              <w:bottom w:val="single" w:sz="8" w:color="434F69"/>
              <w:right w:val="single" w:sz="8" w:color="434F69"/>
            </w:tcBorders>
          </w:tcPr>
          <w:p>
            <w:pPr>
              <w:jc w:val="right"/>
              <w:ind w:right="155"/>
              <w:spacing w:after="0" w:line="236"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(5)</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234,901</w:t>
            </w:r>
          </w:p>
        </w:tc>
        <w:tc>
          <w:tcPr>
            <w:tcW w:w="0" w:type="dxa"/>
            <w:vAlign w:val="bottom"/>
          </w:tcPr>
          <w:p>
            <w:pPr>
              <w:spacing w:after="0"/>
              <w:rPr>
                <w:sz w:val="1"/>
                <w:szCs w:val="1"/>
                <w:color w:val="auto"/>
              </w:rPr>
            </w:pPr>
          </w:p>
        </w:tc>
      </w:tr>
      <w:tr>
        <w:trPr>
          <w:trHeight w:val="237"/>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100" w:type="dxa"/>
            <w:vAlign w:val="bottom"/>
            <w:tcBorders>
              <w:bottom w:val="single" w:sz="8" w:color="434F69"/>
            </w:tcBorders>
          </w:tcPr>
          <w:p>
            <w:pPr>
              <w:jc w:val="right"/>
              <w:spacing w:after="0" w:line="236" w:lineRule="exact"/>
              <w:rPr>
                <w:sz w:val="20"/>
                <w:szCs w:val="20"/>
                <w:color w:val="auto"/>
              </w:rPr>
            </w:pPr>
            <w:r>
              <w:rPr>
                <w:rFonts w:ascii="Arial" w:cs="Arial" w:eastAsia="Arial" w:hAnsi="Arial"/>
                <w:sz w:val="18"/>
                <w:szCs w:val="18"/>
                <w:color w:val="auto"/>
              </w:rPr>
              <w:t>250,000</w:t>
            </w:r>
            <w:r>
              <w:rPr>
                <w:rFonts w:ascii="Arial" w:cs="Arial" w:eastAsia="Arial" w:hAnsi="Arial"/>
                <w:sz w:val="23"/>
                <w:szCs w:val="23"/>
                <w:color w:val="auto"/>
                <w:vertAlign w:val="superscript"/>
              </w:rPr>
              <w:t>(6)</w:t>
            </w:r>
          </w:p>
        </w:tc>
        <w:tc>
          <w:tcPr>
            <w:tcW w:w="220" w:type="dxa"/>
            <w:vAlign w:val="bottom"/>
            <w:tcBorders>
              <w:bottom w:val="single" w:sz="8" w:color="434F69"/>
              <w:right w:val="single" w:sz="8" w:color="434F69"/>
            </w:tcBorders>
          </w:tcPr>
          <w:p>
            <w:pPr>
              <w:spacing w:after="0"/>
              <w:rPr>
                <w:sz w:val="20"/>
                <w:szCs w:val="20"/>
                <w:color w:val="auto"/>
              </w:rPr>
            </w:pP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2,335,000</w:t>
            </w:r>
          </w:p>
        </w:tc>
        <w:tc>
          <w:tcPr>
            <w:tcW w:w="1400" w:type="dxa"/>
            <w:vAlign w:val="bottom"/>
            <w:tcBorders>
              <w:bottom w:val="single" w:sz="8" w:color="434F69"/>
              <w:right w:val="single" w:sz="8" w:color="434F69"/>
            </w:tcBorders>
          </w:tcPr>
          <w:p>
            <w:pPr>
              <w:jc w:val="right"/>
              <w:ind w:right="155"/>
              <w:spacing w:after="0" w:line="236" w:lineRule="exact"/>
              <w:rPr>
                <w:sz w:val="20"/>
                <w:szCs w:val="20"/>
                <w:color w:val="auto"/>
              </w:rPr>
            </w:pPr>
            <w:r>
              <w:rPr>
                <w:rFonts w:ascii="Arial" w:cs="Arial" w:eastAsia="Arial" w:hAnsi="Arial"/>
                <w:sz w:val="18"/>
                <w:szCs w:val="18"/>
                <w:color w:val="auto"/>
              </w:rPr>
              <w:t>250,000</w:t>
            </w:r>
            <w:r>
              <w:rPr>
                <w:rFonts w:ascii="Arial" w:cs="Arial" w:eastAsia="Arial" w:hAnsi="Arial"/>
                <w:sz w:val="23"/>
                <w:szCs w:val="23"/>
                <w:color w:val="auto"/>
                <w:vertAlign w:val="superscript"/>
              </w:rPr>
              <w:t>(6)</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2,335,000</w:t>
            </w:r>
          </w:p>
        </w:tc>
        <w:tc>
          <w:tcPr>
            <w:tcW w:w="0" w:type="dxa"/>
            <w:vAlign w:val="bottom"/>
          </w:tcPr>
          <w:p>
            <w:pPr>
              <w:spacing w:after="0"/>
              <w:rPr>
                <w:sz w:val="1"/>
                <w:szCs w:val="1"/>
                <w:color w:val="auto"/>
              </w:rPr>
            </w:pPr>
          </w:p>
        </w:tc>
      </w:tr>
      <w:tr>
        <w:trPr>
          <w:trHeight w:val="236"/>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320" w:type="dxa"/>
            <w:vAlign w:val="bottom"/>
            <w:tcBorders>
              <w:bottom w:val="single" w:sz="8" w:color="434F69"/>
              <w:right w:val="single" w:sz="8" w:color="434F69"/>
            </w:tcBorders>
            <w:gridSpan w:val="2"/>
          </w:tcPr>
          <w:p>
            <w:pPr>
              <w:jc w:val="right"/>
              <w:ind w:right="200"/>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(10)</w:t>
            </w: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702,275</w:t>
            </w:r>
          </w:p>
        </w:tc>
        <w:tc>
          <w:tcPr>
            <w:tcW w:w="1400" w:type="dxa"/>
            <w:vAlign w:val="bottom"/>
            <w:tcBorders>
              <w:bottom w:val="single" w:sz="8" w:color="434F69"/>
              <w:right w:val="single" w:sz="8" w:color="434F69"/>
            </w:tcBorders>
          </w:tcPr>
          <w:p>
            <w:pPr>
              <w:jc w:val="right"/>
              <w:ind w:right="95"/>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(11)</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702,275</w:t>
            </w:r>
          </w:p>
        </w:tc>
        <w:tc>
          <w:tcPr>
            <w:tcW w:w="0" w:type="dxa"/>
            <w:vAlign w:val="bottom"/>
          </w:tcPr>
          <w:p>
            <w:pPr>
              <w:spacing w:after="0"/>
              <w:rPr>
                <w:sz w:val="1"/>
                <w:szCs w:val="1"/>
                <w:color w:val="auto"/>
              </w:rPr>
            </w:pPr>
          </w:p>
        </w:tc>
      </w:tr>
      <w:tr>
        <w:trPr>
          <w:trHeight w:val="237"/>
        </w:trPr>
        <w:tc>
          <w:tcPr>
            <w:tcW w:w="2860" w:type="dxa"/>
            <w:vAlign w:val="bottom"/>
            <w:tcBorders>
              <w:left w:val="single" w:sz="8" w:color="434F69"/>
              <w:bottom w:val="single" w:sz="8" w:color="434F69"/>
              <w:right w:val="single" w:sz="8" w:color="434F69"/>
            </w:tcBorders>
          </w:tcPr>
          <w:p>
            <w:pPr>
              <w:spacing w:after="0"/>
              <w:rPr>
                <w:sz w:val="20"/>
                <w:szCs w:val="20"/>
                <w:color w:val="auto"/>
              </w:rPr>
            </w:pPr>
          </w:p>
        </w:tc>
        <w:tc>
          <w:tcPr>
            <w:tcW w:w="1320" w:type="dxa"/>
            <w:vAlign w:val="bottom"/>
            <w:tcBorders>
              <w:bottom w:val="single" w:sz="8" w:color="434F69"/>
              <w:right w:val="single" w:sz="8" w:color="434F69"/>
            </w:tcBorders>
            <w:gridSpan w:val="2"/>
          </w:tcPr>
          <w:p>
            <w:pPr>
              <w:jc w:val="right"/>
              <w:ind w:right="200"/>
              <w:spacing w:after="0" w:line="236" w:lineRule="exact"/>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(12)</w:t>
            </w:r>
          </w:p>
        </w:tc>
        <w:tc>
          <w:tcPr>
            <w:tcW w:w="126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561,334</w:t>
            </w:r>
          </w:p>
        </w:tc>
        <w:tc>
          <w:tcPr>
            <w:tcW w:w="1400" w:type="dxa"/>
            <w:vAlign w:val="bottom"/>
            <w:tcBorders>
              <w:bottom w:val="single" w:sz="8" w:color="434F69"/>
              <w:right w:val="single" w:sz="8" w:color="434F69"/>
            </w:tcBorders>
          </w:tcPr>
          <w:p>
            <w:pPr>
              <w:jc w:val="right"/>
              <w:ind w:right="95"/>
              <w:spacing w:after="0" w:line="236" w:lineRule="exact"/>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(13)</w:t>
            </w:r>
          </w:p>
        </w:tc>
        <w:tc>
          <w:tcPr>
            <w:tcW w:w="13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561,334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620" w:right="479" w:hanging="360"/>
        <w:spacing w:after="0" w:line="244" w:lineRule="auto"/>
        <w:tabs>
          <w:tab w:leader="none" w:pos="1620" w:val="left"/>
        </w:tabs>
        <w:numPr>
          <w:ilvl w:val="0"/>
          <w:numId w:val="49"/>
        </w:numPr>
        <w:rPr>
          <w:rFonts w:ascii="Arial" w:cs="Arial" w:eastAsia="Arial" w:hAnsi="Arial"/>
          <w:sz w:val="26"/>
          <w:szCs w:val="26"/>
          <w:color w:val="auto"/>
          <w:vertAlign w:val="superscript"/>
        </w:rPr>
      </w:pPr>
      <w:r>
        <w:rPr>
          <w:rFonts w:ascii="Arial" w:cs="Arial" w:eastAsia="Arial" w:hAnsi="Arial"/>
          <w:sz w:val="17"/>
          <w:szCs w:val="17"/>
          <w:color w:val="auto"/>
        </w:rPr>
        <w:t>Market value of phantom units reported in these columns is calculated by multiplying the closing market price ($9.34) of PAA’s common units at December 31, 2021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conversion factor of approximately 0.941 AAP units and PAGP Class B shares for each AAP Management Unit,</w:t>
      </w:r>
    </w:p>
    <w:p>
      <w:pPr>
        <w:sectPr>
          <w:pgSz w:w="11900" w:h="16838" w:orient="portrait"/>
          <w:cols w:equalWidth="0" w:num="1">
            <w:col w:w="9879"/>
          </w:cols>
          <w:pgMar w:left="580" w:top="132" w:right="1440" w:bottom="1440" w:gutter="0" w:footer="0" w:header="0"/>
        </w:sectPr>
      </w:pP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79"/>
        <w:spacing w:after="0" w:line="254" w:lineRule="auto"/>
        <w:rPr>
          <w:sz w:val="20"/>
          <w:szCs w:val="20"/>
          <w:color w:val="auto"/>
        </w:rPr>
      </w:pPr>
      <w:r>
        <w:rPr>
          <w:rFonts w:ascii="Arial" w:cs="Arial" w:eastAsia="Arial" w:hAnsi="Arial"/>
          <w:sz w:val="18"/>
          <w:szCs w:val="18"/>
          <w:color w:val="auto"/>
        </w:rPr>
        <w:t>(ii) assuming the exchange of the resulting AAP units and PAGP Class B shares for PAGP Class A shares on a one-for-one basis, and (iii) multiplying such resulting number of PAGP Class A shares by the closing market price ($10.14) of PAGP’s Class A shares at December 31, 2021 (the last trading day of the fiscal year).</w:t>
      </w:r>
    </w:p>
    <w:p>
      <w:pPr>
        <w:spacing w:after="0" w:line="55" w:lineRule="exact"/>
        <w:rPr>
          <w:sz w:val="20"/>
          <w:szCs w:val="20"/>
          <w:color w:val="auto"/>
        </w:rPr>
      </w:pPr>
    </w:p>
    <w:p>
      <w:pPr>
        <w:ind w:left="1620" w:right="479" w:hanging="360"/>
        <w:spacing w:after="0" w:line="222" w:lineRule="auto"/>
        <w:tabs>
          <w:tab w:leader="none" w:pos="162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Represents the pre-conversion number of AAP Management Units originally granted to Mr. Chiang in 2015. All of these AAP Management Units have been earned, but have not yet vested; accordingly, they remain subject to a call right in the event Mr. Chiang’s employment is terminated under certain circumstances prior to December 31, 2022.</w:t>
      </w:r>
    </w:p>
    <w:p>
      <w:pPr>
        <w:spacing w:after="0" w:line="69" w:lineRule="exact"/>
        <w:rPr>
          <w:rFonts w:ascii="Arial" w:cs="Arial" w:eastAsia="Arial" w:hAnsi="Arial"/>
          <w:sz w:val="27"/>
          <w:szCs w:val="27"/>
          <w:color w:val="auto"/>
          <w:vertAlign w:val="superscript"/>
        </w:rPr>
      </w:pPr>
    </w:p>
    <w:p>
      <w:pPr>
        <w:ind w:left="1620" w:right="419" w:hanging="360"/>
        <w:spacing w:after="0" w:line="243" w:lineRule="auto"/>
        <w:tabs>
          <w:tab w:leader="none" w:pos="162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Represents phantom units granted to Mr. Chiang in August 2018. These phantom units, which were granted in connection with Mr. Chiang’s promotion to CEO, will vest as follows: (i) 25% will vest upon the later of October 1, 2023 and the first distribution date on which PAA will have generated DCF per common unit of at least $3.00 on a trailing four quarter basis, and (ii) 75% will vest upon the later of October 1, 2023 and the first distribution date on which PAA will have generated DCF per common unit of at least $3.50 on a trailing four quarter basis, in both cases with the initial performance-related measurement period beginning on or after January 1, 2021. Upon vesting, the phantom units are payable on a one-for-one basis in PAA common units. Any phantom units or DERs that have not vested by October 1, 2025 will expire at that time. The phantom units have associated DERs that have vested or will vest as follows: (i) one-third vested on the May 2019 distribution date as a result of PAA generating DCF per common unit of at least $2.50 on a trailing four quarter basis, (ii) one-third will vest on the first distribution date on which PAA generates DCF per common unit of at least $2.60 on a trailing four quarter basis, and (iii) one-third will vest on the first distribution date on which PAA generates DCF per common unit of at least $2.80 on a trailing four quarter basis; provided that in the case of the performance thresholds described in clauses (ii) and (iii) immediately preceding, the applicable trailing four quarter period must begin on or after January 1, 2020.</w:t>
      </w:r>
    </w:p>
    <w:p>
      <w:pPr>
        <w:spacing w:after="0" w:line="85" w:lineRule="exact"/>
        <w:rPr>
          <w:rFonts w:ascii="Arial" w:cs="Arial" w:eastAsia="Arial" w:hAnsi="Arial"/>
          <w:sz w:val="27"/>
          <w:szCs w:val="27"/>
          <w:color w:val="auto"/>
          <w:vertAlign w:val="superscript"/>
        </w:rPr>
      </w:pPr>
    </w:p>
    <w:p>
      <w:pPr>
        <w:ind w:left="1620" w:right="1039" w:hanging="360"/>
        <w:spacing w:after="0" w:line="200" w:lineRule="auto"/>
        <w:tabs>
          <w:tab w:leader="none" w:pos="162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2019 that will vest on the August 2022 distribution date. The associated DERs vested on the August 2020 distribution date.</w:t>
      </w:r>
    </w:p>
    <w:p>
      <w:pPr>
        <w:spacing w:after="0" w:line="68" w:lineRule="exact"/>
        <w:rPr>
          <w:rFonts w:ascii="Arial" w:cs="Arial" w:eastAsia="Arial" w:hAnsi="Arial"/>
          <w:sz w:val="27"/>
          <w:szCs w:val="27"/>
          <w:color w:val="auto"/>
          <w:vertAlign w:val="superscript"/>
        </w:rPr>
      </w:pPr>
    </w:p>
    <w:p>
      <w:pPr>
        <w:ind w:left="1620" w:right="479" w:hanging="360"/>
        <w:spacing w:after="0" w:line="233" w:lineRule="auto"/>
        <w:tabs>
          <w:tab w:leader="none" w:pos="162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2019 that will vest on the later of the August 2022 distribution date and the first distribution date following PAA’s achievement of DCF per common unit of at least $2.65 on a trailing four quarter basis. The applicable trailing four quarter period for determining whether the requisite DCF per common unit has been achieved for vesting of such phantom units may not begin until after December 31, 2020. The associated DERs will vest on the first distribution date following January 1, 2021 on which PAA achieves DCF per common unit of at least $2.50 on a trailing four quarter basis.</w:t>
      </w:r>
    </w:p>
    <w:p>
      <w:pPr>
        <w:spacing w:after="0" w:line="72" w:lineRule="exact"/>
        <w:rPr>
          <w:rFonts w:ascii="Arial" w:cs="Arial" w:eastAsia="Arial" w:hAnsi="Arial"/>
          <w:sz w:val="27"/>
          <w:szCs w:val="27"/>
          <w:color w:val="auto"/>
          <w:vertAlign w:val="superscript"/>
        </w:rPr>
      </w:pPr>
    </w:p>
    <w:p>
      <w:pPr>
        <w:ind w:left="1620" w:right="439" w:hanging="360"/>
        <w:spacing w:after="0" w:line="243" w:lineRule="auto"/>
        <w:tabs>
          <w:tab w:leader="none" w:pos="162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Represents the applicable portion of one-time special retention phantom unit awards granted in November 2019. As of December 31, 2021, the terms of these phantom units provided that they will vest (i) 50% on the August 2026 distribution date, (ii) 25% on the later of the August 2026 distribution date and the first distribution date following PAA’s achievement of DCF per common unit and CUE of at least $2.80 on a trailing four quarter basis, and (iii) 25% on the later of the August 2026 distribution date and the first distribution date following PAA’s achievement of DCF per common unit and CUE of at least $3.15 on a trailing four quarter basis. The associated DERs have vested or will vest (i) 20% each on the August 2020, August 2021 and August 2022 distribution dates (60% total), (ii) 20% on the first distribution date following PAA’s achievement of DCF per common unit and CUE of at least $2.70 on a trailing four quarter basis, and (iii) 20% on the first distribution date following PAA’s achievement of DCF per common unit and CUE of at least $2.90 on a trailing four quarter basis. The applicable trailing four quarter period for determining whether the requisite DCF per common unit and CUE has been achieved for vesting of phantom units and DERs may not begin until on or after January 1, 2020. Any phantom units that have not vested by the August 2028 distribution date will be forfeited. The vesting terms with respect to the performance-based portion of these phantom units (50% of amount awarded) were amended in February 2022 as described in a Current Report on Form 8-K filed with the Securities and Exchange Commission on February 28, 2022.</w:t>
      </w: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39" w:hanging="360"/>
        <w:spacing w:after="0" w:line="225" w:lineRule="auto"/>
        <w:tabs>
          <w:tab w:leader="none" w:pos="1620" w:val="left"/>
        </w:tabs>
        <w:numPr>
          <w:ilvl w:val="0"/>
          <w:numId w:val="51"/>
        </w:numPr>
        <w:rPr>
          <w:rFonts w:ascii="Arial" w:cs="Arial" w:eastAsia="Arial" w:hAnsi="Arial"/>
          <w:sz w:val="26"/>
          <w:szCs w:val="26"/>
          <w:color w:val="auto"/>
          <w:vertAlign w:val="superscript"/>
        </w:rPr>
      </w:pPr>
      <w:r>
        <w:rPr>
          <w:rFonts w:ascii="Arial" w:cs="Arial" w:eastAsia="Arial" w:hAnsi="Arial"/>
          <w:sz w:val="17"/>
          <w:szCs w:val="17"/>
          <w:color w:val="auto"/>
        </w:rPr>
        <w:t>Represents the unvested portion of phantom units granted to Mr. Chandler in May 2018. These phantom units will vest on the May 2022 distribution date. The phantom units have associated DERs that are currently vested and payable in cash on each distribution payment date.</w:t>
      </w:r>
    </w:p>
    <w:p>
      <w:pPr>
        <w:spacing w:after="0" w:line="68" w:lineRule="exact"/>
        <w:rPr>
          <w:rFonts w:ascii="Arial" w:cs="Arial" w:eastAsia="Arial" w:hAnsi="Arial"/>
          <w:sz w:val="26"/>
          <w:szCs w:val="26"/>
          <w:color w:val="auto"/>
          <w:vertAlign w:val="superscript"/>
        </w:rPr>
      </w:pPr>
    </w:p>
    <w:p>
      <w:pPr>
        <w:ind w:left="1620" w:right="519" w:hanging="360"/>
        <w:spacing w:after="0" w:line="222" w:lineRule="auto"/>
        <w:tabs>
          <w:tab w:leader="none" w:pos="1620" w:val="left"/>
        </w:tabs>
        <w:numPr>
          <w:ilvl w:val="0"/>
          <w:numId w:val="51"/>
        </w:numPr>
        <w:rPr>
          <w:rFonts w:ascii="Arial" w:cs="Arial" w:eastAsia="Arial" w:hAnsi="Arial"/>
          <w:sz w:val="27"/>
          <w:szCs w:val="27"/>
          <w:color w:val="auto"/>
          <w:vertAlign w:val="superscript"/>
        </w:rPr>
      </w:pPr>
      <w:r>
        <w:rPr>
          <w:rFonts w:ascii="Arial" w:cs="Arial" w:eastAsia="Arial" w:hAnsi="Arial"/>
          <w:sz w:val="18"/>
          <w:szCs w:val="18"/>
          <w:color w:val="auto"/>
        </w:rPr>
        <w:t>Represents the pre-conversion number of AAP Management Units granted to Mr. Goebel in July 2015. All of these AAP Management Units have been earned, but have not yet vested; accordingly, they remain subject to a call right in the event Mr. Goebel’s employment is terminated prior to December 31, 2022.</w:t>
      </w:r>
    </w:p>
    <w:p>
      <w:pPr>
        <w:spacing w:after="0" w:line="69" w:lineRule="exact"/>
        <w:rPr>
          <w:rFonts w:ascii="Arial" w:cs="Arial" w:eastAsia="Arial" w:hAnsi="Arial"/>
          <w:sz w:val="27"/>
          <w:szCs w:val="27"/>
          <w:color w:val="auto"/>
          <w:vertAlign w:val="superscript"/>
        </w:rPr>
      </w:pPr>
    </w:p>
    <w:p>
      <w:pPr>
        <w:ind w:left="1620" w:right="499" w:hanging="360"/>
        <w:spacing w:after="0" w:line="222" w:lineRule="auto"/>
        <w:tabs>
          <w:tab w:leader="none" w:pos="1620" w:val="left"/>
        </w:tabs>
        <w:numPr>
          <w:ilvl w:val="0"/>
          <w:numId w:val="51"/>
        </w:numPr>
        <w:rPr>
          <w:rFonts w:ascii="Arial" w:cs="Arial" w:eastAsia="Arial" w:hAnsi="Arial"/>
          <w:sz w:val="27"/>
          <w:szCs w:val="27"/>
          <w:color w:val="auto"/>
          <w:vertAlign w:val="superscript"/>
        </w:rPr>
      </w:pPr>
      <w:r>
        <w:rPr>
          <w:rFonts w:ascii="Arial" w:cs="Arial" w:eastAsia="Arial" w:hAnsi="Arial"/>
          <w:sz w:val="18"/>
          <w:szCs w:val="18"/>
          <w:color w:val="auto"/>
        </w:rPr>
        <w:t>Represents the unvested portion of phantom units granted to Mr. Goebel in December 2017. One-half of these phantom units vested on January 1, 2022 and the other half will vest on January 1, 2023. The phantom units have associated DERs that are currently vested and payable in cash on each distribution payment date.</w:t>
      </w:r>
    </w:p>
    <w:p>
      <w:pPr>
        <w:spacing w:after="0" w:line="83" w:lineRule="exact"/>
        <w:rPr>
          <w:rFonts w:ascii="Arial" w:cs="Arial" w:eastAsia="Arial" w:hAnsi="Arial"/>
          <w:sz w:val="27"/>
          <w:szCs w:val="27"/>
          <w:color w:val="auto"/>
          <w:vertAlign w:val="superscript"/>
        </w:rPr>
      </w:pPr>
    </w:p>
    <w:p>
      <w:pPr>
        <w:ind w:left="1620" w:right="499" w:hanging="360"/>
        <w:spacing w:after="0" w:line="222" w:lineRule="auto"/>
        <w:tabs>
          <w:tab w:leader="none" w:pos="1620" w:val="left"/>
        </w:tabs>
        <w:numPr>
          <w:ilvl w:val="0"/>
          <w:numId w:val="51"/>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2020 that will vest on the August 2023 distribution date. The associated DERs accrued for the first year and such accrued amount was paid in cash in a lump sum on the August 2021 distribution date; beginning in November 2021, the associated DERs began being paid quarterly in cash on each distribution payment date.</w:t>
      </w:r>
    </w:p>
    <w:p>
      <w:pPr>
        <w:spacing w:after="0" w:line="3" w:lineRule="exact"/>
        <w:rPr>
          <w:rFonts w:ascii="Arial" w:cs="Arial" w:eastAsia="Arial" w:hAnsi="Arial"/>
          <w:sz w:val="27"/>
          <w:szCs w:val="27"/>
          <w:color w:val="auto"/>
          <w:vertAlign w:val="superscript"/>
        </w:rPr>
      </w:pPr>
    </w:p>
    <w:p>
      <w:pPr>
        <w:ind w:left="1620" w:hanging="360"/>
        <w:spacing w:after="0" w:line="218" w:lineRule="auto"/>
        <w:tabs>
          <w:tab w:leader="none" w:pos="1620" w:val="left"/>
        </w:tabs>
        <w:numPr>
          <w:ilvl w:val="0"/>
          <w:numId w:val="51"/>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2020 that will potentially vest on the</w:t>
      </w:r>
    </w:p>
    <w:p>
      <w:pPr>
        <w:ind w:left="1620" w:right="439"/>
        <w:spacing w:after="0" w:line="251" w:lineRule="auto"/>
        <w:rPr>
          <w:rFonts w:ascii="Arial" w:cs="Arial" w:eastAsia="Arial" w:hAnsi="Arial"/>
          <w:sz w:val="27"/>
          <w:szCs w:val="27"/>
          <w:color w:val="auto"/>
          <w:vertAlign w:val="superscript"/>
        </w:rPr>
      </w:pPr>
      <w:r>
        <w:rPr>
          <w:rFonts w:ascii="Arial" w:cs="Arial" w:eastAsia="Arial" w:hAnsi="Arial"/>
          <w:sz w:val="18"/>
          <w:szCs w:val="18"/>
          <w:color w:val="auto"/>
        </w:rPr>
        <w:t>August 2023 distribution date at a scaled payout range of between 0% and 200% based on: (i) with respect to 25% of the August 2020 award, PAA’s TSR over the three-year period ending June 30, 2023 compared to the TSR of the TSR Comparator Peer Group (payout may be reduced if absolute TSR is negative); and (ii) with respect to the other 25% of the August 2020 award, PAA achieving cumulative DCF per CUE of $6.00 over the three-year period ending June 30, 2023 (payout may be decreased or increased by 50 gross percentage points (but not above 200%) based on PAA’s leverage ratio as of June 30, 2023 compared to the target leverage ratio set forth in PAA’s multi-year plan as of August 2020). DERs will accrue during the three-year vesting period and be paid in cash in a lump sum on the August 2023 distribution date with respect to the number of phantom units, if any, that vest on such date.</w:t>
      </w:r>
    </w:p>
    <w:p>
      <w:pPr>
        <w:spacing w:after="0" w:line="62" w:lineRule="exact"/>
        <w:rPr>
          <w:rFonts w:ascii="Arial" w:cs="Arial" w:eastAsia="Arial" w:hAnsi="Arial"/>
          <w:sz w:val="27"/>
          <w:szCs w:val="27"/>
          <w:color w:val="auto"/>
          <w:vertAlign w:val="superscript"/>
        </w:rPr>
      </w:pPr>
    </w:p>
    <w:p>
      <w:pPr>
        <w:ind w:left="1620" w:right="539" w:hanging="360"/>
        <w:spacing w:after="0" w:line="222" w:lineRule="auto"/>
        <w:tabs>
          <w:tab w:leader="none" w:pos="1620" w:val="left"/>
        </w:tabs>
        <w:numPr>
          <w:ilvl w:val="0"/>
          <w:numId w:val="51"/>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2021 that will vest on the August 2024 distribution date. The associated DERs will accrue for the first year and such accrued amount will be paid in cash in a lump sum on the August 2022 distribution date; beginning in November 2022, the associated DERs will be paid quarterly in cash on each distribution payment date.</w:t>
      </w:r>
    </w:p>
    <w:p>
      <w:pPr>
        <w:spacing w:after="0" w:line="3" w:lineRule="exact"/>
        <w:rPr>
          <w:rFonts w:ascii="Arial" w:cs="Arial" w:eastAsia="Arial" w:hAnsi="Arial"/>
          <w:sz w:val="27"/>
          <w:szCs w:val="27"/>
          <w:color w:val="auto"/>
          <w:vertAlign w:val="superscript"/>
        </w:rPr>
      </w:pPr>
    </w:p>
    <w:p>
      <w:pPr>
        <w:ind w:left="1620" w:hanging="360"/>
        <w:spacing w:after="0" w:line="228" w:lineRule="auto"/>
        <w:tabs>
          <w:tab w:leader="none" w:pos="1620" w:val="left"/>
        </w:tabs>
        <w:numPr>
          <w:ilvl w:val="0"/>
          <w:numId w:val="51"/>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2021 that will potentially vest on the</w:t>
      </w:r>
    </w:p>
    <w:p>
      <w:pPr>
        <w:spacing w:after="0" w:line="1" w:lineRule="exact"/>
        <w:rPr>
          <w:rFonts w:ascii="Arial" w:cs="Arial" w:eastAsia="Arial" w:hAnsi="Arial"/>
          <w:sz w:val="27"/>
          <w:szCs w:val="27"/>
          <w:color w:val="auto"/>
          <w:vertAlign w:val="superscript"/>
        </w:rPr>
      </w:pPr>
    </w:p>
    <w:p>
      <w:pPr>
        <w:ind w:left="1620" w:right="439"/>
        <w:spacing w:after="0" w:line="251" w:lineRule="auto"/>
        <w:rPr>
          <w:rFonts w:ascii="Arial" w:cs="Arial" w:eastAsia="Arial" w:hAnsi="Arial"/>
          <w:sz w:val="27"/>
          <w:szCs w:val="27"/>
          <w:color w:val="auto"/>
          <w:vertAlign w:val="superscript"/>
        </w:rPr>
      </w:pPr>
      <w:r>
        <w:rPr>
          <w:rFonts w:ascii="Arial" w:cs="Arial" w:eastAsia="Arial" w:hAnsi="Arial"/>
          <w:sz w:val="18"/>
          <w:szCs w:val="18"/>
          <w:color w:val="auto"/>
        </w:rPr>
        <w:t>August 2024 distribution date at a scaled payout range of between 0% and 200% based on: (i) with respect to 25% of the August 2021 award, PAA’s TSR over the three-year period ending June 30, 2024 compared to the TSR of the TSR Comparator Peer Group (payout may be reduced if absolute TSR is negative); and (ii) with respect to the other 25% of the August 2021 award, PAA achieving cumulative DCF per CUE of $6.00 over the three-year period ending June 30, 2024 (payout may be decreased or increased by 50 gross percentage points (but not above 200%) based on PAA’s leverage ratio as of June 30, 2024 compared to the target leverage ratio set forth in PAA’s multi-year plan as of August 2021). DERs will accrue during the three-year performance period and be paid in cash in a lump sum on the August 2024 distribution date with respect to the number of phantom units, if any, that vest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Units Vested</w:t>
      </w:r>
    </w:p>
    <w:p>
      <w:pPr>
        <w:spacing w:after="0" w:line="166"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We have never issued options under our long-term incentive plan; all of the grants awarded under our long-term incentive plan have been phantom unit grants. The following table sets forth certain information regarding the vesting of phantom units during the fiscal year ended December 31, 2021 with respect to our Named Executive Officers.</w:t>
      </w:r>
    </w:p>
    <w:p>
      <w:pPr>
        <w:spacing w:after="0" w:line="179" w:lineRule="exact"/>
        <w:rPr>
          <w:sz w:val="20"/>
          <w:szCs w:val="20"/>
          <w:color w:val="auto"/>
        </w:rPr>
      </w:pPr>
    </w:p>
    <w:tbl>
      <w:tblPr>
        <w:tblLayout w:type="fixed"/>
        <w:tblInd w:w="1270" w:type="dxa"/>
        <w:tblCellMar>
          <w:top w:w="0" w:type="dxa"/>
          <w:left w:w="0" w:type="dxa"/>
          <w:bottom w:w="0" w:type="dxa"/>
          <w:right w:w="0" w:type="dxa"/>
        </w:tblCellMar>
      </w:tblPr>
      <w:tr>
        <w:trPr>
          <w:trHeight w:val="278"/>
        </w:trPr>
        <w:tc>
          <w:tcPr>
            <w:tcW w:w="5660" w:type="dxa"/>
            <w:vAlign w:val="bottom"/>
            <w:tcBorders>
              <w:left w:val="single" w:sz="8" w:color="434F69"/>
              <w:right w:val="single" w:sz="8" w:color="434F69"/>
            </w:tcBorders>
            <w:shd w:val="clear" w:color="auto" w:fill="434F69"/>
          </w:tcPr>
          <w:p>
            <w:pPr>
              <w:spacing w:after="0"/>
              <w:rPr>
                <w:sz w:val="24"/>
                <w:szCs w:val="24"/>
                <w:color w:val="auto"/>
              </w:rPr>
            </w:pPr>
          </w:p>
        </w:tc>
        <w:tc>
          <w:tcPr>
            <w:tcW w:w="2560" w:type="dxa"/>
            <w:vAlign w:val="bottom"/>
            <w:tcBorders>
              <w:right w:val="single" w:sz="8" w:color="434F69"/>
            </w:tcBorders>
            <w:gridSpan w:val="2"/>
            <w:shd w:val="clear" w:color="auto" w:fill="434F69"/>
          </w:tcPr>
          <w:p>
            <w:pPr>
              <w:jc w:val="right"/>
              <w:ind w:right="774"/>
              <w:spacing w:after="0"/>
              <w:rPr>
                <w:sz w:val="20"/>
                <w:szCs w:val="20"/>
                <w:color w:val="auto"/>
              </w:rPr>
            </w:pPr>
            <w:r>
              <w:rPr>
                <w:rFonts w:ascii="Arial" w:cs="Arial" w:eastAsia="Arial" w:hAnsi="Arial"/>
                <w:sz w:val="14"/>
                <w:szCs w:val="14"/>
                <w:b w:val="1"/>
                <w:bCs w:val="1"/>
                <w:color w:val="FFFFFF"/>
              </w:rPr>
              <w:t>Unit Awards</w:t>
            </w:r>
          </w:p>
        </w:tc>
        <w:tc>
          <w:tcPr>
            <w:tcW w:w="0" w:type="dxa"/>
            <w:vAlign w:val="bottom"/>
          </w:tcPr>
          <w:p>
            <w:pPr>
              <w:spacing w:after="0"/>
              <w:rPr>
                <w:sz w:val="1"/>
                <w:szCs w:val="1"/>
                <w:color w:val="auto"/>
              </w:rPr>
            </w:pPr>
          </w:p>
        </w:tc>
      </w:tr>
      <w:tr>
        <w:trPr>
          <w:trHeight w:val="175"/>
        </w:trPr>
        <w:tc>
          <w:tcPr>
            <w:tcW w:w="5660" w:type="dxa"/>
            <w:vAlign w:val="bottom"/>
            <w:tcBorders>
              <w:top w:val="single" w:sz="8" w:color="434F69"/>
              <w:left w:val="single" w:sz="8" w:color="434F69"/>
              <w:right w:val="single" w:sz="8" w:color="434F69"/>
            </w:tcBorders>
            <w:shd w:val="clear" w:color="auto" w:fill="434F69"/>
          </w:tcPr>
          <w:p>
            <w:pPr>
              <w:spacing w:after="0"/>
              <w:rPr>
                <w:sz w:val="15"/>
                <w:szCs w:val="15"/>
                <w:color w:val="auto"/>
              </w:rPr>
            </w:pPr>
          </w:p>
        </w:tc>
        <w:tc>
          <w:tcPr>
            <w:tcW w:w="1300" w:type="dxa"/>
            <w:vAlign w:val="bottom"/>
            <w:tcBorders>
              <w:top w:val="single" w:sz="8" w:color="auto"/>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Number of</w:t>
            </w:r>
          </w:p>
        </w:tc>
        <w:tc>
          <w:tcPr>
            <w:tcW w:w="1260" w:type="dxa"/>
            <w:vAlign w:val="bottom"/>
            <w:tcBorders>
              <w:top w:val="single" w:sz="8" w:color="auto"/>
              <w:right w:val="single" w:sz="8" w:color="434F69"/>
            </w:tcBorders>
            <w:shd w:val="clear" w:color="auto" w:fill="434F69"/>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60" w:type="dxa"/>
            <w:vAlign w:val="bottom"/>
            <w:tcBorders>
              <w:left w:val="single" w:sz="8" w:color="434F69"/>
              <w:right w:val="single" w:sz="8" w:color="434F69"/>
            </w:tcBorders>
            <w:shd w:val="clear" w:color="auto" w:fill="434F69"/>
          </w:tcPr>
          <w:p>
            <w:pPr>
              <w:spacing w:after="0"/>
              <w:rPr>
                <w:sz w:val="14"/>
                <w:szCs w:val="14"/>
                <w:color w:val="auto"/>
              </w:rPr>
            </w:pP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Units</w:t>
            </w: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Value Realized</w:t>
            </w:r>
          </w:p>
        </w:tc>
        <w:tc>
          <w:tcPr>
            <w:tcW w:w="0" w:type="dxa"/>
            <w:vAlign w:val="bottom"/>
          </w:tcPr>
          <w:p>
            <w:pPr>
              <w:spacing w:after="0"/>
              <w:rPr>
                <w:sz w:val="1"/>
                <w:szCs w:val="1"/>
                <w:color w:val="auto"/>
              </w:rPr>
            </w:pPr>
          </w:p>
        </w:tc>
      </w:tr>
      <w:tr>
        <w:trPr>
          <w:trHeight w:val="151"/>
        </w:trPr>
        <w:tc>
          <w:tcPr>
            <w:tcW w:w="5660" w:type="dxa"/>
            <w:vAlign w:val="bottom"/>
            <w:tcBorders>
              <w:left w:val="single" w:sz="8" w:color="434F69"/>
              <w:right w:val="single" w:sz="8" w:color="434F69"/>
            </w:tcBorders>
            <w:vMerge w:val="restart"/>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30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Acquired on</w:t>
            </w:r>
          </w:p>
        </w:tc>
        <w:tc>
          <w:tcPr>
            <w:tcW w:w="126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on</w:t>
            </w:r>
          </w:p>
        </w:tc>
        <w:tc>
          <w:tcPr>
            <w:tcW w:w="0" w:type="dxa"/>
            <w:vAlign w:val="bottom"/>
          </w:tcPr>
          <w:p>
            <w:pPr>
              <w:spacing w:after="0"/>
              <w:rPr>
                <w:sz w:val="1"/>
                <w:szCs w:val="1"/>
                <w:color w:val="auto"/>
              </w:rPr>
            </w:pPr>
          </w:p>
        </w:tc>
      </w:tr>
      <w:tr>
        <w:trPr>
          <w:trHeight w:val="226"/>
        </w:trPr>
        <w:tc>
          <w:tcPr>
            <w:tcW w:w="5660" w:type="dxa"/>
            <w:vAlign w:val="bottom"/>
            <w:tcBorders>
              <w:left w:val="single" w:sz="8" w:color="434F69"/>
              <w:right w:val="single" w:sz="8" w:color="434F69"/>
            </w:tcBorders>
            <w:vMerge w:val="continue"/>
            <w:shd w:val="clear" w:color="auto" w:fill="434F69"/>
          </w:tcPr>
          <w:p>
            <w:pPr>
              <w:spacing w:after="0"/>
              <w:rPr>
                <w:sz w:val="19"/>
                <w:szCs w:val="19"/>
                <w:color w:val="auto"/>
              </w:rPr>
            </w:pP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Vesting (#)</w:t>
            </w:r>
            <w:r>
              <w:rPr>
                <w:rFonts w:ascii="Arial" w:cs="Arial" w:eastAsia="Arial" w:hAnsi="Arial"/>
                <w:sz w:val="17"/>
                <w:szCs w:val="17"/>
                <w:b w:val="1"/>
                <w:bCs w:val="1"/>
                <w:color w:val="FFFFFF"/>
                <w:w w:val="98"/>
                <w:vertAlign w:val="superscript"/>
              </w:rPr>
              <w:t>(1)</w:t>
            </w: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Vesting ($)</w:t>
            </w:r>
          </w:p>
        </w:tc>
        <w:tc>
          <w:tcPr>
            <w:tcW w:w="0" w:type="dxa"/>
            <w:vAlign w:val="bottom"/>
          </w:tcPr>
          <w:p>
            <w:pPr>
              <w:spacing w:after="0"/>
              <w:rPr>
                <w:sz w:val="1"/>
                <w:szCs w:val="1"/>
                <w:color w:val="auto"/>
              </w:rPr>
            </w:pPr>
          </w:p>
        </w:tc>
      </w:tr>
      <w:tr>
        <w:trPr>
          <w:trHeight w:val="256"/>
        </w:trPr>
        <w:tc>
          <w:tcPr>
            <w:tcW w:w="56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Willie Chiang</w:t>
            </w:r>
          </w:p>
        </w:tc>
        <w:tc>
          <w:tcPr>
            <w:tcW w:w="130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27,500</w:t>
            </w:r>
          </w:p>
        </w:tc>
        <w:tc>
          <w:tcPr>
            <w:tcW w:w="1260" w:type="dxa"/>
            <w:vAlign w:val="bottom"/>
            <w:tcBorders>
              <w:bottom w:val="single" w:sz="8" w:color="434F69"/>
              <w:right w:val="single" w:sz="8" w:color="434F69"/>
            </w:tcBorders>
          </w:tcPr>
          <w:p>
            <w:pPr>
              <w:jc w:val="right"/>
              <w:ind w:right="74"/>
              <w:spacing w:after="0" w:line="256" w:lineRule="exact"/>
              <w:rPr>
                <w:sz w:val="20"/>
                <w:szCs w:val="20"/>
                <w:color w:val="auto"/>
              </w:rPr>
            </w:pPr>
            <w:r>
              <w:rPr>
                <w:rFonts w:ascii="Arial" w:cs="Arial" w:eastAsia="Arial" w:hAnsi="Arial"/>
                <w:sz w:val="18"/>
                <w:szCs w:val="18"/>
                <w:color w:val="auto"/>
              </w:rPr>
              <w:t>276,375</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50"/>
        </w:trPr>
        <w:tc>
          <w:tcPr>
            <w:tcW w:w="5660" w:type="dxa"/>
            <w:vAlign w:val="bottom"/>
            <w:tcBorders>
              <w:left w:val="single" w:sz="8" w:color="434F69"/>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25,000</w:t>
            </w:r>
          </w:p>
        </w:tc>
        <w:tc>
          <w:tcPr>
            <w:tcW w:w="1260" w:type="dxa"/>
            <w:vAlign w:val="bottom"/>
            <w:tcBorders>
              <w:bottom w:val="single" w:sz="8" w:color="434F69"/>
              <w:right w:val="single" w:sz="8" w:color="434F69"/>
            </w:tcBorders>
          </w:tcPr>
          <w:p>
            <w:pPr>
              <w:jc w:val="right"/>
              <w:ind w:right="74"/>
              <w:spacing w:after="0" w:line="250" w:lineRule="exact"/>
              <w:rPr>
                <w:sz w:val="20"/>
                <w:szCs w:val="20"/>
                <w:color w:val="auto"/>
              </w:rPr>
            </w:pPr>
            <w:r>
              <w:rPr>
                <w:rFonts w:ascii="Arial" w:cs="Arial" w:eastAsia="Arial" w:hAnsi="Arial"/>
                <w:sz w:val="18"/>
                <w:szCs w:val="18"/>
                <w:color w:val="auto"/>
              </w:rPr>
              <w:t>250,250</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304"/>
        </w:trPr>
        <w:tc>
          <w:tcPr>
            <w:tcW w:w="56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00" w:type="dxa"/>
            <w:vAlign w:val="bottom"/>
            <w:tcBorders>
              <w:bottom w:val="single" w:sz="8" w:color="434F69"/>
              <w:right w:val="single" w:sz="8" w:color="434F69"/>
            </w:tcBorders>
            <w:shd w:val="clear" w:color="auto" w:fill="D9DCE1"/>
          </w:tcPr>
          <w:p>
            <w:pPr>
              <w:spacing w:after="0"/>
              <w:rPr>
                <w:sz w:val="24"/>
                <w:szCs w:val="24"/>
                <w:color w:val="auto"/>
              </w:rPr>
            </w:pPr>
          </w:p>
        </w:tc>
        <w:tc>
          <w:tcPr>
            <w:tcW w:w="126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130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434F69"/>
              <w:right w:val="single" w:sz="8" w:color="434F69"/>
            </w:tcBorders>
          </w:tcPr>
          <w:p>
            <w:pPr>
              <w:jc w:val="right"/>
              <w:ind w:right="2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56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00" w:type="dxa"/>
            <w:vAlign w:val="bottom"/>
            <w:tcBorders>
              <w:bottom w:val="single" w:sz="8" w:color="434F69"/>
              <w:right w:val="single" w:sz="8" w:color="434F69"/>
            </w:tcBorders>
            <w:shd w:val="clear" w:color="auto" w:fill="D9DCE1"/>
          </w:tcPr>
          <w:p>
            <w:pPr>
              <w:spacing w:after="0"/>
              <w:rPr>
                <w:sz w:val="24"/>
                <w:szCs w:val="24"/>
                <w:color w:val="auto"/>
              </w:rPr>
            </w:pPr>
          </w:p>
        </w:tc>
        <w:tc>
          <w:tcPr>
            <w:tcW w:w="126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 Swanson</w:t>
            </w:r>
          </w:p>
        </w:tc>
        <w:tc>
          <w:tcPr>
            <w:tcW w:w="130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23,000</w:t>
            </w:r>
          </w:p>
        </w:tc>
        <w:tc>
          <w:tcPr>
            <w:tcW w:w="1260" w:type="dxa"/>
            <w:vAlign w:val="bottom"/>
            <w:tcBorders>
              <w:bottom w:val="single" w:sz="8" w:color="434F69"/>
              <w:right w:val="single" w:sz="8" w:color="434F69"/>
            </w:tcBorders>
          </w:tcPr>
          <w:p>
            <w:pPr>
              <w:jc w:val="right"/>
              <w:ind w:right="74"/>
              <w:spacing w:after="0" w:line="250" w:lineRule="exact"/>
              <w:rPr>
                <w:sz w:val="20"/>
                <w:szCs w:val="20"/>
                <w:color w:val="auto"/>
              </w:rPr>
            </w:pPr>
            <w:r>
              <w:rPr>
                <w:rFonts w:ascii="Arial" w:cs="Arial" w:eastAsia="Arial" w:hAnsi="Arial"/>
                <w:sz w:val="18"/>
                <w:szCs w:val="18"/>
                <w:color w:val="auto"/>
              </w:rPr>
              <w:t>231,150</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50"/>
        </w:trPr>
        <w:tc>
          <w:tcPr>
            <w:tcW w:w="5660" w:type="dxa"/>
            <w:vAlign w:val="bottom"/>
            <w:tcBorders>
              <w:left w:val="single" w:sz="8" w:color="434F69"/>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15,000</w:t>
            </w:r>
          </w:p>
        </w:tc>
        <w:tc>
          <w:tcPr>
            <w:tcW w:w="1260" w:type="dxa"/>
            <w:vAlign w:val="bottom"/>
            <w:tcBorders>
              <w:bottom w:val="single" w:sz="8" w:color="434F69"/>
              <w:right w:val="single" w:sz="8" w:color="434F69"/>
            </w:tcBorders>
          </w:tcPr>
          <w:p>
            <w:pPr>
              <w:jc w:val="right"/>
              <w:ind w:right="74"/>
              <w:spacing w:after="0" w:line="250" w:lineRule="exact"/>
              <w:rPr>
                <w:sz w:val="20"/>
                <w:szCs w:val="20"/>
                <w:color w:val="auto"/>
              </w:rPr>
            </w:pPr>
            <w:r>
              <w:rPr>
                <w:rFonts w:ascii="Arial" w:cs="Arial" w:eastAsia="Arial" w:hAnsi="Arial"/>
                <w:sz w:val="18"/>
                <w:szCs w:val="18"/>
                <w:color w:val="auto"/>
              </w:rPr>
              <w:t>150,150</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304"/>
        </w:trPr>
        <w:tc>
          <w:tcPr>
            <w:tcW w:w="56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00" w:type="dxa"/>
            <w:vAlign w:val="bottom"/>
            <w:tcBorders>
              <w:bottom w:val="single" w:sz="8" w:color="434F69"/>
              <w:right w:val="single" w:sz="8" w:color="434F69"/>
            </w:tcBorders>
            <w:shd w:val="clear" w:color="auto" w:fill="D9DCE1"/>
          </w:tcPr>
          <w:p>
            <w:pPr>
              <w:spacing w:after="0"/>
              <w:rPr>
                <w:sz w:val="24"/>
                <w:szCs w:val="24"/>
                <w:color w:val="auto"/>
              </w:rPr>
            </w:pPr>
          </w:p>
        </w:tc>
        <w:tc>
          <w:tcPr>
            <w:tcW w:w="126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30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23,000</w:t>
            </w:r>
          </w:p>
        </w:tc>
        <w:tc>
          <w:tcPr>
            <w:tcW w:w="1260" w:type="dxa"/>
            <w:vAlign w:val="bottom"/>
            <w:tcBorders>
              <w:bottom w:val="single" w:sz="8" w:color="434F69"/>
              <w:right w:val="single" w:sz="8" w:color="434F69"/>
            </w:tcBorders>
          </w:tcPr>
          <w:p>
            <w:pPr>
              <w:jc w:val="right"/>
              <w:ind w:right="74"/>
              <w:spacing w:after="0" w:line="250" w:lineRule="exact"/>
              <w:rPr>
                <w:sz w:val="20"/>
                <w:szCs w:val="20"/>
                <w:color w:val="auto"/>
              </w:rPr>
            </w:pPr>
            <w:r>
              <w:rPr>
                <w:rFonts w:ascii="Arial" w:cs="Arial" w:eastAsia="Arial" w:hAnsi="Arial"/>
                <w:sz w:val="18"/>
                <w:szCs w:val="18"/>
                <w:color w:val="auto"/>
              </w:rPr>
              <w:t>231,150</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50"/>
        </w:trPr>
        <w:tc>
          <w:tcPr>
            <w:tcW w:w="5660" w:type="dxa"/>
            <w:vAlign w:val="bottom"/>
            <w:tcBorders>
              <w:left w:val="single" w:sz="8" w:color="434F69"/>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12,500</w:t>
            </w:r>
          </w:p>
        </w:tc>
        <w:tc>
          <w:tcPr>
            <w:tcW w:w="1260" w:type="dxa"/>
            <w:vAlign w:val="bottom"/>
            <w:tcBorders>
              <w:bottom w:val="single" w:sz="8" w:color="434F69"/>
              <w:right w:val="single" w:sz="8" w:color="434F69"/>
            </w:tcBorders>
          </w:tcPr>
          <w:p>
            <w:pPr>
              <w:jc w:val="right"/>
              <w:ind w:right="74"/>
              <w:spacing w:after="0" w:line="250" w:lineRule="exact"/>
              <w:rPr>
                <w:sz w:val="20"/>
                <w:szCs w:val="20"/>
                <w:color w:val="auto"/>
              </w:rPr>
            </w:pPr>
            <w:r>
              <w:rPr>
                <w:rFonts w:ascii="Arial" w:cs="Arial" w:eastAsia="Arial" w:hAnsi="Arial"/>
                <w:sz w:val="18"/>
                <w:szCs w:val="18"/>
                <w:color w:val="auto"/>
              </w:rPr>
              <w:t>125,125</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304"/>
        </w:trPr>
        <w:tc>
          <w:tcPr>
            <w:tcW w:w="56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00" w:type="dxa"/>
            <w:vAlign w:val="bottom"/>
            <w:tcBorders>
              <w:bottom w:val="single" w:sz="8" w:color="434F69"/>
              <w:right w:val="single" w:sz="8" w:color="434F69"/>
            </w:tcBorders>
            <w:shd w:val="clear" w:color="auto" w:fill="D9DCE1"/>
          </w:tcPr>
          <w:p>
            <w:pPr>
              <w:spacing w:after="0"/>
              <w:rPr>
                <w:sz w:val="24"/>
                <w:szCs w:val="24"/>
                <w:color w:val="auto"/>
              </w:rPr>
            </w:pPr>
          </w:p>
        </w:tc>
        <w:tc>
          <w:tcPr>
            <w:tcW w:w="126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Chris Chandler</w:t>
            </w:r>
          </w:p>
        </w:tc>
        <w:tc>
          <w:tcPr>
            <w:tcW w:w="130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82,500</w:t>
            </w:r>
          </w:p>
        </w:tc>
        <w:tc>
          <w:tcPr>
            <w:tcW w:w="1260" w:type="dxa"/>
            <w:vAlign w:val="bottom"/>
            <w:tcBorders>
              <w:bottom w:val="single" w:sz="8" w:color="434F69"/>
              <w:right w:val="single" w:sz="8" w:color="434F69"/>
            </w:tcBorders>
          </w:tcPr>
          <w:p>
            <w:pPr>
              <w:jc w:val="right"/>
              <w:ind w:right="74"/>
              <w:spacing w:after="0" w:line="250" w:lineRule="exact"/>
              <w:rPr>
                <w:sz w:val="20"/>
                <w:szCs w:val="20"/>
                <w:color w:val="auto"/>
              </w:rPr>
            </w:pPr>
            <w:r>
              <w:rPr>
                <w:rFonts w:ascii="Arial" w:cs="Arial" w:eastAsia="Arial" w:hAnsi="Arial"/>
                <w:sz w:val="18"/>
                <w:szCs w:val="18"/>
                <w:color w:val="auto"/>
              </w:rPr>
              <w:t>825,825</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304"/>
        </w:trPr>
        <w:tc>
          <w:tcPr>
            <w:tcW w:w="56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00" w:type="dxa"/>
            <w:vAlign w:val="bottom"/>
            <w:tcBorders>
              <w:bottom w:val="single" w:sz="8" w:color="434F69"/>
              <w:right w:val="single" w:sz="8" w:color="434F69"/>
            </w:tcBorders>
            <w:shd w:val="clear" w:color="auto" w:fill="D9DCE1"/>
          </w:tcPr>
          <w:p>
            <w:pPr>
              <w:spacing w:after="0"/>
              <w:rPr>
                <w:sz w:val="24"/>
                <w:szCs w:val="24"/>
                <w:color w:val="auto"/>
              </w:rPr>
            </w:pPr>
          </w:p>
        </w:tc>
        <w:tc>
          <w:tcPr>
            <w:tcW w:w="126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30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9,167</w:t>
            </w:r>
          </w:p>
        </w:tc>
        <w:tc>
          <w:tcPr>
            <w:tcW w:w="1260" w:type="dxa"/>
            <w:vAlign w:val="bottom"/>
            <w:tcBorders>
              <w:bottom w:val="single" w:sz="8" w:color="434F69"/>
              <w:right w:val="single" w:sz="8" w:color="434F69"/>
            </w:tcBorders>
          </w:tcPr>
          <w:p>
            <w:pPr>
              <w:jc w:val="right"/>
              <w:ind w:right="74"/>
              <w:spacing w:after="0" w:line="250" w:lineRule="exact"/>
              <w:rPr>
                <w:sz w:val="20"/>
                <w:szCs w:val="20"/>
                <w:color w:val="auto"/>
              </w:rPr>
            </w:pPr>
            <w:r>
              <w:rPr>
                <w:rFonts w:ascii="Arial" w:cs="Arial" w:eastAsia="Arial" w:hAnsi="Arial"/>
                <w:sz w:val="18"/>
                <w:szCs w:val="18"/>
                <w:color w:val="auto"/>
              </w:rPr>
              <w:t>92,128</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50"/>
        </w:trPr>
        <w:tc>
          <w:tcPr>
            <w:tcW w:w="5660" w:type="dxa"/>
            <w:vAlign w:val="bottom"/>
            <w:tcBorders>
              <w:left w:val="single" w:sz="8" w:color="434F69"/>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10,000</w:t>
            </w:r>
          </w:p>
        </w:tc>
        <w:tc>
          <w:tcPr>
            <w:tcW w:w="1260" w:type="dxa"/>
            <w:vAlign w:val="bottom"/>
            <w:tcBorders>
              <w:bottom w:val="single" w:sz="8" w:color="434F69"/>
              <w:right w:val="single" w:sz="8" w:color="434F69"/>
            </w:tcBorders>
          </w:tcPr>
          <w:p>
            <w:pPr>
              <w:jc w:val="right"/>
              <w:ind w:right="74"/>
              <w:spacing w:after="0" w:line="250" w:lineRule="exact"/>
              <w:rPr>
                <w:sz w:val="20"/>
                <w:szCs w:val="20"/>
                <w:color w:val="auto"/>
              </w:rPr>
            </w:pPr>
            <w:r>
              <w:rPr>
                <w:rFonts w:ascii="Arial" w:cs="Arial" w:eastAsia="Arial" w:hAnsi="Arial"/>
                <w:sz w:val="18"/>
                <w:szCs w:val="18"/>
                <w:color w:val="auto"/>
              </w:rPr>
              <w:t>100,100</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50"/>
        </w:trPr>
        <w:tc>
          <w:tcPr>
            <w:tcW w:w="5660" w:type="dxa"/>
            <w:vAlign w:val="bottom"/>
            <w:tcBorders>
              <w:left w:val="single" w:sz="8" w:color="434F69"/>
              <w:bottom w:val="single" w:sz="8" w:color="434F69"/>
              <w:right w:val="single" w:sz="8" w:color="434F69"/>
            </w:tcBorders>
          </w:tcPr>
          <w:p>
            <w:pPr>
              <w:spacing w:after="0"/>
              <w:rPr>
                <w:sz w:val="21"/>
                <w:szCs w:val="21"/>
                <w:color w:val="auto"/>
              </w:rPr>
            </w:pPr>
          </w:p>
        </w:tc>
        <w:tc>
          <w:tcPr>
            <w:tcW w:w="130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30,000</w:t>
            </w:r>
          </w:p>
        </w:tc>
        <w:tc>
          <w:tcPr>
            <w:tcW w:w="1260" w:type="dxa"/>
            <w:vAlign w:val="bottom"/>
            <w:tcBorders>
              <w:bottom w:val="single" w:sz="8" w:color="434F69"/>
              <w:right w:val="single" w:sz="8" w:color="434F69"/>
            </w:tcBorders>
          </w:tcPr>
          <w:p>
            <w:pPr>
              <w:jc w:val="right"/>
              <w:ind w:right="74"/>
              <w:spacing w:after="0" w:line="250" w:lineRule="exact"/>
              <w:rPr>
                <w:sz w:val="20"/>
                <w:szCs w:val="20"/>
                <w:color w:val="auto"/>
              </w:rPr>
            </w:pPr>
            <w:r>
              <w:rPr>
                <w:rFonts w:ascii="Arial" w:cs="Arial" w:eastAsia="Arial" w:hAnsi="Arial"/>
                <w:sz w:val="18"/>
                <w:szCs w:val="18"/>
                <w:color w:val="auto"/>
              </w:rPr>
              <w:t>247,200</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620" w:right="639" w:hanging="360"/>
        <w:spacing w:after="0" w:line="200" w:lineRule="auto"/>
        <w:tabs>
          <w:tab w:leader="none" w:pos="162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Represents the gross number of phantom units that vested during the year ended December 31, 2021. The actual number of units delivered was net of income tax withholding.</w:t>
      </w:r>
    </w:p>
    <w:p>
      <w:pPr>
        <w:spacing w:after="0" w:line="41" w:lineRule="exact"/>
        <w:rPr>
          <w:rFonts w:ascii="Arial" w:cs="Arial" w:eastAsia="Arial" w:hAnsi="Arial"/>
          <w:sz w:val="27"/>
          <w:szCs w:val="27"/>
          <w:color w:val="auto"/>
          <w:vertAlign w:val="superscript"/>
        </w:rPr>
      </w:pPr>
    </w:p>
    <w:p>
      <w:pPr>
        <w:ind w:left="1620" w:right="579" w:hanging="360"/>
        <w:spacing w:after="0" w:line="222" w:lineRule="auto"/>
        <w:tabs>
          <w:tab w:leader="none" w:pos="162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($10.05) of PAA’s common units on August 12, 2021 (the trading date immediately preceding the vesting date) by the number of units that vested.</w:t>
      </w:r>
    </w:p>
    <w:p>
      <w:pPr>
        <w:spacing w:after="0" w:line="56" w:lineRule="exact"/>
        <w:rPr>
          <w:rFonts w:ascii="Arial" w:cs="Arial" w:eastAsia="Arial" w:hAnsi="Arial"/>
          <w:sz w:val="27"/>
          <w:szCs w:val="27"/>
          <w:color w:val="auto"/>
          <w:vertAlign w:val="superscript"/>
        </w:rPr>
      </w:pPr>
    </w:p>
    <w:p>
      <w:pPr>
        <w:ind w:left="1620" w:right="439" w:hanging="360"/>
        <w:spacing w:after="0" w:line="222" w:lineRule="auto"/>
        <w:tabs>
          <w:tab w:leader="none" w:pos="162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($10.01) of PAA’s common units on May 13, 2021 (the trading date immediately preceding the vesting date) by the number of units that vested.</w:t>
      </w:r>
    </w:p>
    <w:p>
      <w:pPr>
        <w:spacing w:after="0" w:line="42" w:lineRule="exact"/>
        <w:rPr>
          <w:rFonts w:ascii="Arial" w:cs="Arial" w:eastAsia="Arial" w:hAnsi="Arial"/>
          <w:sz w:val="27"/>
          <w:szCs w:val="27"/>
          <w:color w:val="auto"/>
          <w:vertAlign w:val="superscript"/>
        </w:rPr>
      </w:pPr>
    </w:p>
    <w:p>
      <w:pPr>
        <w:jc w:val="both"/>
        <w:ind w:left="1620" w:right="859" w:hanging="360"/>
        <w:spacing w:after="0" w:line="222" w:lineRule="auto"/>
        <w:tabs>
          <w:tab w:leader="none" w:pos="162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($8.24) of PAA’s common units on December 31, 2020 (the trading date immediately preceding the vesting date) by the number of units that vested.</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80" w:lineRule="exact"/>
        <w:rPr>
          <w:sz w:val="20"/>
          <w:szCs w:val="20"/>
          <w:color w:val="auto"/>
        </w:rPr>
      </w:pPr>
    </w:p>
    <w:p>
      <w:pPr>
        <w:jc w:val="both"/>
        <w:ind w:left="1260" w:right="739" w:firstLine="360"/>
        <w:spacing w:after="0"/>
        <w:rPr>
          <w:sz w:val="20"/>
          <w:szCs w:val="20"/>
          <w:color w:val="auto"/>
        </w:rPr>
      </w:pPr>
      <w:r>
        <w:rPr>
          <w:rFonts w:ascii="Arial" w:cs="Arial" w:eastAsia="Arial" w:hAnsi="Arial"/>
          <w:sz w:val="18"/>
          <w:szCs w:val="18"/>
          <w:color w:val="auto"/>
        </w:rPr>
        <w:t>GP LLC sponsors a 401(k) plan that is available to all U.S. employees. We do not maintain any pension or defined benefit programs in which any of our employees, including the Named Executive Officers, participate.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166"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We do not maintain any nonqualified deferred compensation plans or programs in which any of our employees, including our Named Executive Officers, participate.</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66" w:lineRule="exact"/>
        <w:rPr>
          <w:sz w:val="20"/>
          <w:szCs w:val="20"/>
          <w:color w:val="auto"/>
        </w:rPr>
      </w:pPr>
    </w:p>
    <w:p>
      <w:pPr>
        <w:ind w:left="1260" w:right="599" w:firstLine="360"/>
        <w:spacing w:after="0" w:line="274" w:lineRule="auto"/>
        <w:rPr>
          <w:sz w:val="20"/>
          <w:szCs w:val="20"/>
          <w:color w:val="auto"/>
        </w:rPr>
      </w:pPr>
      <w:r>
        <w:rPr>
          <w:rFonts w:ascii="Arial" w:cs="Arial" w:eastAsia="Arial" w:hAnsi="Arial"/>
          <w:sz w:val="17"/>
          <w:szCs w:val="17"/>
          <w:color w:val="auto"/>
        </w:rPr>
        <w:t>The following table sets forth potential amounts payable to the Named Executive Officers upon termination of employment under various circumstances, and as if terminated on December 31, 2021.</w:t>
      </w:r>
    </w:p>
    <w:p>
      <w:pPr>
        <w:spacing w:after="0" w:line="149"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2080" w:type="dxa"/>
            <w:vAlign w:val="bottom"/>
            <w:tcBorders>
              <w:left w:val="single" w:sz="8" w:color="434F69"/>
              <w:right w:val="single" w:sz="8" w:color="434F69"/>
            </w:tcBorders>
            <w:shd w:val="clear" w:color="auto" w:fill="434F69"/>
          </w:tcPr>
          <w:p>
            <w:pPr>
              <w:spacing w:after="0"/>
              <w:rPr>
                <w:sz w:val="21"/>
                <w:szCs w:val="21"/>
                <w:color w:val="auto"/>
              </w:rPr>
            </w:pPr>
          </w:p>
        </w:tc>
        <w:tc>
          <w:tcPr>
            <w:tcW w:w="1240" w:type="dxa"/>
            <w:vAlign w:val="bottom"/>
            <w:tcBorders>
              <w:right w:val="single" w:sz="8" w:color="434F69"/>
            </w:tcBorders>
            <w:shd w:val="clear" w:color="auto" w:fill="434F69"/>
          </w:tcPr>
          <w:p>
            <w:pPr>
              <w:spacing w:after="0"/>
              <w:rPr>
                <w:sz w:val="21"/>
                <w:szCs w:val="21"/>
                <w:color w:val="auto"/>
              </w:rPr>
            </w:pPr>
          </w:p>
        </w:tc>
        <w:tc>
          <w:tcPr>
            <w:tcW w:w="1340" w:type="dxa"/>
            <w:vAlign w:val="bottom"/>
            <w:tcBorders>
              <w:right w:val="single" w:sz="8" w:color="434F69"/>
            </w:tcBorders>
            <w:shd w:val="clear" w:color="auto" w:fill="434F69"/>
          </w:tcPr>
          <w:p>
            <w:pPr>
              <w:spacing w:after="0"/>
              <w:rPr>
                <w:sz w:val="21"/>
                <w:szCs w:val="21"/>
                <w:color w:val="auto"/>
              </w:rPr>
            </w:pPr>
          </w:p>
        </w:tc>
        <w:tc>
          <w:tcPr>
            <w:tcW w:w="1160" w:type="dxa"/>
            <w:vAlign w:val="bottom"/>
            <w:tcBorders>
              <w:right w:val="single" w:sz="8" w:color="434F69"/>
            </w:tcBorders>
            <w:shd w:val="clear" w:color="auto" w:fill="434F69"/>
          </w:tcPr>
          <w:p>
            <w:pPr>
              <w:spacing w:after="0"/>
              <w:rPr>
                <w:sz w:val="21"/>
                <w:szCs w:val="21"/>
                <w:color w:val="auto"/>
              </w:rPr>
            </w:pPr>
          </w:p>
        </w:tc>
        <w:tc>
          <w:tcPr>
            <w:tcW w:w="1140" w:type="dxa"/>
            <w:vAlign w:val="bottom"/>
            <w:tcBorders>
              <w:right w:val="single" w:sz="8" w:color="434F69"/>
            </w:tcBorders>
            <w:shd w:val="clear" w:color="auto" w:fill="434F69"/>
          </w:tcPr>
          <w:p>
            <w:pPr>
              <w:spacing w:after="0"/>
              <w:rPr>
                <w:sz w:val="21"/>
                <w:szCs w:val="21"/>
                <w:color w:val="auto"/>
              </w:rPr>
            </w:pPr>
          </w:p>
        </w:tc>
        <w:tc>
          <w:tcPr>
            <w:tcW w:w="1260" w:type="dxa"/>
            <w:vAlign w:val="bottom"/>
            <w:tcBorders>
              <w:right w:val="single" w:sz="8" w:color="434F69"/>
            </w:tcBorders>
            <w:shd w:val="clear" w:color="auto" w:fill="434F69"/>
          </w:tcPr>
          <w:p>
            <w:pPr>
              <w:jc w:val="center"/>
              <w:ind w:right="25"/>
              <w:spacing w:after="0"/>
              <w:rPr>
                <w:sz w:val="20"/>
                <w:szCs w:val="20"/>
                <w:color w:val="auto"/>
              </w:rPr>
            </w:pPr>
            <w:r>
              <w:rPr>
                <w:rFonts w:ascii="Arial" w:cs="Arial" w:eastAsia="Arial" w:hAnsi="Arial"/>
                <w:sz w:val="14"/>
                <w:szCs w:val="14"/>
                <w:b w:val="1"/>
                <w:bCs w:val="1"/>
                <w:color w:val="FFFFFF"/>
                <w:w w:val="96"/>
              </w:rPr>
              <w:t>In</w:t>
            </w:r>
          </w:p>
        </w:tc>
      </w:tr>
      <w:tr>
        <w:trPr>
          <w:trHeight w:val="162"/>
        </w:trPr>
        <w:tc>
          <w:tcPr>
            <w:tcW w:w="2080" w:type="dxa"/>
            <w:vAlign w:val="bottom"/>
            <w:tcBorders>
              <w:left w:val="single" w:sz="8" w:color="434F69"/>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By</w:t>
            </w:r>
          </w:p>
        </w:tc>
        <w:tc>
          <w:tcPr>
            <w:tcW w:w="11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By</w:t>
            </w:r>
          </w:p>
        </w:tc>
        <w:tc>
          <w:tcPr>
            <w:tcW w:w="1260" w:type="dxa"/>
            <w:vAlign w:val="bottom"/>
            <w:tcBorders>
              <w:right w:val="single" w:sz="8" w:color="434F69"/>
            </w:tcBorders>
            <w:shd w:val="clear" w:color="auto" w:fill="434F69"/>
          </w:tcPr>
          <w:p>
            <w:pPr>
              <w:jc w:val="center"/>
              <w:ind w:right="25"/>
              <w:spacing w:after="0"/>
              <w:rPr>
                <w:sz w:val="20"/>
                <w:szCs w:val="20"/>
                <w:color w:val="auto"/>
              </w:rPr>
            </w:pPr>
            <w:r>
              <w:rPr>
                <w:rFonts w:ascii="Arial" w:cs="Arial" w:eastAsia="Arial" w:hAnsi="Arial"/>
                <w:sz w:val="14"/>
                <w:szCs w:val="14"/>
                <w:b w:val="1"/>
                <w:bCs w:val="1"/>
                <w:color w:val="FFFFFF"/>
              </w:rPr>
              <w:t>Connection</w:t>
            </w:r>
          </w:p>
        </w:tc>
      </w:tr>
      <w:tr>
        <w:trPr>
          <w:trHeight w:val="162"/>
        </w:trPr>
        <w:tc>
          <w:tcPr>
            <w:tcW w:w="2080" w:type="dxa"/>
            <w:vAlign w:val="bottom"/>
            <w:tcBorders>
              <w:left w:val="single" w:sz="8" w:color="434F69"/>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jc w:val="right"/>
              <w:ind w:right="184"/>
              <w:spacing w:after="0"/>
              <w:rPr>
                <w:sz w:val="20"/>
                <w:szCs w:val="20"/>
                <w:color w:val="auto"/>
              </w:rPr>
            </w:pPr>
            <w:r>
              <w:rPr>
                <w:rFonts w:ascii="Arial" w:cs="Arial" w:eastAsia="Arial" w:hAnsi="Arial"/>
                <w:sz w:val="14"/>
                <w:szCs w:val="14"/>
                <w:b w:val="1"/>
                <w:bCs w:val="1"/>
                <w:color w:val="FFFFFF"/>
              </w:rPr>
              <w:t>By Reason</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Company</w:t>
            </w:r>
          </w:p>
        </w:tc>
        <w:tc>
          <w:tcPr>
            <w:tcW w:w="11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Executive</w:t>
            </w:r>
          </w:p>
        </w:tc>
        <w:tc>
          <w:tcPr>
            <w:tcW w:w="1260" w:type="dxa"/>
            <w:vAlign w:val="bottom"/>
            <w:tcBorders>
              <w:right w:val="single" w:sz="8" w:color="434F69"/>
            </w:tcBorders>
            <w:shd w:val="clear" w:color="auto" w:fill="434F69"/>
          </w:tcPr>
          <w:p>
            <w:pPr>
              <w:jc w:val="center"/>
              <w:ind w:right="25"/>
              <w:spacing w:after="0"/>
              <w:rPr>
                <w:sz w:val="20"/>
                <w:szCs w:val="20"/>
                <w:color w:val="auto"/>
              </w:rPr>
            </w:pPr>
            <w:r>
              <w:rPr>
                <w:rFonts w:ascii="Arial" w:cs="Arial" w:eastAsia="Arial" w:hAnsi="Arial"/>
                <w:sz w:val="14"/>
                <w:szCs w:val="14"/>
                <w:b w:val="1"/>
                <w:bCs w:val="1"/>
                <w:color w:val="FFFFFF"/>
              </w:rPr>
              <w:t>with a</w:t>
            </w:r>
          </w:p>
        </w:tc>
      </w:tr>
      <w:tr>
        <w:trPr>
          <w:trHeight w:val="162"/>
        </w:trPr>
        <w:tc>
          <w:tcPr>
            <w:tcW w:w="2080" w:type="dxa"/>
            <w:vAlign w:val="bottom"/>
            <w:tcBorders>
              <w:left w:val="single" w:sz="8" w:color="434F69"/>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ind w:left="240"/>
              <w:spacing w:after="0"/>
              <w:rPr>
                <w:sz w:val="20"/>
                <w:szCs w:val="20"/>
                <w:color w:val="auto"/>
              </w:rPr>
            </w:pPr>
            <w:r>
              <w:rPr>
                <w:rFonts w:ascii="Arial" w:cs="Arial" w:eastAsia="Arial" w:hAnsi="Arial"/>
                <w:sz w:val="14"/>
                <w:szCs w:val="14"/>
                <w:b w:val="1"/>
                <w:bCs w:val="1"/>
                <w:color w:val="FFFFFF"/>
              </w:rPr>
              <w:t>By Reason</w:t>
            </w:r>
          </w:p>
        </w:tc>
        <w:tc>
          <w:tcPr>
            <w:tcW w:w="1340" w:type="dxa"/>
            <w:vAlign w:val="bottom"/>
            <w:tcBorders>
              <w:right w:val="single" w:sz="8" w:color="434F69"/>
            </w:tcBorders>
            <w:shd w:val="clear" w:color="auto" w:fill="434F69"/>
          </w:tcPr>
          <w:p>
            <w:pPr>
              <w:jc w:val="center"/>
              <w:ind w:right="4"/>
              <w:spacing w:after="0"/>
              <w:rPr>
                <w:sz w:val="20"/>
                <w:szCs w:val="20"/>
                <w:color w:val="auto"/>
              </w:rPr>
            </w:pPr>
            <w:r>
              <w:rPr>
                <w:rFonts w:ascii="Arial" w:cs="Arial" w:eastAsia="Arial" w:hAnsi="Arial"/>
                <w:sz w:val="14"/>
                <w:szCs w:val="14"/>
                <w:b w:val="1"/>
                <w:bCs w:val="1"/>
                <w:color w:val="FFFFFF"/>
              </w:rPr>
              <w:t>of</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without</w:t>
            </w:r>
          </w:p>
        </w:tc>
        <w:tc>
          <w:tcPr>
            <w:tcW w:w="1140" w:type="dxa"/>
            <w:vAlign w:val="bottom"/>
            <w:tcBorders>
              <w:right w:val="single" w:sz="8" w:color="434F69"/>
            </w:tcBorders>
            <w:shd w:val="clear" w:color="auto" w:fill="434F69"/>
          </w:tcPr>
          <w:p>
            <w:pPr>
              <w:jc w:val="center"/>
              <w:ind w:right="5"/>
              <w:spacing w:after="0"/>
              <w:rPr>
                <w:sz w:val="20"/>
                <w:szCs w:val="20"/>
                <w:color w:val="auto"/>
              </w:rPr>
            </w:pPr>
            <w:r>
              <w:rPr>
                <w:rFonts w:ascii="Arial" w:cs="Arial" w:eastAsia="Arial" w:hAnsi="Arial"/>
                <w:sz w:val="14"/>
                <w:szCs w:val="14"/>
                <w:b w:val="1"/>
                <w:bCs w:val="1"/>
                <w:color w:val="FFFFFF"/>
              </w:rPr>
              <w:t>with Good</w:t>
            </w:r>
          </w:p>
        </w:tc>
        <w:tc>
          <w:tcPr>
            <w:tcW w:w="1260" w:type="dxa"/>
            <w:vAlign w:val="bottom"/>
            <w:tcBorders>
              <w:right w:val="single" w:sz="8" w:color="434F69"/>
            </w:tcBorders>
            <w:shd w:val="clear" w:color="auto" w:fill="434F69"/>
          </w:tcPr>
          <w:p>
            <w:pPr>
              <w:jc w:val="center"/>
              <w:ind w:right="25"/>
              <w:spacing w:after="0"/>
              <w:rPr>
                <w:sz w:val="20"/>
                <w:szCs w:val="20"/>
                <w:color w:val="auto"/>
              </w:rPr>
            </w:pPr>
            <w:r>
              <w:rPr>
                <w:rFonts w:ascii="Arial" w:cs="Arial" w:eastAsia="Arial" w:hAnsi="Arial"/>
                <w:sz w:val="14"/>
                <w:szCs w:val="14"/>
                <w:b w:val="1"/>
                <w:bCs w:val="1"/>
                <w:color w:val="FFFFFF"/>
              </w:rPr>
              <w:t>Change In</w:t>
            </w:r>
          </w:p>
        </w:tc>
      </w:tr>
      <w:tr>
        <w:trPr>
          <w:trHeight w:val="162"/>
        </w:trPr>
        <w:tc>
          <w:tcPr>
            <w:tcW w:w="2080" w:type="dxa"/>
            <w:vAlign w:val="bottom"/>
            <w:tcBorders>
              <w:left w:val="single" w:sz="8" w:color="434F69"/>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ind w:left="240"/>
              <w:spacing w:after="0"/>
              <w:rPr>
                <w:sz w:val="20"/>
                <w:szCs w:val="20"/>
                <w:color w:val="auto"/>
              </w:rPr>
            </w:pPr>
            <w:r>
              <w:rPr>
                <w:rFonts w:ascii="Arial" w:cs="Arial" w:eastAsia="Arial" w:hAnsi="Arial"/>
                <w:sz w:val="14"/>
                <w:szCs w:val="14"/>
                <w:b w:val="1"/>
                <w:bCs w:val="1"/>
                <w:color w:val="FFFFFF"/>
              </w:rPr>
              <w:t>of Death</w:t>
            </w:r>
          </w:p>
        </w:tc>
        <w:tc>
          <w:tcPr>
            <w:tcW w:w="1340" w:type="dxa"/>
            <w:vAlign w:val="bottom"/>
            <w:tcBorders>
              <w:right w:val="single" w:sz="8" w:color="434F69"/>
            </w:tcBorders>
            <w:shd w:val="clear" w:color="auto" w:fill="434F69"/>
          </w:tcPr>
          <w:p>
            <w:pPr>
              <w:jc w:val="center"/>
              <w:ind w:right="4"/>
              <w:spacing w:after="0"/>
              <w:rPr>
                <w:sz w:val="20"/>
                <w:szCs w:val="20"/>
                <w:color w:val="auto"/>
              </w:rPr>
            </w:pPr>
            <w:r>
              <w:rPr>
                <w:rFonts w:ascii="Arial" w:cs="Arial" w:eastAsia="Arial" w:hAnsi="Arial"/>
                <w:sz w:val="14"/>
                <w:szCs w:val="14"/>
                <w:b w:val="1"/>
                <w:bCs w:val="1"/>
                <w:color w:val="FFFFFF"/>
                <w:w w:val="99"/>
              </w:rPr>
              <w:t>Disability</w:t>
            </w:r>
          </w:p>
        </w:tc>
        <w:tc>
          <w:tcPr>
            <w:tcW w:w="1160" w:type="dxa"/>
            <w:vAlign w:val="bottom"/>
            <w:tcBorders>
              <w:right w:val="single" w:sz="8" w:color="434F69"/>
            </w:tcBorders>
            <w:shd w:val="clear" w:color="auto" w:fill="434F69"/>
          </w:tcPr>
          <w:p>
            <w:pPr>
              <w:jc w:val="center"/>
              <w:ind w:right="5"/>
              <w:spacing w:after="0"/>
              <w:rPr>
                <w:sz w:val="20"/>
                <w:szCs w:val="20"/>
                <w:color w:val="auto"/>
              </w:rPr>
            </w:pPr>
            <w:r>
              <w:rPr>
                <w:rFonts w:ascii="Arial" w:cs="Arial" w:eastAsia="Arial" w:hAnsi="Arial"/>
                <w:sz w:val="14"/>
                <w:szCs w:val="14"/>
                <w:b w:val="1"/>
                <w:bCs w:val="1"/>
                <w:color w:val="FFFFFF"/>
              </w:rPr>
              <w:t>Cause</w:t>
            </w:r>
          </w:p>
        </w:tc>
        <w:tc>
          <w:tcPr>
            <w:tcW w:w="11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Reason</w:t>
            </w:r>
          </w:p>
        </w:tc>
        <w:tc>
          <w:tcPr>
            <w:tcW w:w="1260" w:type="dxa"/>
            <w:vAlign w:val="bottom"/>
            <w:tcBorders>
              <w:right w:val="single" w:sz="8" w:color="434F69"/>
            </w:tcBorders>
            <w:shd w:val="clear" w:color="auto" w:fill="434F69"/>
          </w:tcPr>
          <w:p>
            <w:pPr>
              <w:jc w:val="center"/>
              <w:ind w:right="25"/>
              <w:spacing w:after="0"/>
              <w:rPr>
                <w:sz w:val="20"/>
                <w:szCs w:val="20"/>
                <w:color w:val="auto"/>
              </w:rPr>
            </w:pPr>
            <w:r>
              <w:rPr>
                <w:rFonts w:ascii="Arial" w:cs="Arial" w:eastAsia="Arial" w:hAnsi="Arial"/>
                <w:sz w:val="14"/>
                <w:szCs w:val="14"/>
                <w:b w:val="1"/>
                <w:bCs w:val="1"/>
                <w:color w:val="FFFFFF"/>
              </w:rPr>
              <w:t>Control</w:t>
            </w:r>
          </w:p>
        </w:tc>
      </w:tr>
      <w:tr>
        <w:trPr>
          <w:trHeight w:val="196"/>
        </w:trPr>
        <w:tc>
          <w:tcPr>
            <w:tcW w:w="2080" w:type="dxa"/>
            <w:vAlign w:val="bottom"/>
            <w:tcBorders>
              <w:left w:val="single" w:sz="8" w:color="434F69"/>
              <w:bottom w:val="single" w:sz="8" w:color="434F69"/>
              <w:right w:val="single" w:sz="8" w:color="434F69"/>
            </w:tcBorders>
            <w:shd w:val="clear" w:color="auto" w:fill="434F69"/>
          </w:tcPr>
          <w:p>
            <w:pPr>
              <w:spacing w:after="0"/>
              <w:rPr>
                <w:sz w:val="17"/>
                <w:szCs w:val="17"/>
                <w:color w:val="auto"/>
              </w:rPr>
            </w:pPr>
          </w:p>
        </w:tc>
        <w:tc>
          <w:tcPr>
            <w:tcW w:w="1240" w:type="dxa"/>
            <w:vAlign w:val="bottom"/>
            <w:tcBorders>
              <w:bottom w:val="single" w:sz="8" w:color="434F69"/>
              <w:right w:val="single" w:sz="8" w:color="434F69"/>
            </w:tcBorders>
            <w:shd w:val="clear" w:color="auto" w:fill="434F69"/>
          </w:tcPr>
          <w:p>
            <w:pPr>
              <w:jc w:val="right"/>
              <w:ind w:right="524"/>
              <w:spacing w:after="0"/>
              <w:rPr>
                <w:sz w:val="20"/>
                <w:szCs w:val="20"/>
                <w:color w:val="auto"/>
              </w:rPr>
            </w:pPr>
            <w:r>
              <w:rPr>
                <w:rFonts w:ascii="Arial" w:cs="Arial" w:eastAsia="Arial" w:hAnsi="Arial"/>
                <w:sz w:val="14"/>
                <w:szCs w:val="14"/>
                <w:b w:val="1"/>
                <w:bCs w:val="1"/>
                <w:color w:val="FFFFFF"/>
              </w:rPr>
              <w:t>($)</w:t>
            </w:r>
          </w:p>
        </w:tc>
        <w:tc>
          <w:tcPr>
            <w:tcW w:w="134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t>
            </w:r>
          </w:p>
        </w:tc>
        <w:tc>
          <w:tcPr>
            <w:tcW w:w="116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26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243"/>
        </w:trPr>
        <w:tc>
          <w:tcPr>
            <w:tcW w:w="208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Willie Chiang</w:t>
            </w:r>
            <w:r>
              <w:rPr>
                <w:rFonts w:ascii="Arial" w:cs="Arial" w:eastAsia="Arial" w:hAnsi="Arial"/>
                <w:sz w:val="19"/>
                <w:szCs w:val="19"/>
                <w:b w:val="1"/>
                <w:bCs w:val="1"/>
                <w:color w:val="auto"/>
                <w:vertAlign w:val="superscript"/>
              </w:rPr>
              <w:t>(9)</w:t>
            </w:r>
          </w:p>
        </w:tc>
        <w:tc>
          <w:tcPr>
            <w:tcW w:w="1240" w:type="dxa"/>
            <w:vAlign w:val="bottom"/>
            <w:tcBorders>
              <w:bottom w:val="single" w:sz="8" w:color="434F69"/>
              <w:right w:val="single" w:sz="8" w:color="434F69"/>
            </w:tcBorders>
            <w:shd w:val="clear" w:color="auto" w:fill="D9DCE1"/>
          </w:tcPr>
          <w:p>
            <w:pPr>
              <w:spacing w:after="0"/>
              <w:rPr>
                <w:sz w:val="21"/>
                <w:szCs w:val="21"/>
                <w:color w:val="auto"/>
              </w:rPr>
            </w:pPr>
          </w:p>
        </w:tc>
        <w:tc>
          <w:tcPr>
            <w:tcW w:w="1340" w:type="dxa"/>
            <w:vAlign w:val="bottom"/>
            <w:tcBorders>
              <w:bottom w:val="single" w:sz="8" w:color="434F69"/>
              <w:right w:val="single" w:sz="8" w:color="434F69"/>
            </w:tcBorders>
            <w:shd w:val="clear" w:color="auto" w:fill="D9DCE1"/>
          </w:tcPr>
          <w:p>
            <w:pPr>
              <w:spacing w:after="0"/>
              <w:rPr>
                <w:sz w:val="21"/>
                <w:szCs w:val="21"/>
                <w:color w:val="auto"/>
              </w:rPr>
            </w:pPr>
          </w:p>
        </w:tc>
        <w:tc>
          <w:tcPr>
            <w:tcW w:w="1160" w:type="dxa"/>
            <w:vAlign w:val="bottom"/>
            <w:tcBorders>
              <w:bottom w:val="single" w:sz="8" w:color="434F69"/>
              <w:right w:val="single" w:sz="8" w:color="434F69"/>
            </w:tcBorders>
            <w:shd w:val="clear" w:color="auto" w:fill="D9DCE1"/>
          </w:tcPr>
          <w:p>
            <w:pPr>
              <w:spacing w:after="0"/>
              <w:rPr>
                <w:sz w:val="21"/>
                <w:szCs w:val="21"/>
                <w:color w:val="auto"/>
              </w:rPr>
            </w:pPr>
          </w:p>
        </w:tc>
        <w:tc>
          <w:tcPr>
            <w:tcW w:w="1140" w:type="dxa"/>
            <w:vAlign w:val="bottom"/>
            <w:tcBorders>
              <w:bottom w:val="single" w:sz="8" w:color="434F69"/>
              <w:right w:val="single" w:sz="8" w:color="434F69"/>
            </w:tcBorders>
            <w:shd w:val="clear" w:color="auto" w:fill="D9DCE1"/>
          </w:tcPr>
          <w:p>
            <w:pPr>
              <w:spacing w:after="0"/>
              <w:rPr>
                <w:sz w:val="21"/>
                <w:szCs w:val="21"/>
                <w:color w:val="auto"/>
              </w:rPr>
            </w:pPr>
          </w:p>
        </w:tc>
        <w:tc>
          <w:tcPr>
            <w:tcW w:w="1260" w:type="dxa"/>
            <w:vAlign w:val="bottom"/>
            <w:tcBorders>
              <w:bottom w:val="single" w:sz="8" w:color="434F69"/>
              <w:right w:val="single" w:sz="8" w:color="434F69"/>
            </w:tcBorders>
            <w:shd w:val="clear" w:color="auto" w:fill="D9DCE1"/>
          </w:tcPr>
          <w:p>
            <w:pPr>
              <w:spacing w:after="0"/>
              <w:rPr>
                <w:sz w:val="21"/>
                <w:szCs w:val="21"/>
                <w:color w:val="auto"/>
              </w:rPr>
            </w:pPr>
          </w:p>
        </w:tc>
      </w:tr>
      <w:tr>
        <w:trPr>
          <w:trHeight w:val="223"/>
        </w:trPr>
        <w:tc>
          <w:tcPr>
            <w:tcW w:w="2080" w:type="dxa"/>
            <w:vAlign w:val="bottom"/>
            <w:tcBorders>
              <w:left w:val="single" w:sz="8" w:color="434F69"/>
              <w:bottom w:val="single" w:sz="8" w:color="434F69"/>
              <w:right w:val="single" w:sz="8" w:color="434F69"/>
            </w:tcBorders>
          </w:tcPr>
          <w:p>
            <w:pPr>
              <w:ind w:left="200"/>
              <w:spacing w:after="0"/>
              <w:rPr>
                <w:sz w:val="20"/>
                <w:szCs w:val="20"/>
                <w:color w:val="auto"/>
              </w:rPr>
            </w:pPr>
            <w:r>
              <w:rPr>
                <w:rFonts w:ascii="Arial" w:cs="Arial" w:eastAsia="Arial" w:hAnsi="Arial"/>
                <w:sz w:val="15"/>
                <w:szCs w:val="15"/>
                <w:color w:val="auto"/>
              </w:rPr>
              <w:t>Equity Compensation</w:t>
            </w:r>
          </w:p>
        </w:tc>
        <w:tc>
          <w:tcPr>
            <w:tcW w:w="1240" w:type="dxa"/>
            <w:vAlign w:val="bottom"/>
            <w:tcBorders>
              <w:bottom w:val="single" w:sz="8" w:color="434F69"/>
              <w:right w:val="single" w:sz="8" w:color="434F69"/>
            </w:tcBorders>
          </w:tcPr>
          <w:p>
            <w:pPr>
              <w:jc w:val="right"/>
              <w:ind w:right="104"/>
              <w:spacing w:after="0"/>
              <w:rPr>
                <w:sz w:val="20"/>
                <w:szCs w:val="20"/>
                <w:color w:val="auto"/>
              </w:rPr>
            </w:pPr>
            <w:r>
              <w:rPr>
                <w:rFonts w:ascii="Arial" w:cs="Arial" w:eastAsia="Arial" w:hAnsi="Arial"/>
                <w:sz w:val="15"/>
                <w:szCs w:val="15"/>
                <w:color w:val="auto"/>
              </w:rPr>
              <w:t>9,355,691</w:t>
            </w:r>
            <w:r>
              <w:rPr>
                <w:rFonts w:ascii="Arial" w:cs="Arial" w:eastAsia="Arial" w:hAnsi="Arial"/>
                <w:sz w:val="19"/>
                <w:szCs w:val="19"/>
                <w:color w:val="auto"/>
                <w:vertAlign w:val="superscript"/>
              </w:rPr>
              <w:t>(1)</w:t>
            </w:r>
          </w:p>
        </w:tc>
        <w:tc>
          <w:tcPr>
            <w:tcW w:w="1340" w:type="dxa"/>
            <w:vAlign w:val="bottom"/>
            <w:tcBorders>
              <w:bottom w:val="single" w:sz="8" w:color="434F69"/>
              <w:right w:val="single" w:sz="8" w:color="434F69"/>
            </w:tcBorders>
          </w:tcPr>
          <w:p>
            <w:pPr>
              <w:jc w:val="right"/>
              <w:ind w:right="124"/>
              <w:spacing w:after="0"/>
              <w:rPr>
                <w:sz w:val="20"/>
                <w:szCs w:val="20"/>
                <w:color w:val="auto"/>
              </w:rPr>
            </w:pPr>
            <w:r>
              <w:rPr>
                <w:rFonts w:ascii="Arial" w:cs="Arial" w:eastAsia="Arial" w:hAnsi="Arial"/>
                <w:sz w:val="15"/>
                <w:szCs w:val="15"/>
                <w:color w:val="auto"/>
              </w:rPr>
              <w:t>9,355,691</w:t>
            </w:r>
            <w:r>
              <w:rPr>
                <w:rFonts w:ascii="Arial" w:cs="Arial" w:eastAsia="Arial" w:hAnsi="Arial"/>
                <w:sz w:val="19"/>
                <w:szCs w:val="19"/>
                <w:color w:val="auto"/>
                <w:vertAlign w:val="superscript"/>
              </w:rPr>
              <w:t>(1)</w:t>
            </w:r>
          </w:p>
        </w:tc>
        <w:tc>
          <w:tcPr>
            <w:tcW w:w="1160" w:type="dxa"/>
            <w:vAlign w:val="bottom"/>
            <w:tcBorders>
              <w:bottom w:val="single" w:sz="8" w:color="434F69"/>
              <w:right w:val="single" w:sz="8" w:color="434F69"/>
            </w:tcBorders>
          </w:tcPr>
          <w:p>
            <w:pPr>
              <w:jc w:val="right"/>
              <w:ind w:right="5"/>
              <w:spacing w:after="0"/>
              <w:rPr>
                <w:sz w:val="20"/>
                <w:szCs w:val="20"/>
                <w:color w:val="auto"/>
              </w:rPr>
            </w:pPr>
            <w:r>
              <w:rPr>
                <w:rFonts w:ascii="Arial" w:cs="Arial" w:eastAsia="Arial" w:hAnsi="Arial"/>
                <w:sz w:val="15"/>
                <w:szCs w:val="15"/>
                <w:color w:val="auto"/>
              </w:rPr>
              <w:t>7,462,286</w:t>
            </w:r>
            <w:r>
              <w:rPr>
                <w:rFonts w:ascii="Arial" w:cs="Arial" w:eastAsia="Arial" w:hAnsi="Arial"/>
                <w:sz w:val="19"/>
                <w:szCs w:val="19"/>
                <w:color w:val="auto"/>
                <w:vertAlign w:val="superscript"/>
              </w:rPr>
              <w:t>(2)</w:t>
            </w:r>
          </w:p>
        </w:tc>
        <w:tc>
          <w:tcPr>
            <w:tcW w:w="1140" w:type="dxa"/>
            <w:vAlign w:val="bottom"/>
            <w:tcBorders>
              <w:bottom w:val="single" w:sz="8" w:color="434F69"/>
              <w:right w:val="single" w:sz="8" w:color="434F69"/>
            </w:tcBorders>
          </w:tcPr>
          <w:p>
            <w:pPr>
              <w:jc w:val="right"/>
              <w:ind w:right="16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434F69"/>
              <w:right w:val="single" w:sz="8" w:color="434F69"/>
            </w:tcBorders>
          </w:tcPr>
          <w:p>
            <w:pPr>
              <w:jc w:val="right"/>
              <w:ind w:right="65"/>
              <w:spacing w:after="0"/>
              <w:rPr>
                <w:sz w:val="20"/>
                <w:szCs w:val="20"/>
                <w:color w:val="auto"/>
              </w:rPr>
            </w:pPr>
            <w:r>
              <w:rPr>
                <w:rFonts w:ascii="Arial" w:cs="Arial" w:eastAsia="Arial" w:hAnsi="Arial"/>
                <w:sz w:val="15"/>
                <w:szCs w:val="15"/>
                <w:color w:val="auto"/>
              </w:rPr>
              <w:t>12,163,295</w:t>
            </w:r>
            <w:r>
              <w:rPr>
                <w:rFonts w:ascii="Arial" w:cs="Arial" w:eastAsia="Arial" w:hAnsi="Arial"/>
                <w:sz w:val="19"/>
                <w:szCs w:val="19"/>
                <w:color w:val="auto"/>
                <w:vertAlign w:val="superscript"/>
              </w:rPr>
              <w:t>(3)</w:t>
            </w:r>
          </w:p>
        </w:tc>
      </w:tr>
      <w:tr>
        <w:trPr>
          <w:trHeight w:val="248"/>
        </w:trPr>
        <w:tc>
          <w:tcPr>
            <w:tcW w:w="2080" w:type="dxa"/>
            <w:vAlign w:val="bottom"/>
            <w:tcBorders>
              <w:left w:val="single" w:sz="8" w:color="434F69"/>
              <w:bottom w:val="single" w:sz="8" w:color="434F69"/>
              <w:right w:val="single" w:sz="8" w:color="434F69"/>
            </w:tcBorders>
          </w:tcPr>
          <w:p>
            <w:pPr>
              <w:ind w:left="200"/>
              <w:spacing w:after="0"/>
              <w:rPr>
                <w:sz w:val="20"/>
                <w:szCs w:val="20"/>
                <w:color w:val="auto"/>
              </w:rPr>
            </w:pPr>
            <w:r>
              <w:rPr>
                <w:rFonts w:ascii="Arial" w:cs="Arial" w:eastAsia="Arial" w:hAnsi="Arial"/>
                <w:sz w:val="15"/>
                <w:szCs w:val="15"/>
                <w:color w:val="auto"/>
              </w:rPr>
              <w:t>AAP Management Units</w:t>
            </w:r>
          </w:p>
        </w:tc>
        <w:tc>
          <w:tcPr>
            <w:tcW w:w="1240" w:type="dxa"/>
            <w:vAlign w:val="bottom"/>
            <w:tcBorders>
              <w:bottom w:val="single" w:sz="8" w:color="434F69"/>
              <w:right w:val="single" w:sz="8" w:color="434F69"/>
            </w:tcBorders>
          </w:tcPr>
          <w:p>
            <w:pPr>
              <w:jc w:val="right"/>
              <w:ind w:right="64"/>
              <w:spacing w:after="0"/>
              <w:rPr>
                <w:sz w:val="20"/>
                <w:szCs w:val="20"/>
                <w:color w:val="auto"/>
              </w:rPr>
            </w:pPr>
            <w:r>
              <w:rPr>
                <w:rFonts w:ascii="Arial" w:cs="Arial" w:eastAsia="Arial" w:hAnsi="Arial"/>
                <w:sz w:val="15"/>
                <w:szCs w:val="15"/>
                <w:color w:val="auto"/>
              </w:rPr>
              <w:t>3,584,379</w:t>
            </w:r>
            <w:r>
              <w:rPr>
                <w:rFonts w:ascii="Arial" w:cs="Arial" w:eastAsia="Arial" w:hAnsi="Arial"/>
                <w:sz w:val="19"/>
                <w:szCs w:val="19"/>
                <w:color w:val="auto"/>
                <w:vertAlign w:val="superscript"/>
              </w:rPr>
              <w:t>(10)</w:t>
            </w:r>
          </w:p>
        </w:tc>
        <w:tc>
          <w:tcPr>
            <w:tcW w:w="1340" w:type="dxa"/>
            <w:vAlign w:val="bottom"/>
            <w:tcBorders>
              <w:bottom w:val="single" w:sz="8" w:color="434F69"/>
              <w:right w:val="single" w:sz="8" w:color="434F69"/>
            </w:tcBorders>
          </w:tcPr>
          <w:p>
            <w:pPr>
              <w:jc w:val="right"/>
              <w:ind w:right="64"/>
              <w:spacing w:after="0"/>
              <w:rPr>
                <w:sz w:val="20"/>
                <w:szCs w:val="20"/>
                <w:color w:val="auto"/>
              </w:rPr>
            </w:pPr>
            <w:r>
              <w:rPr>
                <w:rFonts w:ascii="Arial" w:cs="Arial" w:eastAsia="Arial" w:hAnsi="Arial"/>
                <w:sz w:val="15"/>
                <w:szCs w:val="15"/>
                <w:color w:val="auto"/>
              </w:rPr>
              <w:t>3,584,379</w:t>
            </w:r>
            <w:r>
              <w:rPr>
                <w:rFonts w:ascii="Arial" w:cs="Arial" w:eastAsia="Arial" w:hAnsi="Arial"/>
                <w:sz w:val="19"/>
                <w:szCs w:val="19"/>
                <w:color w:val="auto"/>
                <w:vertAlign w:val="superscript"/>
              </w:rPr>
              <w:t>(10)</w:t>
            </w:r>
          </w:p>
        </w:tc>
        <w:tc>
          <w:tcPr>
            <w:tcW w:w="1160" w:type="dxa"/>
            <w:vAlign w:val="bottom"/>
            <w:tcBorders>
              <w:bottom w:val="single" w:sz="8" w:color="434F69"/>
              <w:right w:val="single" w:sz="8" w:color="434F69"/>
            </w:tcBorders>
          </w:tcPr>
          <w:p>
            <w:pPr>
              <w:jc w:val="right"/>
              <w:ind w:right="5"/>
              <w:spacing w:after="0"/>
              <w:rPr>
                <w:sz w:val="20"/>
                <w:szCs w:val="20"/>
                <w:color w:val="auto"/>
              </w:rPr>
            </w:pPr>
            <w:r>
              <w:rPr>
                <w:rFonts w:ascii="Arial" w:cs="Arial" w:eastAsia="Arial" w:hAnsi="Arial"/>
                <w:sz w:val="15"/>
                <w:szCs w:val="15"/>
                <w:color w:val="auto"/>
              </w:rPr>
              <w:t>3,584,379</w:t>
            </w:r>
            <w:r>
              <w:rPr>
                <w:rFonts w:ascii="Arial" w:cs="Arial" w:eastAsia="Arial" w:hAnsi="Arial"/>
                <w:sz w:val="19"/>
                <w:szCs w:val="19"/>
                <w:color w:val="auto"/>
                <w:vertAlign w:val="superscript"/>
              </w:rPr>
              <w:t>(4)</w:t>
            </w:r>
          </w:p>
        </w:tc>
        <w:tc>
          <w:tcPr>
            <w:tcW w:w="1140" w:type="dxa"/>
            <w:vAlign w:val="bottom"/>
            <w:tcBorders>
              <w:bottom w:val="single" w:sz="8" w:color="434F69"/>
              <w:right w:val="single" w:sz="8" w:color="434F69"/>
            </w:tcBorders>
          </w:tcPr>
          <w:p>
            <w:pPr>
              <w:jc w:val="right"/>
              <w:ind w:right="45"/>
              <w:spacing w:after="0"/>
              <w:rPr>
                <w:sz w:val="20"/>
                <w:szCs w:val="20"/>
                <w:color w:val="auto"/>
              </w:rPr>
            </w:pPr>
            <w:r>
              <w:rPr>
                <w:rFonts w:ascii="Arial" w:cs="Arial" w:eastAsia="Arial" w:hAnsi="Arial"/>
                <w:sz w:val="15"/>
                <w:szCs w:val="15"/>
                <w:color w:val="auto"/>
              </w:rPr>
              <w:t>3,584,379</w:t>
            </w:r>
            <w:r>
              <w:rPr>
                <w:rFonts w:ascii="Arial" w:cs="Arial" w:eastAsia="Arial" w:hAnsi="Arial"/>
                <w:sz w:val="19"/>
                <w:szCs w:val="19"/>
                <w:color w:val="auto"/>
                <w:vertAlign w:val="superscript"/>
              </w:rPr>
              <w:t>(4)</w:t>
            </w:r>
          </w:p>
        </w:tc>
        <w:tc>
          <w:tcPr>
            <w:tcW w:w="1260" w:type="dxa"/>
            <w:vAlign w:val="bottom"/>
            <w:tcBorders>
              <w:bottom w:val="single" w:sz="8" w:color="434F69"/>
              <w:right w:val="single" w:sz="8" w:color="434F69"/>
            </w:tcBorders>
          </w:tcPr>
          <w:p>
            <w:pPr>
              <w:jc w:val="right"/>
              <w:ind w:right="65"/>
              <w:spacing w:after="0"/>
              <w:rPr>
                <w:sz w:val="20"/>
                <w:szCs w:val="20"/>
                <w:color w:val="auto"/>
              </w:rPr>
            </w:pPr>
            <w:r>
              <w:rPr>
                <w:rFonts w:ascii="Arial" w:cs="Arial" w:eastAsia="Arial" w:hAnsi="Arial"/>
                <w:sz w:val="15"/>
                <w:szCs w:val="15"/>
                <w:color w:val="auto"/>
              </w:rPr>
              <w:t>3,584,379</w:t>
            </w:r>
            <w:r>
              <w:rPr>
                <w:rFonts w:ascii="Arial" w:cs="Arial" w:eastAsia="Arial" w:hAnsi="Arial"/>
                <w:sz w:val="19"/>
                <w:szCs w:val="19"/>
                <w:color w:val="auto"/>
                <w:vertAlign w:val="superscript"/>
              </w:rPr>
              <w:t>(5)</w:t>
            </w:r>
          </w:p>
        </w:tc>
      </w:tr>
      <w:tr>
        <w:trPr>
          <w:trHeight w:val="204"/>
        </w:trPr>
        <w:tc>
          <w:tcPr>
            <w:tcW w:w="2080" w:type="dxa"/>
            <w:vAlign w:val="bottom"/>
            <w:tcBorders>
              <w:left w:val="single" w:sz="8" w:color="434F69"/>
              <w:right w:val="single" w:sz="8" w:color="434F69"/>
            </w:tcBorders>
          </w:tcPr>
          <w:p>
            <w:pPr>
              <w:ind w:left="200"/>
              <w:spacing w:after="0"/>
              <w:rPr>
                <w:sz w:val="20"/>
                <w:szCs w:val="20"/>
                <w:color w:val="auto"/>
              </w:rPr>
            </w:pPr>
            <w:r>
              <w:rPr>
                <w:rFonts w:ascii="Arial" w:cs="Arial" w:eastAsia="Arial" w:hAnsi="Arial"/>
                <w:sz w:val="15"/>
                <w:szCs w:val="15"/>
                <w:color w:val="auto"/>
              </w:rPr>
              <w:t>Total</w:t>
            </w:r>
          </w:p>
        </w:tc>
        <w:tc>
          <w:tcPr>
            <w:tcW w:w="1240" w:type="dxa"/>
            <w:vAlign w:val="bottom"/>
            <w:tcBorders>
              <w:right w:val="single" w:sz="8" w:color="434F69"/>
            </w:tcBorders>
          </w:tcPr>
          <w:p>
            <w:pPr>
              <w:jc w:val="right"/>
              <w:ind w:right="224"/>
              <w:spacing w:after="0"/>
              <w:rPr>
                <w:sz w:val="20"/>
                <w:szCs w:val="20"/>
                <w:color w:val="auto"/>
              </w:rPr>
            </w:pPr>
            <w:r>
              <w:rPr>
                <w:rFonts w:ascii="Arial" w:cs="Arial" w:eastAsia="Arial" w:hAnsi="Arial"/>
                <w:sz w:val="15"/>
                <w:szCs w:val="15"/>
                <w:color w:val="auto"/>
              </w:rPr>
              <w:t>12,940,070</w:t>
            </w:r>
          </w:p>
        </w:tc>
        <w:tc>
          <w:tcPr>
            <w:tcW w:w="1340" w:type="dxa"/>
            <w:vAlign w:val="bottom"/>
            <w:tcBorders>
              <w:right w:val="single" w:sz="8" w:color="434F69"/>
            </w:tcBorders>
          </w:tcPr>
          <w:p>
            <w:pPr>
              <w:jc w:val="right"/>
              <w:ind w:right="244"/>
              <w:spacing w:after="0"/>
              <w:rPr>
                <w:sz w:val="20"/>
                <w:szCs w:val="20"/>
                <w:color w:val="auto"/>
              </w:rPr>
            </w:pPr>
            <w:r>
              <w:rPr>
                <w:rFonts w:ascii="Arial" w:cs="Arial" w:eastAsia="Arial" w:hAnsi="Arial"/>
                <w:sz w:val="15"/>
                <w:szCs w:val="15"/>
                <w:color w:val="auto"/>
              </w:rPr>
              <w:t>12,940,070</w:t>
            </w:r>
          </w:p>
        </w:tc>
        <w:tc>
          <w:tcPr>
            <w:tcW w:w="1160" w:type="dxa"/>
            <w:vAlign w:val="bottom"/>
            <w:tcBorders>
              <w:right w:val="single" w:sz="8" w:color="434F69"/>
            </w:tcBorders>
          </w:tcPr>
          <w:p>
            <w:pPr>
              <w:jc w:val="right"/>
              <w:ind w:right="125"/>
              <w:spacing w:after="0"/>
              <w:rPr>
                <w:sz w:val="20"/>
                <w:szCs w:val="20"/>
                <w:color w:val="auto"/>
              </w:rPr>
            </w:pPr>
            <w:r>
              <w:rPr>
                <w:rFonts w:ascii="Arial" w:cs="Arial" w:eastAsia="Arial" w:hAnsi="Arial"/>
                <w:sz w:val="15"/>
                <w:szCs w:val="15"/>
                <w:color w:val="auto"/>
              </w:rPr>
              <w:t>11,046,665</w:t>
            </w:r>
          </w:p>
        </w:tc>
        <w:tc>
          <w:tcPr>
            <w:tcW w:w="1140" w:type="dxa"/>
            <w:vAlign w:val="bottom"/>
            <w:tcBorders>
              <w:right w:val="single" w:sz="8" w:color="434F69"/>
            </w:tcBorders>
          </w:tcPr>
          <w:p>
            <w:pPr>
              <w:jc w:val="right"/>
              <w:ind w:right="165"/>
              <w:spacing w:after="0"/>
              <w:rPr>
                <w:sz w:val="20"/>
                <w:szCs w:val="20"/>
                <w:color w:val="auto"/>
              </w:rPr>
            </w:pPr>
            <w:r>
              <w:rPr>
                <w:rFonts w:ascii="Arial" w:cs="Arial" w:eastAsia="Arial" w:hAnsi="Arial"/>
                <w:sz w:val="15"/>
                <w:szCs w:val="15"/>
                <w:color w:val="auto"/>
              </w:rPr>
              <w:t>3,584,379</w:t>
            </w:r>
          </w:p>
        </w:tc>
        <w:tc>
          <w:tcPr>
            <w:tcW w:w="1260" w:type="dxa"/>
            <w:vAlign w:val="bottom"/>
            <w:tcBorders>
              <w:right w:val="single" w:sz="8" w:color="434F69"/>
            </w:tcBorders>
          </w:tcPr>
          <w:p>
            <w:pPr>
              <w:jc w:val="right"/>
              <w:ind w:right="185"/>
              <w:spacing w:after="0"/>
              <w:rPr>
                <w:sz w:val="20"/>
                <w:szCs w:val="20"/>
                <w:color w:val="auto"/>
              </w:rPr>
            </w:pPr>
            <w:r>
              <w:rPr>
                <w:rFonts w:ascii="Arial" w:cs="Arial" w:eastAsia="Arial" w:hAnsi="Arial"/>
                <w:sz w:val="15"/>
                <w:szCs w:val="15"/>
                <w:color w:val="auto"/>
              </w:rPr>
              <w:t>15,747,674</w:t>
            </w:r>
          </w:p>
        </w:tc>
      </w:tr>
      <w:tr>
        <w:trPr>
          <w:trHeight w:val="21"/>
        </w:trPr>
        <w:tc>
          <w:tcPr>
            <w:tcW w:w="2080" w:type="dxa"/>
            <w:vAlign w:val="bottom"/>
            <w:tcBorders>
              <w:left w:val="single" w:sz="8" w:color="434F69"/>
              <w:bottom w:val="single" w:sz="8" w:color="434F69"/>
              <w:right w:val="single" w:sz="8" w:color="434F69"/>
            </w:tcBorders>
          </w:tcPr>
          <w:p>
            <w:pPr>
              <w:spacing w:after="0" w:line="20" w:lineRule="exact"/>
              <w:rPr>
                <w:sz w:val="1"/>
                <w:szCs w:val="1"/>
                <w:color w:val="auto"/>
              </w:rPr>
            </w:pPr>
          </w:p>
        </w:tc>
        <w:tc>
          <w:tcPr>
            <w:tcW w:w="1240" w:type="dxa"/>
            <w:vAlign w:val="bottom"/>
            <w:tcBorders>
              <w:bottom w:val="single" w:sz="8" w:color="434F69"/>
              <w:right w:val="single" w:sz="8" w:color="434F69"/>
            </w:tcBorders>
          </w:tcPr>
          <w:p>
            <w:pPr>
              <w:spacing w:after="0" w:line="20" w:lineRule="exact"/>
              <w:rPr>
                <w:sz w:val="1"/>
                <w:szCs w:val="1"/>
                <w:color w:val="auto"/>
              </w:rPr>
            </w:pPr>
          </w:p>
        </w:tc>
        <w:tc>
          <w:tcPr>
            <w:tcW w:w="1340" w:type="dxa"/>
            <w:vAlign w:val="bottom"/>
            <w:tcBorders>
              <w:bottom w:val="single" w:sz="8" w:color="434F69"/>
              <w:right w:val="single" w:sz="8" w:color="434F69"/>
            </w:tcBorders>
          </w:tcPr>
          <w:p>
            <w:pPr>
              <w:spacing w:after="0" w:line="20" w:lineRule="exact"/>
              <w:rPr>
                <w:sz w:val="1"/>
                <w:szCs w:val="1"/>
                <w:color w:val="auto"/>
              </w:rPr>
            </w:pPr>
          </w:p>
        </w:tc>
        <w:tc>
          <w:tcPr>
            <w:tcW w:w="1160" w:type="dxa"/>
            <w:vAlign w:val="bottom"/>
            <w:tcBorders>
              <w:bottom w:val="single" w:sz="8" w:color="434F69"/>
              <w:right w:val="single" w:sz="8" w:color="434F69"/>
            </w:tcBorders>
          </w:tcPr>
          <w:p>
            <w:pPr>
              <w:spacing w:after="0" w:line="20" w:lineRule="exact"/>
              <w:rPr>
                <w:sz w:val="1"/>
                <w:szCs w:val="1"/>
                <w:color w:val="auto"/>
              </w:rPr>
            </w:pPr>
          </w:p>
        </w:tc>
        <w:tc>
          <w:tcPr>
            <w:tcW w:w="1140" w:type="dxa"/>
            <w:vAlign w:val="bottom"/>
            <w:tcBorders>
              <w:bottom w:val="single" w:sz="8" w:color="434F69"/>
              <w:right w:val="single" w:sz="8" w:color="434F69"/>
            </w:tcBorders>
          </w:tcPr>
          <w:p>
            <w:pPr>
              <w:spacing w:after="0" w:line="20" w:lineRule="exact"/>
              <w:rPr>
                <w:sz w:val="1"/>
                <w:szCs w:val="1"/>
                <w:color w:val="auto"/>
              </w:rPr>
            </w:pPr>
          </w:p>
        </w:tc>
        <w:tc>
          <w:tcPr>
            <w:tcW w:w="1260" w:type="dxa"/>
            <w:vAlign w:val="bottom"/>
            <w:tcBorders>
              <w:bottom w:val="single" w:sz="8" w:color="434F69"/>
              <w:right w:val="single" w:sz="8" w:color="434F69"/>
            </w:tcBorders>
          </w:tcPr>
          <w:p>
            <w:pPr>
              <w:spacing w:after="0" w:line="20" w:lineRule="exact"/>
              <w:rPr>
                <w:sz w:val="1"/>
                <w:szCs w:val="1"/>
                <w:color w:val="auto"/>
              </w:rPr>
            </w:pPr>
          </w:p>
        </w:tc>
      </w:tr>
      <w:tr>
        <w:trPr>
          <w:trHeight w:val="237"/>
        </w:trPr>
        <w:tc>
          <w:tcPr>
            <w:tcW w:w="208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Harry Pefanis</w:t>
            </w:r>
            <w:r>
              <w:rPr>
                <w:rFonts w:ascii="Arial" w:cs="Arial" w:eastAsia="Arial" w:hAnsi="Arial"/>
                <w:sz w:val="19"/>
                <w:szCs w:val="19"/>
                <w:b w:val="1"/>
                <w:bCs w:val="1"/>
                <w:color w:val="auto"/>
                <w:vertAlign w:val="superscript"/>
              </w:rPr>
              <w:t>(9)</w:t>
            </w:r>
          </w:p>
        </w:tc>
        <w:tc>
          <w:tcPr>
            <w:tcW w:w="1240" w:type="dxa"/>
            <w:vAlign w:val="bottom"/>
            <w:tcBorders>
              <w:bottom w:val="single" w:sz="8" w:color="434F69"/>
              <w:right w:val="single" w:sz="8" w:color="434F69"/>
            </w:tcBorders>
            <w:shd w:val="clear" w:color="auto" w:fill="D9DCE1"/>
          </w:tcPr>
          <w:p>
            <w:pPr>
              <w:spacing w:after="0"/>
              <w:rPr>
                <w:sz w:val="20"/>
                <w:szCs w:val="20"/>
                <w:color w:val="auto"/>
              </w:rPr>
            </w:pPr>
          </w:p>
        </w:tc>
        <w:tc>
          <w:tcPr>
            <w:tcW w:w="1340" w:type="dxa"/>
            <w:vAlign w:val="bottom"/>
            <w:tcBorders>
              <w:bottom w:val="single" w:sz="8" w:color="434F69"/>
              <w:right w:val="single" w:sz="8" w:color="434F69"/>
            </w:tcBorders>
            <w:shd w:val="clear" w:color="auto" w:fill="D9DCE1"/>
          </w:tcPr>
          <w:p>
            <w:pPr>
              <w:spacing w:after="0"/>
              <w:rPr>
                <w:sz w:val="20"/>
                <w:szCs w:val="20"/>
                <w:color w:val="auto"/>
              </w:rPr>
            </w:pPr>
          </w:p>
        </w:tc>
        <w:tc>
          <w:tcPr>
            <w:tcW w:w="1160" w:type="dxa"/>
            <w:vAlign w:val="bottom"/>
            <w:tcBorders>
              <w:bottom w:val="single" w:sz="8" w:color="434F69"/>
              <w:right w:val="single" w:sz="8" w:color="434F69"/>
            </w:tcBorders>
            <w:shd w:val="clear" w:color="auto" w:fill="D9DCE1"/>
          </w:tcPr>
          <w:p>
            <w:pPr>
              <w:spacing w:after="0"/>
              <w:rPr>
                <w:sz w:val="20"/>
                <w:szCs w:val="20"/>
                <w:color w:val="auto"/>
              </w:rPr>
            </w:pPr>
          </w:p>
        </w:tc>
        <w:tc>
          <w:tcPr>
            <w:tcW w:w="1140" w:type="dxa"/>
            <w:vAlign w:val="bottom"/>
            <w:tcBorders>
              <w:bottom w:val="single" w:sz="8" w:color="434F69"/>
              <w:right w:val="single" w:sz="8" w:color="434F69"/>
            </w:tcBorders>
            <w:shd w:val="clear" w:color="auto" w:fill="D9DCE1"/>
          </w:tcPr>
          <w:p>
            <w:pPr>
              <w:spacing w:after="0"/>
              <w:rPr>
                <w:sz w:val="20"/>
                <w:szCs w:val="20"/>
                <w:color w:val="auto"/>
              </w:rPr>
            </w:pPr>
          </w:p>
        </w:tc>
        <w:tc>
          <w:tcPr>
            <w:tcW w:w="1260" w:type="dxa"/>
            <w:vAlign w:val="bottom"/>
            <w:tcBorders>
              <w:bottom w:val="single" w:sz="8" w:color="434F69"/>
              <w:right w:val="single" w:sz="8" w:color="434F69"/>
            </w:tcBorders>
            <w:shd w:val="clear" w:color="auto" w:fill="D9DCE1"/>
          </w:tcPr>
          <w:p>
            <w:pPr>
              <w:spacing w:after="0"/>
              <w:rPr>
                <w:sz w:val="20"/>
                <w:szCs w:val="20"/>
                <w:color w:val="auto"/>
              </w:rPr>
            </w:pPr>
          </w:p>
        </w:tc>
      </w:tr>
      <w:tr>
        <w:trPr>
          <w:trHeight w:val="223"/>
        </w:trPr>
        <w:tc>
          <w:tcPr>
            <w:tcW w:w="2080" w:type="dxa"/>
            <w:vAlign w:val="bottom"/>
            <w:tcBorders>
              <w:left w:val="single" w:sz="8" w:color="434F69"/>
              <w:bottom w:val="single" w:sz="8" w:color="434F69"/>
              <w:right w:val="single" w:sz="8" w:color="434F69"/>
            </w:tcBorders>
          </w:tcPr>
          <w:p>
            <w:pPr>
              <w:ind w:left="200"/>
              <w:spacing w:after="0"/>
              <w:rPr>
                <w:sz w:val="20"/>
                <w:szCs w:val="20"/>
                <w:color w:val="auto"/>
              </w:rPr>
            </w:pPr>
            <w:r>
              <w:rPr>
                <w:rFonts w:ascii="Arial" w:cs="Arial" w:eastAsia="Arial" w:hAnsi="Arial"/>
                <w:sz w:val="15"/>
                <w:szCs w:val="15"/>
                <w:color w:val="auto"/>
              </w:rPr>
              <w:t>Salary and Bonus</w:t>
            </w:r>
          </w:p>
        </w:tc>
        <w:tc>
          <w:tcPr>
            <w:tcW w:w="1240" w:type="dxa"/>
            <w:vAlign w:val="bottom"/>
            <w:tcBorders>
              <w:bottom w:val="single" w:sz="8" w:color="434F69"/>
              <w:right w:val="single" w:sz="8" w:color="434F69"/>
            </w:tcBorders>
          </w:tcPr>
          <w:p>
            <w:pPr>
              <w:jc w:val="right"/>
              <w:ind w:right="104"/>
              <w:spacing w:after="0"/>
              <w:rPr>
                <w:sz w:val="20"/>
                <w:szCs w:val="20"/>
                <w:color w:val="auto"/>
              </w:rPr>
            </w:pPr>
            <w:r>
              <w:rPr>
                <w:rFonts w:ascii="Arial" w:cs="Arial" w:eastAsia="Arial" w:hAnsi="Arial"/>
                <w:sz w:val="15"/>
                <w:szCs w:val="15"/>
                <w:color w:val="auto"/>
              </w:rPr>
              <w:t>3,800,000</w:t>
            </w:r>
            <w:r>
              <w:rPr>
                <w:rFonts w:ascii="Arial" w:cs="Arial" w:eastAsia="Arial" w:hAnsi="Arial"/>
                <w:sz w:val="19"/>
                <w:szCs w:val="19"/>
                <w:color w:val="auto"/>
                <w:vertAlign w:val="superscript"/>
              </w:rPr>
              <w:t>(6)</w:t>
            </w:r>
          </w:p>
        </w:tc>
        <w:tc>
          <w:tcPr>
            <w:tcW w:w="1340" w:type="dxa"/>
            <w:vAlign w:val="bottom"/>
            <w:tcBorders>
              <w:bottom w:val="single" w:sz="8" w:color="434F69"/>
              <w:right w:val="single" w:sz="8" w:color="434F69"/>
            </w:tcBorders>
          </w:tcPr>
          <w:p>
            <w:pPr>
              <w:jc w:val="right"/>
              <w:ind w:right="124"/>
              <w:spacing w:after="0"/>
              <w:rPr>
                <w:sz w:val="20"/>
                <w:szCs w:val="20"/>
                <w:color w:val="auto"/>
              </w:rPr>
            </w:pPr>
            <w:r>
              <w:rPr>
                <w:rFonts w:ascii="Arial" w:cs="Arial" w:eastAsia="Arial" w:hAnsi="Arial"/>
                <w:sz w:val="15"/>
                <w:szCs w:val="15"/>
                <w:color w:val="auto"/>
              </w:rPr>
              <w:t>3,800,000</w:t>
            </w:r>
            <w:r>
              <w:rPr>
                <w:rFonts w:ascii="Arial" w:cs="Arial" w:eastAsia="Arial" w:hAnsi="Arial"/>
                <w:sz w:val="19"/>
                <w:szCs w:val="19"/>
                <w:color w:val="auto"/>
                <w:vertAlign w:val="superscript"/>
              </w:rPr>
              <w:t>(6)</w:t>
            </w:r>
          </w:p>
        </w:tc>
        <w:tc>
          <w:tcPr>
            <w:tcW w:w="1160" w:type="dxa"/>
            <w:vAlign w:val="bottom"/>
            <w:tcBorders>
              <w:bottom w:val="single" w:sz="8" w:color="434F69"/>
              <w:right w:val="single" w:sz="8" w:color="434F69"/>
            </w:tcBorders>
          </w:tcPr>
          <w:p>
            <w:pPr>
              <w:jc w:val="right"/>
              <w:ind w:right="5"/>
              <w:spacing w:after="0"/>
              <w:rPr>
                <w:sz w:val="20"/>
                <w:szCs w:val="20"/>
                <w:color w:val="auto"/>
              </w:rPr>
            </w:pPr>
            <w:r>
              <w:rPr>
                <w:rFonts w:ascii="Arial" w:cs="Arial" w:eastAsia="Arial" w:hAnsi="Arial"/>
                <w:sz w:val="15"/>
                <w:szCs w:val="15"/>
                <w:color w:val="auto"/>
              </w:rPr>
              <w:t>3,800,000</w:t>
            </w:r>
            <w:r>
              <w:rPr>
                <w:rFonts w:ascii="Arial" w:cs="Arial" w:eastAsia="Arial" w:hAnsi="Arial"/>
                <w:sz w:val="19"/>
                <w:szCs w:val="19"/>
                <w:color w:val="auto"/>
                <w:vertAlign w:val="superscript"/>
              </w:rPr>
              <w:t>(6)</w:t>
            </w:r>
          </w:p>
        </w:tc>
        <w:tc>
          <w:tcPr>
            <w:tcW w:w="1140" w:type="dxa"/>
            <w:vAlign w:val="bottom"/>
            <w:tcBorders>
              <w:bottom w:val="single" w:sz="8" w:color="434F69"/>
              <w:right w:val="single" w:sz="8" w:color="434F69"/>
            </w:tcBorders>
          </w:tcPr>
          <w:p>
            <w:pPr>
              <w:jc w:val="right"/>
              <w:ind w:right="45"/>
              <w:spacing w:after="0"/>
              <w:rPr>
                <w:sz w:val="20"/>
                <w:szCs w:val="20"/>
                <w:color w:val="auto"/>
              </w:rPr>
            </w:pPr>
            <w:r>
              <w:rPr>
                <w:rFonts w:ascii="Arial" w:cs="Arial" w:eastAsia="Arial" w:hAnsi="Arial"/>
                <w:sz w:val="15"/>
                <w:szCs w:val="15"/>
                <w:color w:val="auto"/>
              </w:rPr>
              <w:t>3,800,000</w:t>
            </w:r>
            <w:r>
              <w:rPr>
                <w:rFonts w:ascii="Arial" w:cs="Arial" w:eastAsia="Arial" w:hAnsi="Arial"/>
                <w:sz w:val="19"/>
                <w:szCs w:val="19"/>
                <w:color w:val="auto"/>
                <w:vertAlign w:val="superscript"/>
              </w:rPr>
              <w:t>(6)</w:t>
            </w:r>
          </w:p>
        </w:tc>
        <w:tc>
          <w:tcPr>
            <w:tcW w:w="1260" w:type="dxa"/>
            <w:vAlign w:val="bottom"/>
            <w:tcBorders>
              <w:bottom w:val="single" w:sz="8" w:color="434F69"/>
              <w:right w:val="single" w:sz="8" w:color="434F69"/>
            </w:tcBorders>
          </w:tcPr>
          <w:p>
            <w:pPr>
              <w:jc w:val="right"/>
              <w:ind w:right="65"/>
              <w:spacing w:after="0"/>
              <w:rPr>
                <w:sz w:val="20"/>
                <w:szCs w:val="20"/>
                <w:color w:val="auto"/>
              </w:rPr>
            </w:pPr>
            <w:r>
              <w:rPr>
                <w:rFonts w:ascii="Arial" w:cs="Arial" w:eastAsia="Arial" w:hAnsi="Arial"/>
                <w:sz w:val="15"/>
                <w:szCs w:val="15"/>
                <w:color w:val="auto"/>
              </w:rPr>
              <w:t>5,700,000</w:t>
            </w:r>
            <w:r>
              <w:rPr>
                <w:rFonts w:ascii="Arial" w:cs="Arial" w:eastAsia="Arial" w:hAnsi="Arial"/>
                <w:sz w:val="19"/>
                <w:szCs w:val="19"/>
                <w:color w:val="auto"/>
                <w:vertAlign w:val="superscript"/>
              </w:rPr>
              <w:t>(7)</w:t>
            </w:r>
          </w:p>
        </w:tc>
      </w:tr>
      <w:tr>
        <w:trPr>
          <w:trHeight w:val="223"/>
        </w:trPr>
        <w:tc>
          <w:tcPr>
            <w:tcW w:w="2080" w:type="dxa"/>
            <w:vAlign w:val="bottom"/>
            <w:tcBorders>
              <w:left w:val="single" w:sz="8" w:color="434F69"/>
              <w:bottom w:val="single" w:sz="8" w:color="434F69"/>
              <w:right w:val="single" w:sz="8" w:color="434F69"/>
            </w:tcBorders>
          </w:tcPr>
          <w:p>
            <w:pPr>
              <w:ind w:left="200"/>
              <w:spacing w:after="0"/>
              <w:rPr>
                <w:sz w:val="20"/>
                <w:szCs w:val="20"/>
                <w:color w:val="auto"/>
              </w:rPr>
            </w:pPr>
            <w:r>
              <w:rPr>
                <w:rFonts w:ascii="Arial" w:cs="Arial" w:eastAsia="Arial" w:hAnsi="Arial"/>
                <w:sz w:val="15"/>
                <w:szCs w:val="15"/>
                <w:color w:val="auto"/>
              </w:rPr>
              <w:t>Health Benefits</w:t>
            </w:r>
          </w:p>
        </w:tc>
        <w:tc>
          <w:tcPr>
            <w:tcW w:w="1240" w:type="dxa"/>
            <w:vAlign w:val="bottom"/>
            <w:tcBorders>
              <w:bottom w:val="single" w:sz="8" w:color="434F69"/>
              <w:right w:val="single" w:sz="8" w:color="434F69"/>
            </w:tcBorders>
          </w:tcPr>
          <w:p>
            <w:pPr>
              <w:jc w:val="right"/>
              <w:ind w:right="224"/>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434F69"/>
              <w:right w:val="single" w:sz="8" w:color="434F69"/>
            </w:tcBorders>
          </w:tcPr>
          <w:p>
            <w:pPr>
              <w:jc w:val="right"/>
              <w:ind w:right="124"/>
              <w:spacing w:after="0"/>
              <w:rPr>
                <w:sz w:val="20"/>
                <w:szCs w:val="20"/>
                <w:color w:val="auto"/>
              </w:rPr>
            </w:pPr>
            <w:r>
              <w:rPr>
                <w:rFonts w:ascii="Arial" w:cs="Arial" w:eastAsia="Arial" w:hAnsi="Arial"/>
                <w:sz w:val="15"/>
                <w:szCs w:val="15"/>
                <w:color w:val="auto"/>
              </w:rPr>
              <w:t>41,224</w:t>
            </w:r>
            <w:r>
              <w:rPr>
                <w:rFonts w:ascii="Arial" w:cs="Arial" w:eastAsia="Arial" w:hAnsi="Arial"/>
                <w:sz w:val="19"/>
                <w:szCs w:val="19"/>
                <w:color w:val="auto"/>
                <w:vertAlign w:val="superscript"/>
              </w:rPr>
              <w:t>(8)</w:t>
            </w:r>
          </w:p>
        </w:tc>
        <w:tc>
          <w:tcPr>
            <w:tcW w:w="1160" w:type="dxa"/>
            <w:vAlign w:val="bottom"/>
            <w:tcBorders>
              <w:bottom w:val="single" w:sz="8" w:color="434F69"/>
              <w:right w:val="single" w:sz="8" w:color="434F69"/>
            </w:tcBorders>
          </w:tcPr>
          <w:p>
            <w:pPr>
              <w:jc w:val="right"/>
              <w:ind w:right="5"/>
              <w:spacing w:after="0"/>
              <w:rPr>
                <w:sz w:val="20"/>
                <w:szCs w:val="20"/>
                <w:color w:val="auto"/>
              </w:rPr>
            </w:pPr>
            <w:r>
              <w:rPr>
                <w:rFonts w:ascii="Arial" w:cs="Arial" w:eastAsia="Arial" w:hAnsi="Arial"/>
                <w:sz w:val="15"/>
                <w:szCs w:val="15"/>
                <w:color w:val="auto"/>
              </w:rPr>
              <w:t>41,224</w:t>
            </w:r>
            <w:r>
              <w:rPr>
                <w:rFonts w:ascii="Arial" w:cs="Arial" w:eastAsia="Arial" w:hAnsi="Arial"/>
                <w:sz w:val="19"/>
                <w:szCs w:val="19"/>
                <w:color w:val="auto"/>
                <w:vertAlign w:val="superscript"/>
              </w:rPr>
              <w:t>(8)</w:t>
            </w:r>
          </w:p>
        </w:tc>
        <w:tc>
          <w:tcPr>
            <w:tcW w:w="1140" w:type="dxa"/>
            <w:vAlign w:val="bottom"/>
            <w:tcBorders>
              <w:bottom w:val="single" w:sz="8" w:color="434F69"/>
              <w:right w:val="single" w:sz="8" w:color="434F69"/>
            </w:tcBorders>
          </w:tcPr>
          <w:p>
            <w:pPr>
              <w:jc w:val="right"/>
              <w:ind w:right="45"/>
              <w:spacing w:after="0"/>
              <w:rPr>
                <w:sz w:val="20"/>
                <w:szCs w:val="20"/>
                <w:color w:val="auto"/>
              </w:rPr>
            </w:pPr>
            <w:r>
              <w:rPr>
                <w:rFonts w:ascii="Arial" w:cs="Arial" w:eastAsia="Arial" w:hAnsi="Arial"/>
                <w:sz w:val="15"/>
                <w:szCs w:val="15"/>
                <w:color w:val="auto"/>
              </w:rPr>
              <w:t>41,224</w:t>
            </w:r>
            <w:r>
              <w:rPr>
                <w:rFonts w:ascii="Arial" w:cs="Arial" w:eastAsia="Arial" w:hAnsi="Arial"/>
                <w:sz w:val="19"/>
                <w:szCs w:val="19"/>
                <w:color w:val="auto"/>
                <w:vertAlign w:val="superscript"/>
              </w:rPr>
              <w:t>(8)</w:t>
            </w:r>
          </w:p>
        </w:tc>
        <w:tc>
          <w:tcPr>
            <w:tcW w:w="1260" w:type="dxa"/>
            <w:vAlign w:val="bottom"/>
            <w:tcBorders>
              <w:bottom w:val="single" w:sz="8" w:color="434F69"/>
              <w:right w:val="single" w:sz="8" w:color="434F69"/>
            </w:tcBorders>
          </w:tcPr>
          <w:p>
            <w:pPr>
              <w:jc w:val="right"/>
              <w:ind w:right="65"/>
              <w:spacing w:after="0"/>
              <w:rPr>
                <w:sz w:val="20"/>
                <w:szCs w:val="20"/>
                <w:color w:val="auto"/>
              </w:rPr>
            </w:pPr>
            <w:r>
              <w:rPr>
                <w:rFonts w:ascii="Arial" w:cs="Arial" w:eastAsia="Arial" w:hAnsi="Arial"/>
                <w:sz w:val="15"/>
                <w:szCs w:val="15"/>
                <w:color w:val="auto"/>
              </w:rPr>
              <w:t>41,224</w:t>
            </w:r>
            <w:r>
              <w:rPr>
                <w:rFonts w:ascii="Arial" w:cs="Arial" w:eastAsia="Arial" w:hAnsi="Arial"/>
                <w:sz w:val="19"/>
                <w:szCs w:val="19"/>
                <w:color w:val="auto"/>
                <w:vertAlign w:val="superscript"/>
              </w:rPr>
              <w:t>(8)</w:t>
            </w:r>
          </w:p>
        </w:tc>
      </w:tr>
      <w:tr>
        <w:trPr>
          <w:trHeight w:val="202"/>
        </w:trPr>
        <w:tc>
          <w:tcPr>
            <w:tcW w:w="2080" w:type="dxa"/>
            <w:vAlign w:val="bottom"/>
            <w:tcBorders>
              <w:left w:val="single" w:sz="8" w:color="434F69"/>
              <w:right w:val="single" w:sz="8" w:color="434F69"/>
            </w:tcBorders>
          </w:tcPr>
          <w:p>
            <w:pPr>
              <w:ind w:left="200"/>
              <w:spacing w:after="0"/>
              <w:rPr>
                <w:sz w:val="20"/>
                <w:szCs w:val="20"/>
                <w:color w:val="auto"/>
              </w:rPr>
            </w:pPr>
            <w:r>
              <w:rPr>
                <w:rFonts w:ascii="Arial" w:cs="Arial" w:eastAsia="Arial" w:hAnsi="Arial"/>
                <w:sz w:val="15"/>
                <w:szCs w:val="15"/>
                <w:color w:val="auto"/>
              </w:rPr>
              <w:t>Total</w:t>
            </w:r>
          </w:p>
        </w:tc>
        <w:tc>
          <w:tcPr>
            <w:tcW w:w="1240" w:type="dxa"/>
            <w:vAlign w:val="bottom"/>
            <w:tcBorders>
              <w:right w:val="single" w:sz="8" w:color="434F69"/>
            </w:tcBorders>
          </w:tcPr>
          <w:p>
            <w:pPr>
              <w:jc w:val="right"/>
              <w:ind w:right="224"/>
              <w:spacing w:after="0"/>
              <w:rPr>
                <w:sz w:val="20"/>
                <w:szCs w:val="20"/>
                <w:color w:val="auto"/>
              </w:rPr>
            </w:pPr>
            <w:r>
              <w:rPr>
                <w:rFonts w:ascii="Arial" w:cs="Arial" w:eastAsia="Arial" w:hAnsi="Arial"/>
                <w:sz w:val="15"/>
                <w:szCs w:val="15"/>
                <w:color w:val="auto"/>
              </w:rPr>
              <w:t>3,800,000</w:t>
            </w:r>
          </w:p>
        </w:tc>
        <w:tc>
          <w:tcPr>
            <w:tcW w:w="1340" w:type="dxa"/>
            <w:vAlign w:val="bottom"/>
            <w:tcBorders>
              <w:right w:val="single" w:sz="8" w:color="434F69"/>
            </w:tcBorders>
          </w:tcPr>
          <w:p>
            <w:pPr>
              <w:jc w:val="right"/>
              <w:ind w:right="244"/>
              <w:spacing w:after="0"/>
              <w:rPr>
                <w:sz w:val="20"/>
                <w:szCs w:val="20"/>
                <w:color w:val="auto"/>
              </w:rPr>
            </w:pPr>
            <w:r>
              <w:rPr>
                <w:rFonts w:ascii="Arial" w:cs="Arial" w:eastAsia="Arial" w:hAnsi="Arial"/>
                <w:sz w:val="15"/>
                <w:szCs w:val="15"/>
                <w:color w:val="auto"/>
              </w:rPr>
              <w:t>3,841,224</w:t>
            </w:r>
          </w:p>
        </w:tc>
        <w:tc>
          <w:tcPr>
            <w:tcW w:w="1160" w:type="dxa"/>
            <w:vAlign w:val="bottom"/>
            <w:tcBorders>
              <w:right w:val="single" w:sz="8" w:color="434F69"/>
            </w:tcBorders>
          </w:tcPr>
          <w:p>
            <w:pPr>
              <w:jc w:val="right"/>
              <w:ind w:right="125"/>
              <w:spacing w:after="0"/>
              <w:rPr>
                <w:sz w:val="20"/>
                <w:szCs w:val="20"/>
                <w:color w:val="auto"/>
              </w:rPr>
            </w:pPr>
            <w:r>
              <w:rPr>
                <w:rFonts w:ascii="Arial" w:cs="Arial" w:eastAsia="Arial" w:hAnsi="Arial"/>
                <w:sz w:val="15"/>
                <w:szCs w:val="15"/>
                <w:color w:val="auto"/>
              </w:rPr>
              <w:t>3,841,224</w:t>
            </w:r>
          </w:p>
        </w:tc>
        <w:tc>
          <w:tcPr>
            <w:tcW w:w="1140" w:type="dxa"/>
            <w:vAlign w:val="bottom"/>
            <w:tcBorders>
              <w:right w:val="single" w:sz="8" w:color="434F69"/>
            </w:tcBorders>
          </w:tcPr>
          <w:p>
            <w:pPr>
              <w:jc w:val="right"/>
              <w:ind w:right="165"/>
              <w:spacing w:after="0"/>
              <w:rPr>
                <w:sz w:val="20"/>
                <w:szCs w:val="20"/>
                <w:color w:val="auto"/>
              </w:rPr>
            </w:pPr>
            <w:r>
              <w:rPr>
                <w:rFonts w:ascii="Arial" w:cs="Arial" w:eastAsia="Arial" w:hAnsi="Arial"/>
                <w:sz w:val="15"/>
                <w:szCs w:val="15"/>
                <w:color w:val="auto"/>
              </w:rPr>
              <w:t>3,841,224</w:t>
            </w:r>
          </w:p>
        </w:tc>
        <w:tc>
          <w:tcPr>
            <w:tcW w:w="1260" w:type="dxa"/>
            <w:vAlign w:val="bottom"/>
            <w:tcBorders>
              <w:right w:val="single" w:sz="8" w:color="434F69"/>
            </w:tcBorders>
          </w:tcPr>
          <w:p>
            <w:pPr>
              <w:jc w:val="right"/>
              <w:ind w:right="185"/>
              <w:spacing w:after="0"/>
              <w:rPr>
                <w:sz w:val="20"/>
                <w:szCs w:val="20"/>
                <w:color w:val="auto"/>
              </w:rPr>
            </w:pPr>
            <w:r>
              <w:rPr>
                <w:rFonts w:ascii="Arial" w:cs="Arial" w:eastAsia="Arial" w:hAnsi="Arial"/>
                <w:sz w:val="15"/>
                <w:szCs w:val="15"/>
                <w:color w:val="auto"/>
              </w:rPr>
              <w:t>5,741,224</w:t>
            </w:r>
          </w:p>
        </w:tc>
      </w:tr>
      <w:tr>
        <w:trPr>
          <w:trHeight w:val="21"/>
        </w:trPr>
        <w:tc>
          <w:tcPr>
            <w:tcW w:w="2080" w:type="dxa"/>
            <w:vAlign w:val="bottom"/>
            <w:tcBorders>
              <w:left w:val="single" w:sz="8" w:color="434F69"/>
              <w:bottom w:val="single" w:sz="8" w:color="434F69"/>
              <w:right w:val="single" w:sz="8" w:color="434F69"/>
            </w:tcBorders>
          </w:tcPr>
          <w:p>
            <w:pPr>
              <w:spacing w:after="0" w:line="20" w:lineRule="exact"/>
              <w:rPr>
                <w:sz w:val="1"/>
                <w:szCs w:val="1"/>
                <w:color w:val="auto"/>
              </w:rPr>
            </w:pPr>
          </w:p>
        </w:tc>
        <w:tc>
          <w:tcPr>
            <w:tcW w:w="1240" w:type="dxa"/>
            <w:vAlign w:val="bottom"/>
            <w:tcBorders>
              <w:bottom w:val="single" w:sz="8" w:color="434F69"/>
              <w:right w:val="single" w:sz="8" w:color="434F69"/>
            </w:tcBorders>
          </w:tcPr>
          <w:p>
            <w:pPr>
              <w:spacing w:after="0" w:line="20" w:lineRule="exact"/>
              <w:rPr>
                <w:sz w:val="1"/>
                <w:szCs w:val="1"/>
                <w:color w:val="auto"/>
              </w:rPr>
            </w:pPr>
          </w:p>
        </w:tc>
        <w:tc>
          <w:tcPr>
            <w:tcW w:w="1340" w:type="dxa"/>
            <w:vAlign w:val="bottom"/>
            <w:tcBorders>
              <w:bottom w:val="single" w:sz="8" w:color="434F69"/>
              <w:right w:val="single" w:sz="8" w:color="434F69"/>
            </w:tcBorders>
          </w:tcPr>
          <w:p>
            <w:pPr>
              <w:spacing w:after="0" w:line="20" w:lineRule="exact"/>
              <w:rPr>
                <w:sz w:val="1"/>
                <w:szCs w:val="1"/>
                <w:color w:val="auto"/>
              </w:rPr>
            </w:pPr>
          </w:p>
        </w:tc>
        <w:tc>
          <w:tcPr>
            <w:tcW w:w="1160" w:type="dxa"/>
            <w:vAlign w:val="bottom"/>
            <w:tcBorders>
              <w:bottom w:val="single" w:sz="8" w:color="434F69"/>
              <w:right w:val="single" w:sz="8" w:color="434F69"/>
            </w:tcBorders>
          </w:tcPr>
          <w:p>
            <w:pPr>
              <w:spacing w:after="0" w:line="20" w:lineRule="exact"/>
              <w:rPr>
                <w:sz w:val="1"/>
                <w:szCs w:val="1"/>
                <w:color w:val="auto"/>
              </w:rPr>
            </w:pPr>
          </w:p>
        </w:tc>
        <w:tc>
          <w:tcPr>
            <w:tcW w:w="1140" w:type="dxa"/>
            <w:vAlign w:val="bottom"/>
            <w:tcBorders>
              <w:bottom w:val="single" w:sz="8" w:color="434F69"/>
              <w:right w:val="single" w:sz="8" w:color="434F69"/>
            </w:tcBorders>
          </w:tcPr>
          <w:p>
            <w:pPr>
              <w:spacing w:after="0" w:line="20" w:lineRule="exact"/>
              <w:rPr>
                <w:sz w:val="1"/>
                <w:szCs w:val="1"/>
                <w:color w:val="auto"/>
              </w:rPr>
            </w:pPr>
          </w:p>
        </w:tc>
        <w:tc>
          <w:tcPr>
            <w:tcW w:w="1260" w:type="dxa"/>
            <w:vAlign w:val="bottom"/>
            <w:tcBorders>
              <w:bottom w:val="single" w:sz="8" w:color="434F69"/>
              <w:right w:val="single" w:sz="8" w:color="434F69"/>
            </w:tcBorders>
          </w:tcPr>
          <w:p>
            <w:pPr>
              <w:spacing w:after="0" w:line="20" w:lineRule="exact"/>
              <w:rPr>
                <w:sz w:val="1"/>
                <w:szCs w:val="1"/>
                <w:color w:val="auto"/>
              </w:rPr>
            </w:pPr>
          </w:p>
        </w:tc>
      </w:tr>
      <w:tr>
        <w:trPr>
          <w:trHeight w:val="237"/>
        </w:trPr>
        <w:tc>
          <w:tcPr>
            <w:tcW w:w="208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Al Swanson</w:t>
            </w:r>
            <w:r>
              <w:rPr>
                <w:rFonts w:ascii="Arial" w:cs="Arial" w:eastAsia="Arial" w:hAnsi="Arial"/>
                <w:sz w:val="19"/>
                <w:szCs w:val="19"/>
                <w:b w:val="1"/>
                <w:bCs w:val="1"/>
                <w:color w:val="auto"/>
                <w:vertAlign w:val="superscript"/>
              </w:rPr>
              <w:t>(9)</w:t>
            </w:r>
          </w:p>
        </w:tc>
        <w:tc>
          <w:tcPr>
            <w:tcW w:w="1240" w:type="dxa"/>
            <w:vAlign w:val="bottom"/>
            <w:tcBorders>
              <w:bottom w:val="single" w:sz="8" w:color="434F69"/>
              <w:right w:val="single" w:sz="8" w:color="434F69"/>
            </w:tcBorders>
            <w:shd w:val="clear" w:color="auto" w:fill="D9DCE1"/>
          </w:tcPr>
          <w:p>
            <w:pPr>
              <w:spacing w:after="0"/>
              <w:rPr>
                <w:sz w:val="20"/>
                <w:szCs w:val="20"/>
                <w:color w:val="auto"/>
              </w:rPr>
            </w:pPr>
          </w:p>
        </w:tc>
        <w:tc>
          <w:tcPr>
            <w:tcW w:w="1340" w:type="dxa"/>
            <w:vAlign w:val="bottom"/>
            <w:tcBorders>
              <w:bottom w:val="single" w:sz="8" w:color="434F69"/>
              <w:right w:val="single" w:sz="8" w:color="434F69"/>
            </w:tcBorders>
            <w:shd w:val="clear" w:color="auto" w:fill="D9DCE1"/>
          </w:tcPr>
          <w:p>
            <w:pPr>
              <w:spacing w:after="0"/>
              <w:rPr>
                <w:sz w:val="20"/>
                <w:szCs w:val="20"/>
                <w:color w:val="auto"/>
              </w:rPr>
            </w:pPr>
          </w:p>
        </w:tc>
        <w:tc>
          <w:tcPr>
            <w:tcW w:w="1160" w:type="dxa"/>
            <w:vAlign w:val="bottom"/>
            <w:tcBorders>
              <w:bottom w:val="single" w:sz="8" w:color="434F69"/>
              <w:right w:val="single" w:sz="8" w:color="434F69"/>
            </w:tcBorders>
            <w:shd w:val="clear" w:color="auto" w:fill="D9DCE1"/>
          </w:tcPr>
          <w:p>
            <w:pPr>
              <w:spacing w:after="0"/>
              <w:rPr>
                <w:sz w:val="20"/>
                <w:szCs w:val="20"/>
                <w:color w:val="auto"/>
              </w:rPr>
            </w:pPr>
          </w:p>
        </w:tc>
        <w:tc>
          <w:tcPr>
            <w:tcW w:w="1140" w:type="dxa"/>
            <w:vAlign w:val="bottom"/>
            <w:tcBorders>
              <w:bottom w:val="single" w:sz="8" w:color="434F69"/>
              <w:right w:val="single" w:sz="8" w:color="434F69"/>
            </w:tcBorders>
            <w:shd w:val="clear" w:color="auto" w:fill="D9DCE1"/>
          </w:tcPr>
          <w:p>
            <w:pPr>
              <w:spacing w:after="0"/>
              <w:rPr>
                <w:sz w:val="20"/>
                <w:szCs w:val="20"/>
                <w:color w:val="auto"/>
              </w:rPr>
            </w:pPr>
          </w:p>
        </w:tc>
        <w:tc>
          <w:tcPr>
            <w:tcW w:w="1260" w:type="dxa"/>
            <w:vAlign w:val="bottom"/>
            <w:tcBorders>
              <w:bottom w:val="single" w:sz="8" w:color="434F69"/>
              <w:right w:val="single" w:sz="8" w:color="434F69"/>
            </w:tcBorders>
            <w:shd w:val="clear" w:color="auto" w:fill="D9DCE1"/>
          </w:tcPr>
          <w:p>
            <w:pPr>
              <w:spacing w:after="0"/>
              <w:rPr>
                <w:sz w:val="20"/>
                <w:szCs w:val="20"/>
                <w:color w:val="auto"/>
              </w:rPr>
            </w:pPr>
          </w:p>
        </w:tc>
      </w:tr>
      <w:tr>
        <w:trPr>
          <w:trHeight w:val="237"/>
        </w:trPr>
        <w:tc>
          <w:tcPr>
            <w:tcW w:w="2080" w:type="dxa"/>
            <w:vAlign w:val="bottom"/>
            <w:tcBorders>
              <w:left w:val="single" w:sz="8" w:color="434F69"/>
              <w:bottom w:val="single" w:sz="8" w:color="434F69"/>
              <w:right w:val="single" w:sz="8" w:color="434F69"/>
            </w:tcBorders>
          </w:tcPr>
          <w:p>
            <w:pPr>
              <w:ind w:left="200"/>
              <w:spacing w:after="0"/>
              <w:rPr>
                <w:sz w:val="20"/>
                <w:szCs w:val="20"/>
                <w:color w:val="auto"/>
              </w:rPr>
            </w:pPr>
            <w:r>
              <w:rPr>
                <w:rFonts w:ascii="Arial" w:cs="Arial" w:eastAsia="Arial" w:hAnsi="Arial"/>
                <w:sz w:val="15"/>
                <w:szCs w:val="15"/>
                <w:color w:val="auto"/>
              </w:rPr>
              <w:t>Equity Compensation</w:t>
            </w:r>
          </w:p>
        </w:tc>
        <w:tc>
          <w:tcPr>
            <w:tcW w:w="1240" w:type="dxa"/>
            <w:vAlign w:val="bottom"/>
            <w:tcBorders>
              <w:bottom w:val="single" w:sz="8" w:color="434F69"/>
              <w:right w:val="single" w:sz="8" w:color="434F69"/>
            </w:tcBorders>
          </w:tcPr>
          <w:p>
            <w:pPr>
              <w:jc w:val="right"/>
              <w:ind w:right="104"/>
              <w:spacing w:after="0"/>
              <w:rPr>
                <w:sz w:val="20"/>
                <w:szCs w:val="20"/>
                <w:color w:val="auto"/>
              </w:rPr>
            </w:pPr>
            <w:r>
              <w:rPr>
                <w:rFonts w:ascii="Arial" w:cs="Arial" w:eastAsia="Arial" w:hAnsi="Arial"/>
                <w:sz w:val="15"/>
                <w:szCs w:val="15"/>
                <w:color w:val="auto"/>
              </w:rPr>
              <w:t>1,874,351</w:t>
            </w:r>
            <w:r>
              <w:rPr>
                <w:rFonts w:ascii="Arial" w:cs="Arial" w:eastAsia="Arial" w:hAnsi="Arial"/>
                <w:sz w:val="19"/>
                <w:szCs w:val="19"/>
                <w:color w:val="auto"/>
                <w:vertAlign w:val="superscript"/>
              </w:rPr>
              <w:t>(1)</w:t>
            </w:r>
          </w:p>
        </w:tc>
        <w:tc>
          <w:tcPr>
            <w:tcW w:w="1340" w:type="dxa"/>
            <w:vAlign w:val="bottom"/>
            <w:tcBorders>
              <w:bottom w:val="single" w:sz="8" w:color="434F69"/>
              <w:right w:val="single" w:sz="8" w:color="434F69"/>
            </w:tcBorders>
          </w:tcPr>
          <w:p>
            <w:pPr>
              <w:jc w:val="right"/>
              <w:ind w:right="124"/>
              <w:spacing w:after="0"/>
              <w:rPr>
                <w:sz w:val="20"/>
                <w:szCs w:val="20"/>
                <w:color w:val="auto"/>
              </w:rPr>
            </w:pPr>
            <w:r>
              <w:rPr>
                <w:rFonts w:ascii="Arial" w:cs="Arial" w:eastAsia="Arial" w:hAnsi="Arial"/>
                <w:sz w:val="15"/>
                <w:szCs w:val="15"/>
                <w:color w:val="auto"/>
              </w:rPr>
              <w:t>1,874,351</w:t>
            </w:r>
            <w:r>
              <w:rPr>
                <w:rFonts w:ascii="Arial" w:cs="Arial" w:eastAsia="Arial" w:hAnsi="Arial"/>
                <w:sz w:val="19"/>
                <w:szCs w:val="19"/>
                <w:color w:val="auto"/>
                <w:vertAlign w:val="superscript"/>
              </w:rPr>
              <w:t>(1)</w:t>
            </w:r>
          </w:p>
        </w:tc>
        <w:tc>
          <w:tcPr>
            <w:tcW w:w="1160" w:type="dxa"/>
            <w:vAlign w:val="bottom"/>
            <w:tcBorders>
              <w:bottom w:val="single" w:sz="8" w:color="434F69"/>
              <w:right w:val="single" w:sz="8" w:color="434F69"/>
            </w:tcBorders>
          </w:tcPr>
          <w:p>
            <w:pPr>
              <w:jc w:val="right"/>
              <w:ind w:right="5"/>
              <w:spacing w:after="0"/>
              <w:rPr>
                <w:sz w:val="20"/>
                <w:szCs w:val="20"/>
                <w:color w:val="auto"/>
              </w:rPr>
            </w:pPr>
            <w:r>
              <w:rPr>
                <w:rFonts w:ascii="Arial" w:cs="Arial" w:eastAsia="Arial" w:hAnsi="Arial"/>
                <w:sz w:val="15"/>
                <w:szCs w:val="15"/>
                <w:color w:val="auto"/>
              </w:rPr>
              <w:t>1,116,971</w:t>
            </w:r>
            <w:r>
              <w:rPr>
                <w:rFonts w:ascii="Arial" w:cs="Arial" w:eastAsia="Arial" w:hAnsi="Arial"/>
                <w:sz w:val="19"/>
                <w:szCs w:val="19"/>
                <w:color w:val="auto"/>
                <w:vertAlign w:val="superscript"/>
              </w:rPr>
              <w:t>(2)</w:t>
            </w:r>
          </w:p>
        </w:tc>
        <w:tc>
          <w:tcPr>
            <w:tcW w:w="1140" w:type="dxa"/>
            <w:vAlign w:val="bottom"/>
            <w:tcBorders>
              <w:bottom w:val="single" w:sz="8" w:color="434F69"/>
              <w:right w:val="single" w:sz="8" w:color="434F69"/>
            </w:tcBorders>
          </w:tcPr>
          <w:p>
            <w:pPr>
              <w:jc w:val="right"/>
              <w:ind w:right="16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434F69"/>
              <w:right w:val="single" w:sz="8" w:color="434F69"/>
            </w:tcBorders>
          </w:tcPr>
          <w:p>
            <w:pPr>
              <w:jc w:val="right"/>
              <w:ind w:right="165"/>
              <w:spacing w:after="0"/>
              <w:rPr>
                <w:sz w:val="20"/>
                <w:szCs w:val="20"/>
                <w:color w:val="auto"/>
              </w:rPr>
            </w:pPr>
            <w:r>
              <w:rPr>
                <w:rFonts w:ascii="Arial" w:cs="Arial" w:eastAsia="Arial" w:hAnsi="Arial"/>
                <w:sz w:val="15"/>
                <w:szCs w:val="15"/>
                <w:color w:val="auto"/>
              </w:rPr>
              <w:t>2,997,019</w:t>
            </w:r>
            <w:r>
              <w:rPr>
                <w:rFonts w:ascii="Arial" w:cs="Arial" w:eastAsia="Arial" w:hAnsi="Arial"/>
                <w:sz w:val="19"/>
                <w:szCs w:val="19"/>
                <w:color w:val="auto"/>
                <w:vertAlign w:val="superscript"/>
              </w:rPr>
              <w:t>(3)</w:t>
            </w:r>
          </w:p>
        </w:tc>
      </w:tr>
      <w:tr>
        <w:trPr>
          <w:trHeight w:val="202"/>
        </w:trPr>
        <w:tc>
          <w:tcPr>
            <w:tcW w:w="2080" w:type="dxa"/>
            <w:vAlign w:val="bottom"/>
            <w:tcBorders>
              <w:left w:val="single" w:sz="8" w:color="434F69"/>
              <w:right w:val="single" w:sz="8" w:color="434F69"/>
            </w:tcBorders>
          </w:tcPr>
          <w:p>
            <w:pPr>
              <w:ind w:left="200"/>
              <w:spacing w:after="0"/>
              <w:rPr>
                <w:sz w:val="20"/>
                <w:szCs w:val="20"/>
                <w:color w:val="auto"/>
              </w:rPr>
            </w:pPr>
            <w:r>
              <w:rPr>
                <w:rFonts w:ascii="Arial" w:cs="Arial" w:eastAsia="Arial" w:hAnsi="Arial"/>
                <w:sz w:val="15"/>
                <w:szCs w:val="15"/>
                <w:color w:val="auto"/>
              </w:rPr>
              <w:t>Total</w:t>
            </w:r>
          </w:p>
        </w:tc>
        <w:tc>
          <w:tcPr>
            <w:tcW w:w="1240" w:type="dxa"/>
            <w:vAlign w:val="bottom"/>
            <w:tcBorders>
              <w:right w:val="single" w:sz="8" w:color="434F69"/>
            </w:tcBorders>
          </w:tcPr>
          <w:p>
            <w:pPr>
              <w:jc w:val="right"/>
              <w:ind w:right="224"/>
              <w:spacing w:after="0"/>
              <w:rPr>
                <w:sz w:val="20"/>
                <w:szCs w:val="20"/>
                <w:color w:val="auto"/>
              </w:rPr>
            </w:pPr>
            <w:r>
              <w:rPr>
                <w:rFonts w:ascii="Arial" w:cs="Arial" w:eastAsia="Arial" w:hAnsi="Arial"/>
                <w:sz w:val="15"/>
                <w:szCs w:val="15"/>
                <w:color w:val="auto"/>
              </w:rPr>
              <w:t>1,874,351</w:t>
            </w:r>
          </w:p>
        </w:tc>
        <w:tc>
          <w:tcPr>
            <w:tcW w:w="1340" w:type="dxa"/>
            <w:vAlign w:val="bottom"/>
            <w:tcBorders>
              <w:right w:val="single" w:sz="8" w:color="434F69"/>
            </w:tcBorders>
          </w:tcPr>
          <w:p>
            <w:pPr>
              <w:jc w:val="right"/>
              <w:ind w:right="244"/>
              <w:spacing w:after="0"/>
              <w:rPr>
                <w:sz w:val="20"/>
                <w:szCs w:val="20"/>
                <w:color w:val="auto"/>
              </w:rPr>
            </w:pPr>
            <w:r>
              <w:rPr>
                <w:rFonts w:ascii="Arial" w:cs="Arial" w:eastAsia="Arial" w:hAnsi="Arial"/>
                <w:sz w:val="15"/>
                <w:szCs w:val="15"/>
                <w:color w:val="auto"/>
              </w:rPr>
              <w:t>1,874,351</w:t>
            </w:r>
          </w:p>
        </w:tc>
        <w:tc>
          <w:tcPr>
            <w:tcW w:w="1160" w:type="dxa"/>
            <w:vAlign w:val="bottom"/>
            <w:tcBorders>
              <w:right w:val="single" w:sz="8" w:color="434F69"/>
            </w:tcBorders>
          </w:tcPr>
          <w:p>
            <w:pPr>
              <w:jc w:val="right"/>
              <w:ind w:right="125"/>
              <w:spacing w:after="0"/>
              <w:rPr>
                <w:sz w:val="20"/>
                <w:szCs w:val="20"/>
                <w:color w:val="auto"/>
              </w:rPr>
            </w:pPr>
            <w:r>
              <w:rPr>
                <w:rFonts w:ascii="Arial" w:cs="Arial" w:eastAsia="Arial" w:hAnsi="Arial"/>
                <w:sz w:val="15"/>
                <w:szCs w:val="15"/>
                <w:color w:val="auto"/>
              </w:rPr>
              <w:t>1,116,971</w:t>
            </w:r>
          </w:p>
        </w:tc>
        <w:tc>
          <w:tcPr>
            <w:tcW w:w="1140" w:type="dxa"/>
            <w:vAlign w:val="bottom"/>
            <w:tcBorders>
              <w:right w:val="single" w:sz="8" w:color="434F69"/>
            </w:tcBorders>
          </w:tcPr>
          <w:p>
            <w:pPr>
              <w:jc w:val="right"/>
              <w:ind w:right="165"/>
              <w:spacing w:after="0"/>
              <w:rPr>
                <w:sz w:val="20"/>
                <w:szCs w:val="20"/>
                <w:color w:val="auto"/>
              </w:rPr>
            </w:pPr>
            <w:r>
              <w:rPr>
                <w:rFonts w:ascii="Arial" w:cs="Arial" w:eastAsia="Arial" w:hAnsi="Arial"/>
                <w:sz w:val="15"/>
                <w:szCs w:val="15"/>
                <w:color w:val="auto"/>
              </w:rPr>
              <w:t>—</w:t>
            </w:r>
          </w:p>
        </w:tc>
        <w:tc>
          <w:tcPr>
            <w:tcW w:w="1260" w:type="dxa"/>
            <w:vAlign w:val="bottom"/>
            <w:tcBorders>
              <w:right w:val="single" w:sz="8" w:color="434F69"/>
            </w:tcBorders>
          </w:tcPr>
          <w:p>
            <w:pPr>
              <w:jc w:val="right"/>
              <w:ind w:right="185"/>
              <w:spacing w:after="0"/>
              <w:rPr>
                <w:sz w:val="20"/>
                <w:szCs w:val="20"/>
                <w:color w:val="auto"/>
              </w:rPr>
            </w:pPr>
            <w:r>
              <w:rPr>
                <w:rFonts w:ascii="Arial" w:cs="Arial" w:eastAsia="Arial" w:hAnsi="Arial"/>
                <w:sz w:val="15"/>
                <w:szCs w:val="15"/>
                <w:color w:val="auto"/>
              </w:rPr>
              <w:t>2,997,019</w:t>
            </w:r>
          </w:p>
        </w:tc>
      </w:tr>
      <w:tr>
        <w:trPr>
          <w:trHeight w:val="22"/>
        </w:trPr>
        <w:tc>
          <w:tcPr>
            <w:tcW w:w="2080" w:type="dxa"/>
            <w:vAlign w:val="bottom"/>
            <w:tcBorders>
              <w:left w:val="single" w:sz="8" w:color="434F69"/>
              <w:bottom w:val="single" w:sz="8" w:color="434F69"/>
              <w:right w:val="single" w:sz="8" w:color="434F69"/>
            </w:tcBorders>
          </w:tcPr>
          <w:p>
            <w:pPr>
              <w:spacing w:after="0" w:line="20" w:lineRule="exact"/>
              <w:rPr>
                <w:sz w:val="1"/>
                <w:szCs w:val="1"/>
                <w:color w:val="auto"/>
              </w:rPr>
            </w:pPr>
          </w:p>
        </w:tc>
        <w:tc>
          <w:tcPr>
            <w:tcW w:w="1240" w:type="dxa"/>
            <w:vAlign w:val="bottom"/>
            <w:tcBorders>
              <w:bottom w:val="single" w:sz="8" w:color="434F69"/>
              <w:right w:val="single" w:sz="8" w:color="434F69"/>
            </w:tcBorders>
          </w:tcPr>
          <w:p>
            <w:pPr>
              <w:spacing w:after="0" w:line="20" w:lineRule="exact"/>
              <w:rPr>
                <w:sz w:val="1"/>
                <w:szCs w:val="1"/>
                <w:color w:val="auto"/>
              </w:rPr>
            </w:pPr>
          </w:p>
        </w:tc>
        <w:tc>
          <w:tcPr>
            <w:tcW w:w="1340" w:type="dxa"/>
            <w:vAlign w:val="bottom"/>
            <w:tcBorders>
              <w:bottom w:val="single" w:sz="8" w:color="434F69"/>
              <w:right w:val="single" w:sz="8" w:color="434F69"/>
            </w:tcBorders>
          </w:tcPr>
          <w:p>
            <w:pPr>
              <w:spacing w:after="0" w:line="20" w:lineRule="exact"/>
              <w:rPr>
                <w:sz w:val="1"/>
                <w:szCs w:val="1"/>
                <w:color w:val="auto"/>
              </w:rPr>
            </w:pPr>
          </w:p>
        </w:tc>
        <w:tc>
          <w:tcPr>
            <w:tcW w:w="1160" w:type="dxa"/>
            <w:vAlign w:val="bottom"/>
            <w:tcBorders>
              <w:bottom w:val="single" w:sz="8" w:color="434F69"/>
              <w:right w:val="single" w:sz="8" w:color="434F69"/>
            </w:tcBorders>
          </w:tcPr>
          <w:p>
            <w:pPr>
              <w:spacing w:after="0" w:line="20" w:lineRule="exact"/>
              <w:rPr>
                <w:sz w:val="1"/>
                <w:szCs w:val="1"/>
                <w:color w:val="auto"/>
              </w:rPr>
            </w:pPr>
          </w:p>
        </w:tc>
        <w:tc>
          <w:tcPr>
            <w:tcW w:w="1140" w:type="dxa"/>
            <w:vAlign w:val="bottom"/>
            <w:tcBorders>
              <w:bottom w:val="single" w:sz="8" w:color="434F69"/>
              <w:right w:val="single" w:sz="8" w:color="434F69"/>
            </w:tcBorders>
          </w:tcPr>
          <w:p>
            <w:pPr>
              <w:spacing w:after="0" w:line="20" w:lineRule="exact"/>
              <w:rPr>
                <w:sz w:val="1"/>
                <w:szCs w:val="1"/>
                <w:color w:val="auto"/>
              </w:rPr>
            </w:pPr>
          </w:p>
        </w:tc>
        <w:tc>
          <w:tcPr>
            <w:tcW w:w="1260" w:type="dxa"/>
            <w:vAlign w:val="bottom"/>
            <w:tcBorders>
              <w:bottom w:val="single" w:sz="8" w:color="434F69"/>
              <w:right w:val="single" w:sz="8" w:color="434F69"/>
            </w:tcBorders>
          </w:tcPr>
          <w:p>
            <w:pPr>
              <w:spacing w:after="0" w:line="20" w:lineRule="exact"/>
              <w:rPr>
                <w:sz w:val="1"/>
                <w:szCs w:val="1"/>
                <w:color w:val="auto"/>
              </w:rPr>
            </w:pPr>
          </w:p>
        </w:tc>
      </w:tr>
      <w:tr>
        <w:trPr>
          <w:trHeight w:val="236"/>
        </w:trPr>
        <w:tc>
          <w:tcPr>
            <w:tcW w:w="208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Richard McGee</w:t>
            </w:r>
            <w:r>
              <w:rPr>
                <w:rFonts w:ascii="Arial" w:cs="Arial" w:eastAsia="Arial" w:hAnsi="Arial"/>
                <w:sz w:val="19"/>
                <w:szCs w:val="19"/>
                <w:b w:val="1"/>
                <w:bCs w:val="1"/>
                <w:color w:val="auto"/>
                <w:vertAlign w:val="superscript"/>
              </w:rPr>
              <w:t>(9)</w:t>
            </w:r>
          </w:p>
        </w:tc>
        <w:tc>
          <w:tcPr>
            <w:tcW w:w="1240" w:type="dxa"/>
            <w:vAlign w:val="bottom"/>
            <w:tcBorders>
              <w:bottom w:val="single" w:sz="8" w:color="434F69"/>
              <w:right w:val="single" w:sz="8" w:color="434F69"/>
            </w:tcBorders>
            <w:shd w:val="clear" w:color="auto" w:fill="D9DCE1"/>
          </w:tcPr>
          <w:p>
            <w:pPr>
              <w:spacing w:after="0"/>
              <w:rPr>
                <w:sz w:val="20"/>
                <w:szCs w:val="20"/>
                <w:color w:val="auto"/>
              </w:rPr>
            </w:pPr>
          </w:p>
        </w:tc>
        <w:tc>
          <w:tcPr>
            <w:tcW w:w="1340" w:type="dxa"/>
            <w:vAlign w:val="bottom"/>
            <w:tcBorders>
              <w:bottom w:val="single" w:sz="8" w:color="434F69"/>
              <w:right w:val="single" w:sz="8" w:color="434F69"/>
            </w:tcBorders>
            <w:shd w:val="clear" w:color="auto" w:fill="D9DCE1"/>
          </w:tcPr>
          <w:p>
            <w:pPr>
              <w:spacing w:after="0"/>
              <w:rPr>
                <w:sz w:val="20"/>
                <w:szCs w:val="20"/>
                <w:color w:val="auto"/>
              </w:rPr>
            </w:pPr>
          </w:p>
        </w:tc>
        <w:tc>
          <w:tcPr>
            <w:tcW w:w="1160" w:type="dxa"/>
            <w:vAlign w:val="bottom"/>
            <w:tcBorders>
              <w:bottom w:val="single" w:sz="8" w:color="434F69"/>
              <w:right w:val="single" w:sz="8" w:color="434F69"/>
            </w:tcBorders>
            <w:shd w:val="clear" w:color="auto" w:fill="D9DCE1"/>
          </w:tcPr>
          <w:p>
            <w:pPr>
              <w:spacing w:after="0"/>
              <w:rPr>
                <w:sz w:val="20"/>
                <w:szCs w:val="20"/>
                <w:color w:val="auto"/>
              </w:rPr>
            </w:pPr>
          </w:p>
        </w:tc>
        <w:tc>
          <w:tcPr>
            <w:tcW w:w="1140" w:type="dxa"/>
            <w:vAlign w:val="bottom"/>
            <w:tcBorders>
              <w:bottom w:val="single" w:sz="8" w:color="434F69"/>
              <w:right w:val="single" w:sz="8" w:color="434F69"/>
            </w:tcBorders>
            <w:shd w:val="clear" w:color="auto" w:fill="D9DCE1"/>
          </w:tcPr>
          <w:p>
            <w:pPr>
              <w:spacing w:after="0"/>
              <w:rPr>
                <w:sz w:val="20"/>
                <w:szCs w:val="20"/>
                <w:color w:val="auto"/>
              </w:rPr>
            </w:pPr>
          </w:p>
        </w:tc>
        <w:tc>
          <w:tcPr>
            <w:tcW w:w="1260" w:type="dxa"/>
            <w:vAlign w:val="bottom"/>
            <w:tcBorders>
              <w:bottom w:val="single" w:sz="8" w:color="434F69"/>
              <w:right w:val="single" w:sz="8" w:color="434F69"/>
            </w:tcBorders>
            <w:shd w:val="clear" w:color="auto" w:fill="D9DCE1"/>
          </w:tcPr>
          <w:p>
            <w:pPr>
              <w:spacing w:after="0"/>
              <w:rPr>
                <w:sz w:val="20"/>
                <w:szCs w:val="20"/>
                <w:color w:val="auto"/>
              </w:rPr>
            </w:pPr>
          </w:p>
        </w:tc>
      </w:tr>
      <w:tr>
        <w:trPr>
          <w:trHeight w:val="223"/>
        </w:trPr>
        <w:tc>
          <w:tcPr>
            <w:tcW w:w="2080" w:type="dxa"/>
            <w:vAlign w:val="bottom"/>
            <w:tcBorders>
              <w:left w:val="single" w:sz="8" w:color="434F69"/>
              <w:bottom w:val="single" w:sz="8" w:color="434F69"/>
              <w:right w:val="single" w:sz="8" w:color="434F69"/>
            </w:tcBorders>
          </w:tcPr>
          <w:p>
            <w:pPr>
              <w:ind w:left="200"/>
              <w:spacing w:after="0"/>
              <w:rPr>
                <w:sz w:val="20"/>
                <w:szCs w:val="20"/>
                <w:color w:val="auto"/>
              </w:rPr>
            </w:pPr>
            <w:r>
              <w:rPr>
                <w:rFonts w:ascii="Arial" w:cs="Arial" w:eastAsia="Arial" w:hAnsi="Arial"/>
                <w:sz w:val="15"/>
                <w:szCs w:val="15"/>
                <w:color w:val="auto"/>
              </w:rPr>
              <w:t>Equity Compensation</w:t>
            </w:r>
          </w:p>
        </w:tc>
        <w:tc>
          <w:tcPr>
            <w:tcW w:w="1240" w:type="dxa"/>
            <w:vAlign w:val="bottom"/>
            <w:tcBorders>
              <w:bottom w:val="single" w:sz="8" w:color="434F69"/>
              <w:right w:val="single" w:sz="8" w:color="434F69"/>
            </w:tcBorders>
          </w:tcPr>
          <w:p>
            <w:pPr>
              <w:jc w:val="right"/>
              <w:ind w:right="104"/>
              <w:spacing w:after="0"/>
              <w:rPr>
                <w:sz w:val="20"/>
                <w:szCs w:val="20"/>
                <w:color w:val="auto"/>
              </w:rPr>
            </w:pPr>
            <w:r>
              <w:rPr>
                <w:rFonts w:ascii="Arial" w:cs="Arial" w:eastAsia="Arial" w:hAnsi="Arial"/>
                <w:sz w:val="15"/>
                <w:szCs w:val="15"/>
                <w:color w:val="auto"/>
              </w:rPr>
              <w:t>1,874,351</w:t>
            </w:r>
            <w:r>
              <w:rPr>
                <w:rFonts w:ascii="Arial" w:cs="Arial" w:eastAsia="Arial" w:hAnsi="Arial"/>
                <w:sz w:val="19"/>
                <w:szCs w:val="19"/>
                <w:color w:val="auto"/>
                <w:vertAlign w:val="superscript"/>
              </w:rPr>
              <w:t>(1)</w:t>
            </w:r>
          </w:p>
        </w:tc>
        <w:tc>
          <w:tcPr>
            <w:tcW w:w="1340" w:type="dxa"/>
            <w:vAlign w:val="bottom"/>
            <w:tcBorders>
              <w:bottom w:val="single" w:sz="8" w:color="434F69"/>
              <w:right w:val="single" w:sz="8" w:color="434F69"/>
            </w:tcBorders>
          </w:tcPr>
          <w:p>
            <w:pPr>
              <w:jc w:val="right"/>
              <w:ind w:right="124"/>
              <w:spacing w:after="0"/>
              <w:rPr>
                <w:sz w:val="20"/>
                <w:szCs w:val="20"/>
                <w:color w:val="auto"/>
              </w:rPr>
            </w:pPr>
            <w:r>
              <w:rPr>
                <w:rFonts w:ascii="Arial" w:cs="Arial" w:eastAsia="Arial" w:hAnsi="Arial"/>
                <w:sz w:val="15"/>
                <w:szCs w:val="15"/>
                <w:color w:val="auto"/>
              </w:rPr>
              <w:t>1,874,351</w:t>
            </w:r>
            <w:r>
              <w:rPr>
                <w:rFonts w:ascii="Arial" w:cs="Arial" w:eastAsia="Arial" w:hAnsi="Arial"/>
                <w:sz w:val="19"/>
                <w:szCs w:val="19"/>
                <w:color w:val="auto"/>
                <w:vertAlign w:val="superscript"/>
              </w:rPr>
              <w:t>(1)</w:t>
            </w:r>
          </w:p>
        </w:tc>
        <w:tc>
          <w:tcPr>
            <w:tcW w:w="1160" w:type="dxa"/>
            <w:vAlign w:val="bottom"/>
            <w:tcBorders>
              <w:bottom w:val="single" w:sz="8" w:color="434F69"/>
              <w:right w:val="single" w:sz="8" w:color="434F69"/>
            </w:tcBorders>
          </w:tcPr>
          <w:p>
            <w:pPr>
              <w:jc w:val="right"/>
              <w:ind w:right="5"/>
              <w:spacing w:after="0"/>
              <w:rPr>
                <w:sz w:val="20"/>
                <w:szCs w:val="20"/>
                <w:color w:val="auto"/>
              </w:rPr>
            </w:pPr>
            <w:r>
              <w:rPr>
                <w:rFonts w:ascii="Arial" w:cs="Arial" w:eastAsia="Arial" w:hAnsi="Arial"/>
                <w:sz w:val="15"/>
                <w:szCs w:val="15"/>
                <w:color w:val="auto"/>
              </w:rPr>
              <w:t>1,116,971</w:t>
            </w:r>
            <w:r>
              <w:rPr>
                <w:rFonts w:ascii="Arial" w:cs="Arial" w:eastAsia="Arial" w:hAnsi="Arial"/>
                <w:sz w:val="19"/>
                <w:szCs w:val="19"/>
                <w:color w:val="auto"/>
                <w:vertAlign w:val="superscript"/>
              </w:rPr>
              <w:t>(2)</w:t>
            </w:r>
          </w:p>
        </w:tc>
        <w:tc>
          <w:tcPr>
            <w:tcW w:w="1140" w:type="dxa"/>
            <w:vAlign w:val="bottom"/>
            <w:tcBorders>
              <w:bottom w:val="single" w:sz="8" w:color="434F69"/>
              <w:right w:val="single" w:sz="8" w:color="434F69"/>
            </w:tcBorders>
          </w:tcPr>
          <w:p>
            <w:pPr>
              <w:jc w:val="right"/>
              <w:ind w:right="16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434F69"/>
              <w:right w:val="single" w:sz="8" w:color="434F69"/>
            </w:tcBorders>
          </w:tcPr>
          <w:p>
            <w:pPr>
              <w:jc w:val="right"/>
              <w:ind w:right="65"/>
              <w:spacing w:after="0"/>
              <w:rPr>
                <w:sz w:val="20"/>
                <w:szCs w:val="20"/>
                <w:color w:val="auto"/>
              </w:rPr>
            </w:pPr>
            <w:r>
              <w:rPr>
                <w:rFonts w:ascii="Arial" w:cs="Arial" w:eastAsia="Arial" w:hAnsi="Arial"/>
                <w:sz w:val="15"/>
                <w:szCs w:val="15"/>
                <w:color w:val="auto"/>
              </w:rPr>
              <w:t>2,997,019</w:t>
            </w:r>
            <w:r>
              <w:rPr>
                <w:rFonts w:ascii="Arial" w:cs="Arial" w:eastAsia="Arial" w:hAnsi="Arial"/>
                <w:sz w:val="19"/>
                <w:szCs w:val="19"/>
                <w:color w:val="auto"/>
                <w:vertAlign w:val="superscript"/>
              </w:rPr>
              <w:t>(3)</w:t>
            </w:r>
          </w:p>
        </w:tc>
      </w:tr>
      <w:tr>
        <w:trPr>
          <w:trHeight w:val="202"/>
        </w:trPr>
        <w:tc>
          <w:tcPr>
            <w:tcW w:w="2080" w:type="dxa"/>
            <w:vAlign w:val="bottom"/>
            <w:tcBorders>
              <w:left w:val="single" w:sz="8" w:color="434F69"/>
              <w:right w:val="single" w:sz="8" w:color="434F69"/>
            </w:tcBorders>
          </w:tcPr>
          <w:p>
            <w:pPr>
              <w:ind w:left="200"/>
              <w:spacing w:after="0"/>
              <w:rPr>
                <w:sz w:val="20"/>
                <w:szCs w:val="20"/>
                <w:color w:val="auto"/>
              </w:rPr>
            </w:pPr>
            <w:r>
              <w:rPr>
                <w:rFonts w:ascii="Arial" w:cs="Arial" w:eastAsia="Arial" w:hAnsi="Arial"/>
                <w:sz w:val="15"/>
                <w:szCs w:val="15"/>
                <w:color w:val="auto"/>
              </w:rPr>
              <w:t>Total</w:t>
            </w:r>
          </w:p>
        </w:tc>
        <w:tc>
          <w:tcPr>
            <w:tcW w:w="1240" w:type="dxa"/>
            <w:vAlign w:val="bottom"/>
            <w:tcBorders>
              <w:right w:val="single" w:sz="8" w:color="434F69"/>
            </w:tcBorders>
          </w:tcPr>
          <w:p>
            <w:pPr>
              <w:jc w:val="right"/>
              <w:ind w:right="224"/>
              <w:spacing w:after="0"/>
              <w:rPr>
                <w:sz w:val="20"/>
                <w:szCs w:val="20"/>
                <w:color w:val="auto"/>
              </w:rPr>
            </w:pPr>
            <w:r>
              <w:rPr>
                <w:rFonts w:ascii="Arial" w:cs="Arial" w:eastAsia="Arial" w:hAnsi="Arial"/>
                <w:sz w:val="15"/>
                <w:szCs w:val="15"/>
                <w:color w:val="auto"/>
              </w:rPr>
              <w:t>1,874,351</w:t>
            </w:r>
          </w:p>
        </w:tc>
        <w:tc>
          <w:tcPr>
            <w:tcW w:w="1340" w:type="dxa"/>
            <w:vAlign w:val="bottom"/>
            <w:tcBorders>
              <w:right w:val="single" w:sz="8" w:color="434F69"/>
            </w:tcBorders>
          </w:tcPr>
          <w:p>
            <w:pPr>
              <w:jc w:val="right"/>
              <w:ind w:right="244"/>
              <w:spacing w:after="0"/>
              <w:rPr>
                <w:sz w:val="20"/>
                <w:szCs w:val="20"/>
                <w:color w:val="auto"/>
              </w:rPr>
            </w:pPr>
            <w:r>
              <w:rPr>
                <w:rFonts w:ascii="Arial" w:cs="Arial" w:eastAsia="Arial" w:hAnsi="Arial"/>
                <w:sz w:val="15"/>
                <w:szCs w:val="15"/>
                <w:color w:val="auto"/>
              </w:rPr>
              <w:t>1,874,351</w:t>
            </w:r>
          </w:p>
        </w:tc>
        <w:tc>
          <w:tcPr>
            <w:tcW w:w="1160" w:type="dxa"/>
            <w:vAlign w:val="bottom"/>
            <w:tcBorders>
              <w:right w:val="single" w:sz="8" w:color="434F69"/>
            </w:tcBorders>
          </w:tcPr>
          <w:p>
            <w:pPr>
              <w:jc w:val="right"/>
              <w:ind w:right="125"/>
              <w:spacing w:after="0"/>
              <w:rPr>
                <w:sz w:val="20"/>
                <w:szCs w:val="20"/>
                <w:color w:val="auto"/>
              </w:rPr>
            </w:pPr>
            <w:r>
              <w:rPr>
                <w:rFonts w:ascii="Arial" w:cs="Arial" w:eastAsia="Arial" w:hAnsi="Arial"/>
                <w:sz w:val="15"/>
                <w:szCs w:val="15"/>
                <w:color w:val="auto"/>
              </w:rPr>
              <w:t>1,116,971</w:t>
            </w:r>
          </w:p>
        </w:tc>
        <w:tc>
          <w:tcPr>
            <w:tcW w:w="1140" w:type="dxa"/>
            <w:vAlign w:val="bottom"/>
            <w:tcBorders>
              <w:right w:val="single" w:sz="8" w:color="434F69"/>
            </w:tcBorders>
          </w:tcPr>
          <w:p>
            <w:pPr>
              <w:jc w:val="right"/>
              <w:ind w:right="165"/>
              <w:spacing w:after="0"/>
              <w:rPr>
                <w:sz w:val="20"/>
                <w:szCs w:val="20"/>
                <w:color w:val="auto"/>
              </w:rPr>
            </w:pPr>
            <w:r>
              <w:rPr>
                <w:rFonts w:ascii="Arial" w:cs="Arial" w:eastAsia="Arial" w:hAnsi="Arial"/>
                <w:sz w:val="15"/>
                <w:szCs w:val="15"/>
                <w:color w:val="auto"/>
              </w:rPr>
              <w:t>—</w:t>
            </w:r>
          </w:p>
        </w:tc>
        <w:tc>
          <w:tcPr>
            <w:tcW w:w="1260" w:type="dxa"/>
            <w:vAlign w:val="bottom"/>
            <w:tcBorders>
              <w:right w:val="single" w:sz="8" w:color="434F69"/>
            </w:tcBorders>
          </w:tcPr>
          <w:p>
            <w:pPr>
              <w:jc w:val="right"/>
              <w:ind w:right="185"/>
              <w:spacing w:after="0"/>
              <w:rPr>
                <w:sz w:val="20"/>
                <w:szCs w:val="20"/>
                <w:color w:val="auto"/>
              </w:rPr>
            </w:pPr>
            <w:r>
              <w:rPr>
                <w:rFonts w:ascii="Arial" w:cs="Arial" w:eastAsia="Arial" w:hAnsi="Arial"/>
                <w:sz w:val="15"/>
                <w:szCs w:val="15"/>
                <w:color w:val="auto"/>
              </w:rPr>
              <w:t>2,997,019</w:t>
            </w:r>
          </w:p>
        </w:tc>
      </w:tr>
      <w:tr>
        <w:trPr>
          <w:trHeight w:val="21"/>
        </w:trPr>
        <w:tc>
          <w:tcPr>
            <w:tcW w:w="2080" w:type="dxa"/>
            <w:vAlign w:val="bottom"/>
            <w:tcBorders>
              <w:left w:val="single" w:sz="8" w:color="434F69"/>
              <w:bottom w:val="single" w:sz="8" w:color="434F69"/>
              <w:right w:val="single" w:sz="8" w:color="434F69"/>
            </w:tcBorders>
          </w:tcPr>
          <w:p>
            <w:pPr>
              <w:spacing w:after="0" w:line="20" w:lineRule="exact"/>
              <w:rPr>
                <w:sz w:val="1"/>
                <w:szCs w:val="1"/>
                <w:color w:val="auto"/>
              </w:rPr>
            </w:pPr>
          </w:p>
        </w:tc>
        <w:tc>
          <w:tcPr>
            <w:tcW w:w="1240" w:type="dxa"/>
            <w:vAlign w:val="bottom"/>
            <w:tcBorders>
              <w:bottom w:val="single" w:sz="8" w:color="434F69"/>
              <w:right w:val="single" w:sz="8" w:color="434F69"/>
            </w:tcBorders>
          </w:tcPr>
          <w:p>
            <w:pPr>
              <w:spacing w:after="0" w:line="20" w:lineRule="exact"/>
              <w:rPr>
                <w:sz w:val="1"/>
                <w:szCs w:val="1"/>
                <w:color w:val="auto"/>
              </w:rPr>
            </w:pPr>
          </w:p>
        </w:tc>
        <w:tc>
          <w:tcPr>
            <w:tcW w:w="1340" w:type="dxa"/>
            <w:vAlign w:val="bottom"/>
            <w:tcBorders>
              <w:bottom w:val="single" w:sz="8" w:color="434F69"/>
              <w:right w:val="single" w:sz="8" w:color="434F69"/>
            </w:tcBorders>
          </w:tcPr>
          <w:p>
            <w:pPr>
              <w:spacing w:after="0" w:line="20" w:lineRule="exact"/>
              <w:rPr>
                <w:sz w:val="1"/>
                <w:szCs w:val="1"/>
                <w:color w:val="auto"/>
              </w:rPr>
            </w:pPr>
          </w:p>
        </w:tc>
        <w:tc>
          <w:tcPr>
            <w:tcW w:w="1160" w:type="dxa"/>
            <w:vAlign w:val="bottom"/>
            <w:tcBorders>
              <w:bottom w:val="single" w:sz="8" w:color="434F69"/>
              <w:right w:val="single" w:sz="8" w:color="434F69"/>
            </w:tcBorders>
          </w:tcPr>
          <w:p>
            <w:pPr>
              <w:spacing w:after="0" w:line="20" w:lineRule="exact"/>
              <w:rPr>
                <w:sz w:val="1"/>
                <w:szCs w:val="1"/>
                <w:color w:val="auto"/>
              </w:rPr>
            </w:pPr>
          </w:p>
        </w:tc>
        <w:tc>
          <w:tcPr>
            <w:tcW w:w="1140" w:type="dxa"/>
            <w:vAlign w:val="bottom"/>
            <w:tcBorders>
              <w:bottom w:val="single" w:sz="8" w:color="434F69"/>
              <w:right w:val="single" w:sz="8" w:color="434F69"/>
            </w:tcBorders>
          </w:tcPr>
          <w:p>
            <w:pPr>
              <w:spacing w:after="0" w:line="20" w:lineRule="exact"/>
              <w:rPr>
                <w:sz w:val="1"/>
                <w:szCs w:val="1"/>
                <w:color w:val="auto"/>
              </w:rPr>
            </w:pPr>
          </w:p>
        </w:tc>
        <w:tc>
          <w:tcPr>
            <w:tcW w:w="1260" w:type="dxa"/>
            <w:vAlign w:val="bottom"/>
            <w:tcBorders>
              <w:bottom w:val="single" w:sz="8" w:color="434F69"/>
              <w:right w:val="single" w:sz="8" w:color="434F69"/>
            </w:tcBorders>
          </w:tcPr>
          <w:p>
            <w:pPr>
              <w:spacing w:after="0" w:line="20" w:lineRule="exact"/>
              <w:rPr>
                <w:sz w:val="1"/>
                <w:szCs w:val="1"/>
                <w:color w:val="auto"/>
              </w:rPr>
            </w:pPr>
          </w:p>
        </w:tc>
      </w:tr>
      <w:tr>
        <w:trPr>
          <w:trHeight w:val="237"/>
        </w:trPr>
        <w:tc>
          <w:tcPr>
            <w:tcW w:w="208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Chris Chandler</w:t>
            </w:r>
            <w:r>
              <w:rPr>
                <w:rFonts w:ascii="Arial" w:cs="Arial" w:eastAsia="Arial" w:hAnsi="Arial"/>
                <w:sz w:val="19"/>
                <w:szCs w:val="19"/>
                <w:b w:val="1"/>
                <w:bCs w:val="1"/>
                <w:color w:val="auto"/>
                <w:vertAlign w:val="superscript"/>
              </w:rPr>
              <w:t>(9)</w:t>
            </w:r>
          </w:p>
        </w:tc>
        <w:tc>
          <w:tcPr>
            <w:tcW w:w="1240" w:type="dxa"/>
            <w:vAlign w:val="bottom"/>
            <w:tcBorders>
              <w:bottom w:val="single" w:sz="8" w:color="434F69"/>
              <w:right w:val="single" w:sz="8" w:color="434F69"/>
            </w:tcBorders>
            <w:shd w:val="clear" w:color="auto" w:fill="D9DCE1"/>
          </w:tcPr>
          <w:p>
            <w:pPr>
              <w:spacing w:after="0"/>
              <w:rPr>
                <w:sz w:val="20"/>
                <w:szCs w:val="20"/>
                <w:color w:val="auto"/>
              </w:rPr>
            </w:pPr>
          </w:p>
        </w:tc>
        <w:tc>
          <w:tcPr>
            <w:tcW w:w="1340" w:type="dxa"/>
            <w:vAlign w:val="bottom"/>
            <w:tcBorders>
              <w:bottom w:val="single" w:sz="8" w:color="434F69"/>
              <w:right w:val="single" w:sz="8" w:color="434F69"/>
            </w:tcBorders>
            <w:shd w:val="clear" w:color="auto" w:fill="D9DCE1"/>
          </w:tcPr>
          <w:p>
            <w:pPr>
              <w:spacing w:after="0"/>
              <w:rPr>
                <w:sz w:val="20"/>
                <w:szCs w:val="20"/>
                <w:color w:val="auto"/>
              </w:rPr>
            </w:pPr>
          </w:p>
        </w:tc>
        <w:tc>
          <w:tcPr>
            <w:tcW w:w="1160" w:type="dxa"/>
            <w:vAlign w:val="bottom"/>
            <w:tcBorders>
              <w:bottom w:val="single" w:sz="8" w:color="434F69"/>
              <w:right w:val="single" w:sz="8" w:color="434F69"/>
            </w:tcBorders>
            <w:shd w:val="clear" w:color="auto" w:fill="D9DCE1"/>
          </w:tcPr>
          <w:p>
            <w:pPr>
              <w:spacing w:after="0"/>
              <w:rPr>
                <w:sz w:val="20"/>
                <w:szCs w:val="20"/>
                <w:color w:val="auto"/>
              </w:rPr>
            </w:pPr>
          </w:p>
        </w:tc>
        <w:tc>
          <w:tcPr>
            <w:tcW w:w="1140" w:type="dxa"/>
            <w:vAlign w:val="bottom"/>
            <w:tcBorders>
              <w:bottom w:val="single" w:sz="8" w:color="434F69"/>
              <w:right w:val="single" w:sz="8" w:color="434F69"/>
            </w:tcBorders>
            <w:shd w:val="clear" w:color="auto" w:fill="D9DCE1"/>
          </w:tcPr>
          <w:p>
            <w:pPr>
              <w:spacing w:after="0"/>
              <w:rPr>
                <w:sz w:val="20"/>
                <w:szCs w:val="20"/>
                <w:color w:val="auto"/>
              </w:rPr>
            </w:pPr>
          </w:p>
        </w:tc>
        <w:tc>
          <w:tcPr>
            <w:tcW w:w="1260" w:type="dxa"/>
            <w:vAlign w:val="bottom"/>
            <w:tcBorders>
              <w:bottom w:val="single" w:sz="8" w:color="434F69"/>
              <w:right w:val="single" w:sz="8" w:color="434F69"/>
            </w:tcBorders>
            <w:shd w:val="clear" w:color="auto" w:fill="D9DCE1"/>
          </w:tcPr>
          <w:p>
            <w:pPr>
              <w:spacing w:after="0"/>
              <w:rPr>
                <w:sz w:val="20"/>
                <w:szCs w:val="20"/>
                <w:color w:val="auto"/>
              </w:rPr>
            </w:pPr>
          </w:p>
        </w:tc>
      </w:tr>
      <w:tr>
        <w:trPr>
          <w:trHeight w:val="223"/>
        </w:trPr>
        <w:tc>
          <w:tcPr>
            <w:tcW w:w="2080" w:type="dxa"/>
            <w:vAlign w:val="bottom"/>
            <w:tcBorders>
              <w:left w:val="single" w:sz="8" w:color="434F69"/>
              <w:bottom w:val="single" w:sz="8" w:color="434F69"/>
              <w:right w:val="single" w:sz="8" w:color="434F69"/>
            </w:tcBorders>
          </w:tcPr>
          <w:p>
            <w:pPr>
              <w:ind w:left="200"/>
              <w:spacing w:after="0"/>
              <w:rPr>
                <w:sz w:val="20"/>
                <w:szCs w:val="20"/>
                <w:color w:val="auto"/>
              </w:rPr>
            </w:pPr>
            <w:r>
              <w:rPr>
                <w:rFonts w:ascii="Arial" w:cs="Arial" w:eastAsia="Arial" w:hAnsi="Arial"/>
                <w:sz w:val="15"/>
                <w:szCs w:val="15"/>
                <w:color w:val="auto"/>
              </w:rPr>
              <w:t>Equity Compensation</w:t>
            </w:r>
          </w:p>
        </w:tc>
        <w:tc>
          <w:tcPr>
            <w:tcW w:w="1240" w:type="dxa"/>
            <w:vAlign w:val="bottom"/>
            <w:tcBorders>
              <w:bottom w:val="single" w:sz="8" w:color="434F69"/>
              <w:right w:val="single" w:sz="8" w:color="434F69"/>
            </w:tcBorders>
          </w:tcPr>
          <w:p>
            <w:pPr>
              <w:jc w:val="right"/>
              <w:ind w:right="104"/>
              <w:spacing w:after="0"/>
              <w:rPr>
                <w:sz w:val="20"/>
                <w:szCs w:val="20"/>
                <w:color w:val="auto"/>
              </w:rPr>
            </w:pPr>
            <w:r>
              <w:rPr>
                <w:rFonts w:ascii="Arial" w:cs="Arial" w:eastAsia="Arial" w:hAnsi="Arial"/>
                <w:sz w:val="15"/>
                <w:szCs w:val="15"/>
                <w:color w:val="auto"/>
              </w:rPr>
              <w:t>4,629,651</w:t>
            </w:r>
            <w:r>
              <w:rPr>
                <w:rFonts w:ascii="Arial" w:cs="Arial" w:eastAsia="Arial" w:hAnsi="Arial"/>
                <w:sz w:val="19"/>
                <w:szCs w:val="19"/>
                <w:color w:val="auto"/>
                <w:vertAlign w:val="superscript"/>
              </w:rPr>
              <w:t>(1)</w:t>
            </w:r>
          </w:p>
        </w:tc>
        <w:tc>
          <w:tcPr>
            <w:tcW w:w="1340" w:type="dxa"/>
            <w:vAlign w:val="bottom"/>
            <w:tcBorders>
              <w:bottom w:val="single" w:sz="8" w:color="434F69"/>
              <w:right w:val="single" w:sz="8" w:color="434F69"/>
            </w:tcBorders>
          </w:tcPr>
          <w:p>
            <w:pPr>
              <w:jc w:val="right"/>
              <w:ind w:right="124"/>
              <w:spacing w:after="0"/>
              <w:rPr>
                <w:sz w:val="20"/>
                <w:szCs w:val="20"/>
                <w:color w:val="auto"/>
              </w:rPr>
            </w:pPr>
            <w:r>
              <w:rPr>
                <w:rFonts w:ascii="Arial" w:cs="Arial" w:eastAsia="Arial" w:hAnsi="Arial"/>
                <w:sz w:val="15"/>
                <w:szCs w:val="15"/>
                <w:color w:val="auto"/>
              </w:rPr>
              <w:t>4,629,651</w:t>
            </w:r>
            <w:r>
              <w:rPr>
                <w:rFonts w:ascii="Arial" w:cs="Arial" w:eastAsia="Arial" w:hAnsi="Arial"/>
                <w:sz w:val="19"/>
                <w:szCs w:val="19"/>
                <w:color w:val="auto"/>
                <w:vertAlign w:val="superscript"/>
              </w:rPr>
              <w:t>(1)</w:t>
            </w:r>
          </w:p>
        </w:tc>
        <w:tc>
          <w:tcPr>
            <w:tcW w:w="1160" w:type="dxa"/>
            <w:vAlign w:val="bottom"/>
            <w:tcBorders>
              <w:bottom w:val="single" w:sz="8" w:color="434F69"/>
              <w:right w:val="single" w:sz="8" w:color="434F69"/>
            </w:tcBorders>
          </w:tcPr>
          <w:p>
            <w:pPr>
              <w:jc w:val="right"/>
              <w:ind w:right="5"/>
              <w:spacing w:after="0"/>
              <w:rPr>
                <w:sz w:val="20"/>
                <w:szCs w:val="20"/>
                <w:color w:val="auto"/>
              </w:rPr>
            </w:pPr>
            <w:r>
              <w:rPr>
                <w:rFonts w:ascii="Arial" w:cs="Arial" w:eastAsia="Arial" w:hAnsi="Arial"/>
                <w:sz w:val="15"/>
                <w:szCs w:val="15"/>
                <w:color w:val="auto"/>
              </w:rPr>
              <w:t>3,405,271</w:t>
            </w:r>
            <w:r>
              <w:rPr>
                <w:rFonts w:ascii="Arial" w:cs="Arial" w:eastAsia="Arial" w:hAnsi="Arial"/>
                <w:sz w:val="19"/>
                <w:szCs w:val="19"/>
                <w:color w:val="auto"/>
                <w:vertAlign w:val="superscript"/>
              </w:rPr>
              <w:t>(2)</w:t>
            </w:r>
          </w:p>
        </w:tc>
        <w:tc>
          <w:tcPr>
            <w:tcW w:w="1140" w:type="dxa"/>
            <w:vAlign w:val="bottom"/>
            <w:tcBorders>
              <w:bottom w:val="single" w:sz="8" w:color="434F69"/>
              <w:right w:val="single" w:sz="8" w:color="434F69"/>
            </w:tcBorders>
          </w:tcPr>
          <w:p>
            <w:pPr>
              <w:jc w:val="right"/>
              <w:ind w:right="16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434F69"/>
              <w:right w:val="single" w:sz="8" w:color="434F69"/>
            </w:tcBorders>
          </w:tcPr>
          <w:p>
            <w:pPr>
              <w:jc w:val="right"/>
              <w:ind w:right="65"/>
              <w:spacing w:after="0"/>
              <w:rPr>
                <w:sz w:val="20"/>
                <w:szCs w:val="20"/>
                <w:color w:val="auto"/>
              </w:rPr>
            </w:pPr>
            <w:r>
              <w:rPr>
                <w:rFonts w:ascii="Arial" w:cs="Arial" w:eastAsia="Arial" w:hAnsi="Arial"/>
                <w:sz w:val="15"/>
                <w:szCs w:val="15"/>
                <w:color w:val="auto"/>
              </w:rPr>
              <w:t>8,087,319</w:t>
            </w:r>
            <w:r>
              <w:rPr>
                <w:rFonts w:ascii="Arial" w:cs="Arial" w:eastAsia="Arial" w:hAnsi="Arial"/>
                <w:sz w:val="19"/>
                <w:szCs w:val="19"/>
                <w:color w:val="auto"/>
                <w:vertAlign w:val="superscript"/>
              </w:rPr>
              <w:t>(3)</w:t>
            </w:r>
          </w:p>
        </w:tc>
      </w:tr>
      <w:tr>
        <w:trPr>
          <w:trHeight w:val="201"/>
        </w:trPr>
        <w:tc>
          <w:tcPr>
            <w:tcW w:w="2080" w:type="dxa"/>
            <w:vAlign w:val="bottom"/>
            <w:tcBorders>
              <w:left w:val="single" w:sz="8" w:color="434F69"/>
              <w:right w:val="single" w:sz="8" w:color="434F69"/>
            </w:tcBorders>
          </w:tcPr>
          <w:p>
            <w:pPr>
              <w:ind w:left="200"/>
              <w:spacing w:after="0"/>
              <w:rPr>
                <w:sz w:val="20"/>
                <w:szCs w:val="20"/>
                <w:color w:val="auto"/>
              </w:rPr>
            </w:pPr>
            <w:r>
              <w:rPr>
                <w:rFonts w:ascii="Arial" w:cs="Arial" w:eastAsia="Arial" w:hAnsi="Arial"/>
                <w:sz w:val="15"/>
                <w:szCs w:val="15"/>
                <w:color w:val="auto"/>
              </w:rPr>
              <w:t>Total</w:t>
            </w:r>
          </w:p>
        </w:tc>
        <w:tc>
          <w:tcPr>
            <w:tcW w:w="1240" w:type="dxa"/>
            <w:vAlign w:val="bottom"/>
            <w:tcBorders>
              <w:right w:val="single" w:sz="8" w:color="434F69"/>
            </w:tcBorders>
          </w:tcPr>
          <w:p>
            <w:pPr>
              <w:jc w:val="right"/>
              <w:ind w:right="224"/>
              <w:spacing w:after="0"/>
              <w:rPr>
                <w:sz w:val="20"/>
                <w:szCs w:val="20"/>
                <w:color w:val="auto"/>
              </w:rPr>
            </w:pPr>
            <w:r>
              <w:rPr>
                <w:rFonts w:ascii="Arial" w:cs="Arial" w:eastAsia="Arial" w:hAnsi="Arial"/>
                <w:sz w:val="15"/>
                <w:szCs w:val="15"/>
                <w:color w:val="auto"/>
              </w:rPr>
              <w:t>4,629,651</w:t>
            </w:r>
          </w:p>
        </w:tc>
        <w:tc>
          <w:tcPr>
            <w:tcW w:w="1340" w:type="dxa"/>
            <w:vAlign w:val="bottom"/>
            <w:tcBorders>
              <w:right w:val="single" w:sz="8" w:color="434F69"/>
            </w:tcBorders>
          </w:tcPr>
          <w:p>
            <w:pPr>
              <w:jc w:val="right"/>
              <w:ind w:right="244"/>
              <w:spacing w:after="0"/>
              <w:rPr>
                <w:sz w:val="20"/>
                <w:szCs w:val="20"/>
                <w:color w:val="auto"/>
              </w:rPr>
            </w:pPr>
            <w:r>
              <w:rPr>
                <w:rFonts w:ascii="Arial" w:cs="Arial" w:eastAsia="Arial" w:hAnsi="Arial"/>
                <w:sz w:val="15"/>
                <w:szCs w:val="15"/>
                <w:color w:val="auto"/>
              </w:rPr>
              <w:t>4,629,651</w:t>
            </w:r>
          </w:p>
        </w:tc>
        <w:tc>
          <w:tcPr>
            <w:tcW w:w="1160" w:type="dxa"/>
            <w:vAlign w:val="bottom"/>
            <w:tcBorders>
              <w:right w:val="single" w:sz="8" w:color="434F69"/>
            </w:tcBorders>
          </w:tcPr>
          <w:p>
            <w:pPr>
              <w:jc w:val="right"/>
              <w:ind w:right="125"/>
              <w:spacing w:after="0"/>
              <w:rPr>
                <w:sz w:val="20"/>
                <w:szCs w:val="20"/>
                <w:color w:val="auto"/>
              </w:rPr>
            </w:pPr>
            <w:r>
              <w:rPr>
                <w:rFonts w:ascii="Arial" w:cs="Arial" w:eastAsia="Arial" w:hAnsi="Arial"/>
                <w:sz w:val="15"/>
                <w:szCs w:val="15"/>
                <w:color w:val="auto"/>
              </w:rPr>
              <w:t>3,405,271</w:t>
            </w:r>
          </w:p>
        </w:tc>
        <w:tc>
          <w:tcPr>
            <w:tcW w:w="1140" w:type="dxa"/>
            <w:vAlign w:val="bottom"/>
            <w:tcBorders>
              <w:right w:val="single" w:sz="8" w:color="434F69"/>
            </w:tcBorders>
          </w:tcPr>
          <w:p>
            <w:pPr>
              <w:jc w:val="right"/>
              <w:ind w:right="165"/>
              <w:spacing w:after="0"/>
              <w:rPr>
                <w:sz w:val="20"/>
                <w:szCs w:val="20"/>
                <w:color w:val="auto"/>
              </w:rPr>
            </w:pPr>
            <w:r>
              <w:rPr>
                <w:rFonts w:ascii="Arial" w:cs="Arial" w:eastAsia="Arial" w:hAnsi="Arial"/>
                <w:sz w:val="15"/>
                <w:szCs w:val="15"/>
                <w:color w:val="auto"/>
              </w:rPr>
              <w:t>—</w:t>
            </w:r>
          </w:p>
        </w:tc>
        <w:tc>
          <w:tcPr>
            <w:tcW w:w="1260" w:type="dxa"/>
            <w:vAlign w:val="bottom"/>
            <w:tcBorders>
              <w:right w:val="single" w:sz="8" w:color="434F69"/>
            </w:tcBorders>
          </w:tcPr>
          <w:p>
            <w:pPr>
              <w:jc w:val="right"/>
              <w:ind w:right="185"/>
              <w:spacing w:after="0"/>
              <w:rPr>
                <w:sz w:val="20"/>
                <w:szCs w:val="20"/>
                <w:color w:val="auto"/>
              </w:rPr>
            </w:pPr>
            <w:r>
              <w:rPr>
                <w:rFonts w:ascii="Arial" w:cs="Arial" w:eastAsia="Arial" w:hAnsi="Arial"/>
                <w:sz w:val="15"/>
                <w:szCs w:val="15"/>
                <w:color w:val="auto"/>
              </w:rPr>
              <w:t>8,087,319</w:t>
            </w:r>
          </w:p>
        </w:tc>
      </w:tr>
      <w:tr>
        <w:trPr>
          <w:trHeight w:val="21"/>
        </w:trPr>
        <w:tc>
          <w:tcPr>
            <w:tcW w:w="2080" w:type="dxa"/>
            <w:vAlign w:val="bottom"/>
            <w:tcBorders>
              <w:left w:val="single" w:sz="8" w:color="434F69"/>
              <w:bottom w:val="single" w:sz="8" w:color="434F69"/>
              <w:right w:val="single" w:sz="8" w:color="434F69"/>
            </w:tcBorders>
          </w:tcPr>
          <w:p>
            <w:pPr>
              <w:spacing w:after="0" w:line="20" w:lineRule="exact"/>
              <w:rPr>
                <w:sz w:val="1"/>
                <w:szCs w:val="1"/>
                <w:color w:val="auto"/>
              </w:rPr>
            </w:pPr>
          </w:p>
        </w:tc>
        <w:tc>
          <w:tcPr>
            <w:tcW w:w="1240" w:type="dxa"/>
            <w:vAlign w:val="bottom"/>
            <w:tcBorders>
              <w:bottom w:val="single" w:sz="8" w:color="434F69"/>
              <w:right w:val="single" w:sz="8" w:color="434F69"/>
            </w:tcBorders>
          </w:tcPr>
          <w:p>
            <w:pPr>
              <w:spacing w:after="0" w:line="20" w:lineRule="exact"/>
              <w:rPr>
                <w:sz w:val="1"/>
                <w:szCs w:val="1"/>
                <w:color w:val="auto"/>
              </w:rPr>
            </w:pPr>
          </w:p>
        </w:tc>
        <w:tc>
          <w:tcPr>
            <w:tcW w:w="1340" w:type="dxa"/>
            <w:vAlign w:val="bottom"/>
            <w:tcBorders>
              <w:bottom w:val="single" w:sz="8" w:color="434F69"/>
              <w:right w:val="single" w:sz="8" w:color="434F69"/>
            </w:tcBorders>
          </w:tcPr>
          <w:p>
            <w:pPr>
              <w:spacing w:after="0" w:line="20" w:lineRule="exact"/>
              <w:rPr>
                <w:sz w:val="1"/>
                <w:szCs w:val="1"/>
                <w:color w:val="auto"/>
              </w:rPr>
            </w:pPr>
          </w:p>
        </w:tc>
        <w:tc>
          <w:tcPr>
            <w:tcW w:w="1160" w:type="dxa"/>
            <w:vAlign w:val="bottom"/>
            <w:tcBorders>
              <w:bottom w:val="single" w:sz="8" w:color="434F69"/>
              <w:right w:val="single" w:sz="8" w:color="434F69"/>
            </w:tcBorders>
          </w:tcPr>
          <w:p>
            <w:pPr>
              <w:spacing w:after="0" w:line="20" w:lineRule="exact"/>
              <w:rPr>
                <w:sz w:val="1"/>
                <w:szCs w:val="1"/>
                <w:color w:val="auto"/>
              </w:rPr>
            </w:pPr>
          </w:p>
        </w:tc>
        <w:tc>
          <w:tcPr>
            <w:tcW w:w="1140" w:type="dxa"/>
            <w:vAlign w:val="bottom"/>
            <w:tcBorders>
              <w:bottom w:val="single" w:sz="8" w:color="434F69"/>
              <w:right w:val="single" w:sz="8" w:color="434F69"/>
            </w:tcBorders>
          </w:tcPr>
          <w:p>
            <w:pPr>
              <w:spacing w:after="0" w:line="20" w:lineRule="exact"/>
              <w:rPr>
                <w:sz w:val="1"/>
                <w:szCs w:val="1"/>
                <w:color w:val="auto"/>
              </w:rPr>
            </w:pPr>
          </w:p>
        </w:tc>
        <w:tc>
          <w:tcPr>
            <w:tcW w:w="1260" w:type="dxa"/>
            <w:vAlign w:val="bottom"/>
            <w:tcBorders>
              <w:bottom w:val="single" w:sz="8" w:color="434F69"/>
              <w:right w:val="single" w:sz="8" w:color="434F69"/>
            </w:tcBorders>
          </w:tcPr>
          <w:p>
            <w:pPr>
              <w:spacing w:after="0" w:line="20" w:lineRule="exact"/>
              <w:rPr>
                <w:sz w:val="1"/>
                <w:szCs w:val="1"/>
                <w:color w:val="auto"/>
              </w:rPr>
            </w:pPr>
          </w:p>
        </w:tc>
      </w:tr>
      <w:tr>
        <w:trPr>
          <w:trHeight w:val="237"/>
        </w:trPr>
        <w:tc>
          <w:tcPr>
            <w:tcW w:w="208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5"/>
                <w:szCs w:val="15"/>
                <w:b w:val="1"/>
                <w:bCs w:val="1"/>
                <w:color w:val="auto"/>
              </w:rPr>
              <w:t>Jeremy Goebel</w:t>
            </w:r>
            <w:r>
              <w:rPr>
                <w:rFonts w:ascii="Arial" w:cs="Arial" w:eastAsia="Arial" w:hAnsi="Arial"/>
                <w:sz w:val="19"/>
                <w:szCs w:val="19"/>
                <w:b w:val="1"/>
                <w:bCs w:val="1"/>
                <w:color w:val="auto"/>
                <w:vertAlign w:val="superscript"/>
              </w:rPr>
              <w:t>(9)</w:t>
            </w:r>
          </w:p>
        </w:tc>
        <w:tc>
          <w:tcPr>
            <w:tcW w:w="1240" w:type="dxa"/>
            <w:vAlign w:val="bottom"/>
            <w:tcBorders>
              <w:bottom w:val="single" w:sz="8" w:color="434F69"/>
              <w:right w:val="single" w:sz="8" w:color="434F69"/>
            </w:tcBorders>
            <w:shd w:val="clear" w:color="auto" w:fill="D9DCE1"/>
          </w:tcPr>
          <w:p>
            <w:pPr>
              <w:spacing w:after="0"/>
              <w:rPr>
                <w:sz w:val="20"/>
                <w:szCs w:val="20"/>
                <w:color w:val="auto"/>
              </w:rPr>
            </w:pPr>
          </w:p>
        </w:tc>
        <w:tc>
          <w:tcPr>
            <w:tcW w:w="1340" w:type="dxa"/>
            <w:vAlign w:val="bottom"/>
            <w:tcBorders>
              <w:bottom w:val="single" w:sz="8" w:color="434F69"/>
              <w:right w:val="single" w:sz="8" w:color="434F69"/>
            </w:tcBorders>
            <w:shd w:val="clear" w:color="auto" w:fill="D9DCE1"/>
          </w:tcPr>
          <w:p>
            <w:pPr>
              <w:spacing w:after="0"/>
              <w:rPr>
                <w:sz w:val="20"/>
                <w:szCs w:val="20"/>
                <w:color w:val="auto"/>
              </w:rPr>
            </w:pPr>
          </w:p>
        </w:tc>
        <w:tc>
          <w:tcPr>
            <w:tcW w:w="1160" w:type="dxa"/>
            <w:vAlign w:val="bottom"/>
            <w:tcBorders>
              <w:bottom w:val="single" w:sz="8" w:color="434F69"/>
              <w:right w:val="single" w:sz="8" w:color="434F69"/>
            </w:tcBorders>
            <w:shd w:val="clear" w:color="auto" w:fill="D9DCE1"/>
          </w:tcPr>
          <w:p>
            <w:pPr>
              <w:spacing w:after="0"/>
              <w:rPr>
                <w:sz w:val="20"/>
                <w:szCs w:val="20"/>
                <w:color w:val="auto"/>
              </w:rPr>
            </w:pPr>
          </w:p>
        </w:tc>
        <w:tc>
          <w:tcPr>
            <w:tcW w:w="1140" w:type="dxa"/>
            <w:vAlign w:val="bottom"/>
            <w:tcBorders>
              <w:bottom w:val="single" w:sz="8" w:color="434F69"/>
              <w:right w:val="single" w:sz="8" w:color="434F69"/>
            </w:tcBorders>
            <w:shd w:val="clear" w:color="auto" w:fill="D9DCE1"/>
          </w:tcPr>
          <w:p>
            <w:pPr>
              <w:spacing w:after="0"/>
              <w:rPr>
                <w:sz w:val="20"/>
                <w:szCs w:val="20"/>
                <w:color w:val="auto"/>
              </w:rPr>
            </w:pPr>
          </w:p>
        </w:tc>
        <w:tc>
          <w:tcPr>
            <w:tcW w:w="1260" w:type="dxa"/>
            <w:vAlign w:val="bottom"/>
            <w:tcBorders>
              <w:bottom w:val="single" w:sz="8" w:color="434F69"/>
              <w:right w:val="single" w:sz="8" w:color="434F69"/>
            </w:tcBorders>
            <w:shd w:val="clear" w:color="auto" w:fill="D9DCE1"/>
          </w:tcPr>
          <w:p>
            <w:pPr>
              <w:spacing w:after="0"/>
              <w:rPr>
                <w:sz w:val="20"/>
                <w:szCs w:val="20"/>
                <w:color w:val="auto"/>
              </w:rPr>
            </w:pPr>
          </w:p>
        </w:tc>
      </w:tr>
      <w:tr>
        <w:trPr>
          <w:trHeight w:val="223"/>
        </w:trPr>
        <w:tc>
          <w:tcPr>
            <w:tcW w:w="2080" w:type="dxa"/>
            <w:vAlign w:val="bottom"/>
            <w:tcBorders>
              <w:left w:val="single" w:sz="8" w:color="434F69"/>
              <w:bottom w:val="single" w:sz="8" w:color="434F69"/>
              <w:right w:val="single" w:sz="8" w:color="434F69"/>
            </w:tcBorders>
          </w:tcPr>
          <w:p>
            <w:pPr>
              <w:ind w:left="200"/>
              <w:spacing w:after="0"/>
              <w:rPr>
                <w:sz w:val="20"/>
                <w:szCs w:val="20"/>
                <w:color w:val="auto"/>
              </w:rPr>
            </w:pPr>
            <w:r>
              <w:rPr>
                <w:rFonts w:ascii="Arial" w:cs="Arial" w:eastAsia="Arial" w:hAnsi="Arial"/>
                <w:sz w:val="15"/>
                <w:szCs w:val="15"/>
                <w:color w:val="auto"/>
              </w:rPr>
              <w:t>Equity Compensation</w:t>
            </w:r>
          </w:p>
        </w:tc>
        <w:tc>
          <w:tcPr>
            <w:tcW w:w="1240" w:type="dxa"/>
            <w:vAlign w:val="bottom"/>
            <w:tcBorders>
              <w:bottom w:val="single" w:sz="8" w:color="434F69"/>
              <w:right w:val="single" w:sz="8" w:color="434F69"/>
            </w:tcBorders>
          </w:tcPr>
          <w:p>
            <w:pPr>
              <w:jc w:val="right"/>
              <w:ind w:right="104"/>
              <w:spacing w:after="0"/>
              <w:rPr>
                <w:sz w:val="20"/>
                <w:szCs w:val="20"/>
                <w:color w:val="auto"/>
              </w:rPr>
            </w:pPr>
            <w:r>
              <w:rPr>
                <w:rFonts w:ascii="Arial" w:cs="Arial" w:eastAsia="Arial" w:hAnsi="Arial"/>
                <w:sz w:val="15"/>
                <w:szCs w:val="15"/>
                <w:color w:val="auto"/>
              </w:rPr>
              <w:t>4,769,751</w:t>
            </w:r>
            <w:r>
              <w:rPr>
                <w:rFonts w:ascii="Arial" w:cs="Arial" w:eastAsia="Arial" w:hAnsi="Arial"/>
                <w:sz w:val="19"/>
                <w:szCs w:val="19"/>
                <w:color w:val="auto"/>
                <w:vertAlign w:val="superscript"/>
              </w:rPr>
              <w:t>(1)</w:t>
            </w:r>
          </w:p>
        </w:tc>
        <w:tc>
          <w:tcPr>
            <w:tcW w:w="1340" w:type="dxa"/>
            <w:vAlign w:val="bottom"/>
            <w:tcBorders>
              <w:bottom w:val="single" w:sz="8" w:color="434F69"/>
              <w:right w:val="single" w:sz="8" w:color="434F69"/>
            </w:tcBorders>
          </w:tcPr>
          <w:p>
            <w:pPr>
              <w:jc w:val="right"/>
              <w:ind w:right="124"/>
              <w:spacing w:after="0"/>
              <w:rPr>
                <w:sz w:val="20"/>
                <w:szCs w:val="20"/>
                <w:color w:val="auto"/>
              </w:rPr>
            </w:pPr>
            <w:r>
              <w:rPr>
                <w:rFonts w:ascii="Arial" w:cs="Arial" w:eastAsia="Arial" w:hAnsi="Arial"/>
                <w:sz w:val="15"/>
                <w:szCs w:val="15"/>
                <w:color w:val="auto"/>
              </w:rPr>
              <w:t>4,769,751</w:t>
            </w:r>
            <w:r>
              <w:rPr>
                <w:rFonts w:ascii="Arial" w:cs="Arial" w:eastAsia="Arial" w:hAnsi="Arial"/>
                <w:sz w:val="19"/>
                <w:szCs w:val="19"/>
                <w:color w:val="auto"/>
                <w:vertAlign w:val="superscript"/>
              </w:rPr>
              <w:t>(1)</w:t>
            </w:r>
          </w:p>
        </w:tc>
        <w:tc>
          <w:tcPr>
            <w:tcW w:w="1160" w:type="dxa"/>
            <w:vAlign w:val="bottom"/>
            <w:tcBorders>
              <w:bottom w:val="single" w:sz="8" w:color="434F69"/>
              <w:right w:val="single" w:sz="8" w:color="434F69"/>
            </w:tcBorders>
          </w:tcPr>
          <w:p>
            <w:pPr>
              <w:jc w:val="right"/>
              <w:ind w:right="5"/>
              <w:spacing w:after="0"/>
              <w:rPr>
                <w:sz w:val="20"/>
                <w:szCs w:val="20"/>
                <w:color w:val="auto"/>
              </w:rPr>
            </w:pPr>
            <w:r>
              <w:rPr>
                <w:rFonts w:ascii="Arial" w:cs="Arial" w:eastAsia="Arial" w:hAnsi="Arial"/>
                <w:sz w:val="15"/>
                <w:szCs w:val="15"/>
                <w:color w:val="auto"/>
              </w:rPr>
              <w:t>3,545,371</w:t>
            </w:r>
            <w:r>
              <w:rPr>
                <w:rFonts w:ascii="Arial" w:cs="Arial" w:eastAsia="Arial" w:hAnsi="Arial"/>
                <w:sz w:val="19"/>
                <w:szCs w:val="19"/>
                <w:color w:val="auto"/>
                <w:vertAlign w:val="superscript"/>
              </w:rPr>
              <w:t>(2)</w:t>
            </w:r>
          </w:p>
        </w:tc>
        <w:tc>
          <w:tcPr>
            <w:tcW w:w="1140" w:type="dxa"/>
            <w:vAlign w:val="bottom"/>
            <w:tcBorders>
              <w:bottom w:val="single" w:sz="8" w:color="434F69"/>
              <w:right w:val="single" w:sz="8" w:color="434F69"/>
            </w:tcBorders>
          </w:tcPr>
          <w:p>
            <w:pPr>
              <w:jc w:val="right"/>
              <w:ind w:right="16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434F69"/>
              <w:right w:val="single" w:sz="8" w:color="434F69"/>
            </w:tcBorders>
          </w:tcPr>
          <w:p>
            <w:pPr>
              <w:jc w:val="right"/>
              <w:ind w:right="65"/>
              <w:spacing w:after="0"/>
              <w:rPr>
                <w:sz w:val="20"/>
                <w:szCs w:val="20"/>
                <w:color w:val="auto"/>
              </w:rPr>
            </w:pPr>
            <w:r>
              <w:rPr>
                <w:rFonts w:ascii="Arial" w:cs="Arial" w:eastAsia="Arial" w:hAnsi="Arial"/>
                <w:sz w:val="15"/>
                <w:szCs w:val="15"/>
                <w:color w:val="auto"/>
              </w:rPr>
              <w:t>8,227,419</w:t>
            </w:r>
            <w:r>
              <w:rPr>
                <w:rFonts w:ascii="Arial" w:cs="Arial" w:eastAsia="Arial" w:hAnsi="Arial"/>
                <w:sz w:val="19"/>
                <w:szCs w:val="19"/>
                <w:color w:val="auto"/>
                <w:vertAlign w:val="superscript"/>
              </w:rPr>
              <w:t>(3)</w:t>
            </w:r>
          </w:p>
        </w:tc>
      </w:tr>
      <w:tr>
        <w:trPr>
          <w:trHeight w:val="223"/>
        </w:trPr>
        <w:tc>
          <w:tcPr>
            <w:tcW w:w="2080" w:type="dxa"/>
            <w:vAlign w:val="bottom"/>
            <w:tcBorders>
              <w:left w:val="single" w:sz="8" w:color="434F69"/>
              <w:bottom w:val="single" w:sz="8" w:color="434F69"/>
              <w:right w:val="single" w:sz="8" w:color="434F69"/>
            </w:tcBorders>
          </w:tcPr>
          <w:p>
            <w:pPr>
              <w:ind w:left="200"/>
              <w:spacing w:after="0"/>
              <w:rPr>
                <w:sz w:val="20"/>
                <w:szCs w:val="20"/>
                <w:color w:val="auto"/>
              </w:rPr>
            </w:pPr>
            <w:r>
              <w:rPr>
                <w:rFonts w:ascii="Arial" w:cs="Arial" w:eastAsia="Arial" w:hAnsi="Arial"/>
                <w:sz w:val="15"/>
                <w:szCs w:val="15"/>
                <w:color w:val="auto"/>
              </w:rPr>
              <w:t>AAP Management Units</w:t>
            </w:r>
          </w:p>
        </w:tc>
        <w:tc>
          <w:tcPr>
            <w:tcW w:w="1240" w:type="dxa"/>
            <w:vAlign w:val="bottom"/>
            <w:tcBorders>
              <w:bottom w:val="single" w:sz="8" w:color="434F69"/>
              <w:right w:val="single" w:sz="8" w:color="434F69"/>
            </w:tcBorders>
          </w:tcPr>
          <w:p>
            <w:pPr>
              <w:jc w:val="right"/>
              <w:ind w:right="64"/>
              <w:spacing w:after="0"/>
              <w:rPr>
                <w:sz w:val="20"/>
                <w:szCs w:val="20"/>
                <w:color w:val="auto"/>
              </w:rPr>
            </w:pPr>
            <w:r>
              <w:rPr>
                <w:rFonts w:ascii="Arial" w:cs="Arial" w:eastAsia="Arial" w:hAnsi="Arial"/>
                <w:sz w:val="15"/>
                <w:szCs w:val="15"/>
                <w:color w:val="auto"/>
              </w:rPr>
              <w:t>358,449</w:t>
            </w:r>
            <w:r>
              <w:rPr>
                <w:rFonts w:ascii="Arial" w:cs="Arial" w:eastAsia="Arial" w:hAnsi="Arial"/>
                <w:sz w:val="19"/>
                <w:szCs w:val="19"/>
                <w:color w:val="auto"/>
                <w:vertAlign w:val="superscript"/>
              </w:rPr>
              <w:t>(11)</w:t>
            </w:r>
          </w:p>
        </w:tc>
        <w:tc>
          <w:tcPr>
            <w:tcW w:w="1340" w:type="dxa"/>
            <w:vAlign w:val="bottom"/>
            <w:tcBorders>
              <w:bottom w:val="single" w:sz="8" w:color="434F69"/>
              <w:right w:val="single" w:sz="8" w:color="434F69"/>
            </w:tcBorders>
          </w:tcPr>
          <w:p>
            <w:pPr>
              <w:jc w:val="right"/>
              <w:ind w:right="64"/>
              <w:spacing w:after="0"/>
              <w:rPr>
                <w:sz w:val="20"/>
                <w:szCs w:val="20"/>
                <w:color w:val="auto"/>
              </w:rPr>
            </w:pPr>
            <w:r>
              <w:rPr>
                <w:rFonts w:ascii="Arial" w:cs="Arial" w:eastAsia="Arial" w:hAnsi="Arial"/>
                <w:sz w:val="15"/>
                <w:szCs w:val="15"/>
                <w:color w:val="auto"/>
              </w:rPr>
              <w:t>358,449</w:t>
            </w:r>
            <w:r>
              <w:rPr>
                <w:rFonts w:ascii="Arial" w:cs="Arial" w:eastAsia="Arial" w:hAnsi="Arial"/>
                <w:sz w:val="19"/>
                <w:szCs w:val="19"/>
                <w:color w:val="auto"/>
                <w:vertAlign w:val="superscript"/>
              </w:rPr>
              <w:t>(11)</w:t>
            </w:r>
          </w:p>
        </w:tc>
        <w:tc>
          <w:tcPr>
            <w:tcW w:w="1160" w:type="dxa"/>
            <w:vAlign w:val="bottom"/>
            <w:tcBorders>
              <w:bottom w:val="single" w:sz="8" w:color="434F69"/>
              <w:right w:val="single" w:sz="8" w:color="434F69"/>
            </w:tcBorders>
          </w:tcPr>
          <w:p>
            <w:pPr>
              <w:jc w:val="right"/>
              <w:ind w:right="5"/>
              <w:spacing w:after="0"/>
              <w:rPr>
                <w:sz w:val="20"/>
                <w:szCs w:val="20"/>
                <w:color w:val="auto"/>
              </w:rPr>
            </w:pPr>
            <w:r>
              <w:rPr>
                <w:rFonts w:ascii="Arial" w:cs="Arial" w:eastAsia="Arial" w:hAnsi="Arial"/>
                <w:sz w:val="15"/>
                <w:szCs w:val="15"/>
                <w:color w:val="auto"/>
              </w:rPr>
              <w:t>358,449</w:t>
            </w:r>
            <w:r>
              <w:rPr>
                <w:rFonts w:ascii="Arial" w:cs="Arial" w:eastAsia="Arial" w:hAnsi="Arial"/>
                <w:sz w:val="19"/>
                <w:szCs w:val="19"/>
                <w:color w:val="auto"/>
                <w:vertAlign w:val="superscript"/>
              </w:rPr>
              <w:t>(4)</w:t>
            </w:r>
          </w:p>
        </w:tc>
        <w:tc>
          <w:tcPr>
            <w:tcW w:w="1140" w:type="dxa"/>
            <w:vAlign w:val="bottom"/>
            <w:tcBorders>
              <w:bottom w:val="single" w:sz="8" w:color="434F69"/>
              <w:right w:val="single" w:sz="8" w:color="434F69"/>
            </w:tcBorders>
          </w:tcPr>
          <w:p>
            <w:pPr>
              <w:jc w:val="right"/>
              <w:ind w:right="45"/>
              <w:spacing w:after="0"/>
              <w:rPr>
                <w:sz w:val="20"/>
                <w:szCs w:val="20"/>
                <w:color w:val="auto"/>
              </w:rPr>
            </w:pPr>
            <w:r>
              <w:rPr>
                <w:rFonts w:ascii="Arial" w:cs="Arial" w:eastAsia="Arial" w:hAnsi="Arial"/>
                <w:sz w:val="15"/>
                <w:szCs w:val="15"/>
                <w:color w:val="auto"/>
              </w:rPr>
              <w:t>358,449</w:t>
            </w:r>
            <w:r>
              <w:rPr>
                <w:rFonts w:ascii="Arial" w:cs="Arial" w:eastAsia="Arial" w:hAnsi="Arial"/>
                <w:sz w:val="19"/>
                <w:szCs w:val="19"/>
                <w:color w:val="auto"/>
                <w:vertAlign w:val="superscript"/>
              </w:rPr>
              <w:t>(4)</w:t>
            </w:r>
          </w:p>
        </w:tc>
        <w:tc>
          <w:tcPr>
            <w:tcW w:w="1260" w:type="dxa"/>
            <w:vAlign w:val="bottom"/>
            <w:tcBorders>
              <w:bottom w:val="single" w:sz="8" w:color="434F69"/>
              <w:right w:val="single" w:sz="8" w:color="434F69"/>
            </w:tcBorders>
          </w:tcPr>
          <w:p>
            <w:pPr>
              <w:jc w:val="right"/>
              <w:ind w:right="65"/>
              <w:spacing w:after="0"/>
              <w:rPr>
                <w:sz w:val="20"/>
                <w:szCs w:val="20"/>
                <w:color w:val="auto"/>
              </w:rPr>
            </w:pPr>
            <w:r>
              <w:rPr>
                <w:rFonts w:ascii="Arial" w:cs="Arial" w:eastAsia="Arial" w:hAnsi="Arial"/>
                <w:sz w:val="15"/>
                <w:szCs w:val="15"/>
                <w:color w:val="auto"/>
              </w:rPr>
              <w:t>358,449</w:t>
            </w:r>
            <w:r>
              <w:rPr>
                <w:rFonts w:ascii="Arial" w:cs="Arial" w:eastAsia="Arial" w:hAnsi="Arial"/>
                <w:sz w:val="19"/>
                <w:szCs w:val="19"/>
                <w:color w:val="auto"/>
                <w:vertAlign w:val="superscript"/>
              </w:rPr>
              <w:t>(5)</w:t>
            </w:r>
          </w:p>
        </w:tc>
      </w:tr>
      <w:tr>
        <w:trPr>
          <w:trHeight w:val="201"/>
        </w:trPr>
        <w:tc>
          <w:tcPr>
            <w:tcW w:w="2080" w:type="dxa"/>
            <w:vAlign w:val="bottom"/>
            <w:tcBorders>
              <w:left w:val="single" w:sz="8" w:color="434F69"/>
              <w:right w:val="single" w:sz="8" w:color="434F69"/>
            </w:tcBorders>
          </w:tcPr>
          <w:p>
            <w:pPr>
              <w:ind w:left="200"/>
              <w:spacing w:after="0"/>
              <w:rPr>
                <w:sz w:val="20"/>
                <w:szCs w:val="20"/>
                <w:color w:val="auto"/>
              </w:rPr>
            </w:pPr>
            <w:r>
              <w:rPr>
                <w:rFonts w:ascii="Arial" w:cs="Arial" w:eastAsia="Arial" w:hAnsi="Arial"/>
                <w:sz w:val="15"/>
                <w:szCs w:val="15"/>
                <w:color w:val="auto"/>
              </w:rPr>
              <w:t>Total</w:t>
            </w:r>
          </w:p>
        </w:tc>
        <w:tc>
          <w:tcPr>
            <w:tcW w:w="1240" w:type="dxa"/>
            <w:vAlign w:val="bottom"/>
            <w:tcBorders>
              <w:right w:val="single" w:sz="8" w:color="434F69"/>
            </w:tcBorders>
          </w:tcPr>
          <w:p>
            <w:pPr>
              <w:jc w:val="right"/>
              <w:ind w:right="224"/>
              <w:spacing w:after="0"/>
              <w:rPr>
                <w:sz w:val="20"/>
                <w:szCs w:val="20"/>
                <w:color w:val="auto"/>
              </w:rPr>
            </w:pPr>
            <w:r>
              <w:rPr>
                <w:rFonts w:ascii="Arial" w:cs="Arial" w:eastAsia="Arial" w:hAnsi="Arial"/>
                <w:sz w:val="15"/>
                <w:szCs w:val="15"/>
                <w:color w:val="auto"/>
              </w:rPr>
              <w:t>5,128,200</w:t>
            </w:r>
          </w:p>
        </w:tc>
        <w:tc>
          <w:tcPr>
            <w:tcW w:w="1340" w:type="dxa"/>
            <w:vAlign w:val="bottom"/>
            <w:tcBorders>
              <w:right w:val="single" w:sz="8" w:color="434F69"/>
            </w:tcBorders>
          </w:tcPr>
          <w:p>
            <w:pPr>
              <w:jc w:val="right"/>
              <w:ind w:right="244"/>
              <w:spacing w:after="0"/>
              <w:rPr>
                <w:sz w:val="20"/>
                <w:szCs w:val="20"/>
                <w:color w:val="auto"/>
              </w:rPr>
            </w:pPr>
            <w:r>
              <w:rPr>
                <w:rFonts w:ascii="Arial" w:cs="Arial" w:eastAsia="Arial" w:hAnsi="Arial"/>
                <w:sz w:val="15"/>
                <w:szCs w:val="15"/>
                <w:color w:val="auto"/>
              </w:rPr>
              <w:t>5,128,200</w:t>
            </w:r>
          </w:p>
        </w:tc>
        <w:tc>
          <w:tcPr>
            <w:tcW w:w="1160" w:type="dxa"/>
            <w:vAlign w:val="bottom"/>
            <w:tcBorders>
              <w:right w:val="single" w:sz="8" w:color="434F69"/>
            </w:tcBorders>
          </w:tcPr>
          <w:p>
            <w:pPr>
              <w:jc w:val="right"/>
              <w:ind w:right="125"/>
              <w:spacing w:after="0"/>
              <w:rPr>
                <w:sz w:val="20"/>
                <w:szCs w:val="20"/>
                <w:color w:val="auto"/>
              </w:rPr>
            </w:pPr>
            <w:r>
              <w:rPr>
                <w:rFonts w:ascii="Arial" w:cs="Arial" w:eastAsia="Arial" w:hAnsi="Arial"/>
                <w:sz w:val="15"/>
                <w:szCs w:val="15"/>
                <w:color w:val="auto"/>
              </w:rPr>
              <w:t>3,903,820</w:t>
            </w:r>
          </w:p>
        </w:tc>
        <w:tc>
          <w:tcPr>
            <w:tcW w:w="1140" w:type="dxa"/>
            <w:vAlign w:val="bottom"/>
            <w:tcBorders>
              <w:right w:val="single" w:sz="8" w:color="434F69"/>
            </w:tcBorders>
          </w:tcPr>
          <w:p>
            <w:pPr>
              <w:jc w:val="right"/>
              <w:ind w:right="165"/>
              <w:spacing w:after="0"/>
              <w:rPr>
                <w:sz w:val="20"/>
                <w:szCs w:val="20"/>
                <w:color w:val="auto"/>
              </w:rPr>
            </w:pPr>
            <w:r>
              <w:rPr>
                <w:rFonts w:ascii="Arial" w:cs="Arial" w:eastAsia="Arial" w:hAnsi="Arial"/>
                <w:sz w:val="15"/>
                <w:szCs w:val="15"/>
                <w:color w:val="auto"/>
              </w:rPr>
              <w:t>358,449</w:t>
            </w:r>
          </w:p>
        </w:tc>
        <w:tc>
          <w:tcPr>
            <w:tcW w:w="1260" w:type="dxa"/>
            <w:vAlign w:val="bottom"/>
            <w:tcBorders>
              <w:right w:val="single" w:sz="8" w:color="434F69"/>
            </w:tcBorders>
          </w:tcPr>
          <w:p>
            <w:pPr>
              <w:jc w:val="right"/>
              <w:ind w:right="185"/>
              <w:spacing w:after="0"/>
              <w:rPr>
                <w:sz w:val="20"/>
                <w:szCs w:val="20"/>
                <w:color w:val="auto"/>
              </w:rPr>
            </w:pPr>
            <w:r>
              <w:rPr>
                <w:rFonts w:ascii="Arial" w:cs="Arial" w:eastAsia="Arial" w:hAnsi="Arial"/>
                <w:sz w:val="15"/>
                <w:szCs w:val="15"/>
                <w:color w:val="auto"/>
              </w:rPr>
              <w:t>8,585,868</w:t>
            </w:r>
          </w:p>
        </w:tc>
      </w:tr>
      <w:tr>
        <w:trPr>
          <w:trHeight w:val="22"/>
        </w:trPr>
        <w:tc>
          <w:tcPr>
            <w:tcW w:w="2080" w:type="dxa"/>
            <w:vAlign w:val="bottom"/>
            <w:tcBorders>
              <w:left w:val="single" w:sz="8" w:color="434F69"/>
              <w:bottom w:val="single" w:sz="8" w:color="434F69"/>
              <w:right w:val="single" w:sz="8" w:color="434F69"/>
            </w:tcBorders>
          </w:tcPr>
          <w:p>
            <w:pPr>
              <w:spacing w:after="0" w:line="20" w:lineRule="exact"/>
              <w:rPr>
                <w:sz w:val="1"/>
                <w:szCs w:val="1"/>
                <w:color w:val="auto"/>
              </w:rPr>
            </w:pPr>
          </w:p>
        </w:tc>
        <w:tc>
          <w:tcPr>
            <w:tcW w:w="1240" w:type="dxa"/>
            <w:vAlign w:val="bottom"/>
            <w:tcBorders>
              <w:bottom w:val="single" w:sz="8" w:color="434F69"/>
              <w:right w:val="single" w:sz="8" w:color="434F69"/>
            </w:tcBorders>
          </w:tcPr>
          <w:p>
            <w:pPr>
              <w:spacing w:after="0" w:line="20" w:lineRule="exact"/>
              <w:rPr>
                <w:sz w:val="1"/>
                <w:szCs w:val="1"/>
                <w:color w:val="auto"/>
              </w:rPr>
            </w:pPr>
          </w:p>
        </w:tc>
        <w:tc>
          <w:tcPr>
            <w:tcW w:w="1340" w:type="dxa"/>
            <w:vAlign w:val="bottom"/>
            <w:tcBorders>
              <w:bottom w:val="single" w:sz="8" w:color="434F69"/>
              <w:right w:val="single" w:sz="8" w:color="434F69"/>
            </w:tcBorders>
          </w:tcPr>
          <w:p>
            <w:pPr>
              <w:spacing w:after="0" w:line="20" w:lineRule="exact"/>
              <w:rPr>
                <w:sz w:val="1"/>
                <w:szCs w:val="1"/>
                <w:color w:val="auto"/>
              </w:rPr>
            </w:pPr>
          </w:p>
        </w:tc>
        <w:tc>
          <w:tcPr>
            <w:tcW w:w="1160" w:type="dxa"/>
            <w:vAlign w:val="bottom"/>
            <w:tcBorders>
              <w:bottom w:val="single" w:sz="8" w:color="434F69"/>
              <w:right w:val="single" w:sz="8" w:color="434F69"/>
            </w:tcBorders>
          </w:tcPr>
          <w:p>
            <w:pPr>
              <w:spacing w:after="0" w:line="20" w:lineRule="exact"/>
              <w:rPr>
                <w:sz w:val="1"/>
                <w:szCs w:val="1"/>
                <w:color w:val="auto"/>
              </w:rPr>
            </w:pPr>
          </w:p>
        </w:tc>
        <w:tc>
          <w:tcPr>
            <w:tcW w:w="1140" w:type="dxa"/>
            <w:vAlign w:val="bottom"/>
            <w:tcBorders>
              <w:bottom w:val="single" w:sz="8" w:color="434F69"/>
              <w:right w:val="single" w:sz="8" w:color="434F69"/>
            </w:tcBorders>
          </w:tcPr>
          <w:p>
            <w:pPr>
              <w:spacing w:after="0" w:line="20" w:lineRule="exact"/>
              <w:rPr>
                <w:sz w:val="1"/>
                <w:szCs w:val="1"/>
                <w:color w:val="auto"/>
              </w:rPr>
            </w:pPr>
          </w:p>
        </w:tc>
        <w:tc>
          <w:tcPr>
            <w:tcW w:w="1260" w:type="dxa"/>
            <w:vAlign w:val="bottom"/>
            <w:tcBorders>
              <w:bottom w:val="single" w:sz="8" w:color="434F69"/>
              <w:right w:val="single" w:sz="8" w:color="434F69"/>
            </w:tcBorders>
          </w:tcPr>
          <w:p>
            <w:pPr>
              <w:spacing w:after="0" w:line="20" w:lineRule="exact"/>
              <w:rPr>
                <w:sz w:val="1"/>
                <w:szCs w:val="1"/>
                <w:color w:val="auto"/>
              </w:rPr>
            </w:pPr>
          </w:p>
        </w:tc>
      </w:tr>
    </w:tbl>
    <w:p>
      <w:pPr>
        <w:spacing w:after="0" w:line="175" w:lineRule="exact"/>
        <w:rPr>
          <w:sz w:val="20"/>
          <w:szCs w:val="20"/>
          <w:color w:val="auto"/>
        </w:rPr>
      </w:pPr>
    </w:p>
    <w:p>
      <w:pPr>
        <w:ind w:left="1620" w:right="519" w:hanging="360"/>
        <w:spacing w:after="0" w:line="231" w:lineRule="auto"/>
        <w:tabs>
          <w:tab w:leader="none" w:pos="16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The letter evidencing the August 2018 phantom unit grant to Mr. Chiang provides that in the event of his death or disability after the second anniversary of the date of the applicable grant, all of his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68" w:lineRule="exact"/>
        <w:rPr>
          <w:rFonts w:ascii="Arial" w:cs="Arial" w:eastAsia="Arial" w:hAnsi="Arial"/>
          <w:sz w:val="27"/>
          <w:szCs w:val="27"/>
          <w:color w:val="auto"/>
          <w:vertAlign w:val="superscript"/>
        </w:rPr>
      </w:pPr>
    </w:p>
    <w:p>
      <w:pPr>
        <w:ind w:left="1620" w:right="479"/>
        <w:spacing w:after="0" w:line="253" w:lineRule="auto"/>
        <w:rPr>
          <w:rFonts w:ascii="Arial" w:cs="Arial" w:eastAsia="Arial" w:hAnsi="Arial"/>
          <w:sz w:val="27"/>
          <w:szCs w:val="27"/>
          <w:color w:val="auto"/>
          <w:vertAlign w:val="superscript"/>
        </w:rPr>
      </w:pPr>
      <w:r>
        <w:rPr>
          <w:rFonts w:ascii="Arial" w:cs="Arial" w:eastAsia="Arial" w:hAnsi="Arial"/>
          <w:sz w:val="17"/>
          <w:szCs w:val="17"/>
          <w:color w:val="auto"/>
        </w:rPr>
        <w:t>The letters evidencing the August 2019, August 2020 and August 2021 phantom unit grants awarded to Messrs. Chiang, Swanson, McGee, Chandler and Goebel provide that in the event of their death or disability after the first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46" w:lineRule="exact"/>
        <w:rPr>
          <w:rFonts w:ascii="Arial" w:cs="Arial" w:eastAsia="Arial" w:hAnsi="Arial"/>
          <w:sz w:val="27"/>
          <w:szCs w:val="27"/>
          <w:color w:val="auto"/>
          <w:vertAlign w:val="superscript"/>
        </w:rPr>
      </w:pPr>
    </w:p>
    <w:p>
      <w:pPr>
        <w:ind w:left="1620" w:right="539"/>
        <w:spacing w:after="0" w:line="237" w:lineRule="auto"/>
        <w:rPr>
          <w:rFonts w:ascii="Arial" w:cs="Arial" w:eastAsia="Arial" w:hAnsi="Arial"/>
          <w:sz w:val="27"/>
          <w:szCs w:val="27"/>
          <w:color w:val="auto"/>
          <w:vertAlign w:val="superscript"/>
        </w:rPr>
      </w:pPr>
      <w:r>
        <w:rPr>
          <w:rFonts w:ascii="Arial" w:cs="Arial" w:eastAsia="Arial" w:hAnsi="Arial"/>
          <w:sz w:val="18"/>
          <w:szCs w:val="18"/>
          <w:color w:val="auto"/>
        </w:rPr>
        <w:t>The letters evidencing the December 2017 phantom unit grant awarded to Mr. Goebel and the May 2018 grant of 135,000 phantom units awarded to Mr. Chandler provide that in the event of their death or disability,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69" w:lineRule="exact"/>
        <w:rPr>
          <w:rFonts w:ascii="Arial" w:cs="Arial" w:eastAsia="Arial" w:hAnsi="Arial"/>
          <w:sz w:val="27"/>
          <w:szCs w:val="27"/>
          <w:color w:val="auto"/>
          <w:vertAlign w:val="superscript"/>
        </w:rPr>
      </w:pPr>
    </w:p>
    <w:p>
      <w:pPr>
        <w:ind w:left="1620" w:right="519"/>
        <w:spacing w:after="0" w:line="274" w:lineRule="auto"/>
        <w:rPr>
          <w:rFonts w:ascii="Arial" w:cs="Arial" w:eastAsia="Arial" w:hAnsi="Arial"/>
          <w:sz w:val="27"/>
          <w:szCs w:val="27"/>
          <w:color w:val="auto"/>
          <w:vertAlign w:val="superscript"/>
        </w:rPr>
      </w:pPr>
      <w:r>
        <w:rPr>
          <w:rFonts w:ascii="Arial" w:cs="Arial" w:eastAsia="Arial" w:hAnsi="Arial"/>
          <w:sz w:val="17"/>
          <w:szCs w:val="17"/>
          <w:color w:val="auto"/>
        </w:rPr>
        <w:t>The letters evidencing the November 2019 phantom unit grants awarded to Messrs. Chandler and Goebel provide that in the event of their death or disability after the second anniversary of the</w:t>
      </w:r>
    </w:p>
    <w:p>
      <w:pPr>
        <w:sectPr>
          <w:pgSz w:w="11900" w:h="16838" w:orient="portrait"/>
          <w:cols w:equalWidth="0" w:num="1">
            <w:col w:w="9879"/>
          </w:cols>
          <w:pgMar w:left="580" w:top="132"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59"/>
        <w:spacing w:after="0" w:line="238" w:lineRule="auto"/>
        <w:rPr>
          <w:sz w:val="20"/>
          <w:szCs w:val="20"/>
          <w:color w:val="auto"/>
        </w:rPr>
      </w:pPr>
      <w:r>
        <w:rPr>
          <w:rFonts w:ascii="Arial" w:cs="Arial" w:eastAsia="Arial" w:hAnsi="Arial"/>
          <w:sz w:val="18"/>
          <w:szCs w:val="18"/>
          <w:color w:val="auto"/>
        </w:rPr>
        <w:t>date of grant, all of their then outstanding phantom units awarded under such grants and associated DERs will be deemed nonforfeitable, and (i) 50% will vest on the next distribution date and (ii) any remaining unvested phantom units that had satisfied all of the vesting criteria as of the date of his termination but for the passage of time would also vest on the next following distribution date.</w:t>
      </w:r>
    </w:p>
    <w:p>
      <w:pPr>
        <w:spacing w:after="0" w:line="54" w:lineRule="exact"/>
        <w:rPr>
          <w:sz w:val="20"/>
          <w:szCs w:val="20"/>
          <w:color w:val="auto"/>
        </w:rPr>
      </w:pPr>
    </w:p>
    <w:p>
      <w:pPr>
        <w:ind w:left="1620" w:right="879"/>
        <w:spacing w:after="0"/>
        <w:rPr>
          <w:sz w:val="20"/>
          <w:szCs w:val="20"/>
          <w:color w:val="auto"/>
        </w:rPr>
      </w:pPr>
      <w:r>
        <w:rPr>
          <w:rFonts w:ascii="Arial" w:cs="Arial" w:eastAsia="Arial" w:hAnsi="Arial"/>
          <w:sz w:val="18"/>
          <w:szCs w:val="18"/>
          <w:color w:val="auto"/>
        </w:rPr>
        <w:t>For these purposes, “disability” means a physical or mental infirmity that impairs the ability substantially to perform duties for a period of eighteen (18) months or that the general partner otherwise determines constitutes a disability.</w:t>
      </w:r>
    </w:p>
    <w:p>
      <w:pPr>
        <w:spacing w:after="0" w:line="54" w:lineRule="exact"/>
        <w:rPr>
          <w:sz w:val="20"/>
          <w:szCs w:val="20"/>
          <w:color w:val="auto"/>
        </w:rPr>
      </w:pPr>
    </w:p>
    <w:p>
      <w:pPr>
        <w:ind w:left="1620" w:right="459"/>
        <w:spacing w:after="0" w:line="234" w:lineRule="auto"/>
        <w:rPr>
          <w:sz w:val="20"/>
          <w:szCs w:val="20"/>
          <w:color w:val="auto"/>
        </w:rPr>
      </w:pPr>
      <w:r>
        <w:rPr>
          <w:rFonts w:ascii="Arial" w:cs="Arial" w:eastAsia="Arial" w:hAnsi="Arial"/>
          <w:sz w:val="18"/>
          <w:szCs w:val="18"/>
          <w:color w:val="auto"/>
        </w:rPr>
        <w:t>Assuming death or disability occurred on December 31, 2021, (A) all of the phantom units and associated DERs held by Messrs. Chiang, Swanson, McGee, Chandler and Goebel pursuant to their August 2019 and August 2020 grant letters, all of the phantom units and associated DERs held by Mr. Chandler pursuant to his May 2018 grant letter, all of the phantom units and associated DERs held by Mr. Chiang pursuant to his August 2018 grant letter, all of the phantom units and associated DERs held by Mr. Goebel pursuant to his 2017 grant letter, and 50% of the</w:t>
      </w:r>
    </w:p>
    <w:p>
      <w:pPr>
        <w:spacing w:after="0" w:line="4" w:lineRule="exact"/>
        <w:rPr>
          <w:sz w:val="20"/>
          <w:szCs w:val="20"/>
          <w:color w:val="auto"/>
        </w:rPr>
      </w:pPr>
    </w:p>
    <w:p>
      <w:pPr>
        <w:ind w:left="1620" w:right="439"/>
        <w:spacing w:after="0" w:line="236" w:lineRule="auto"/>
        <w:rPr>
          <w:sz w:val="20"/>
          <w:szCs w:val="20"/>
          <w:color w:val="auto"/>
        </w:rPr>
      </w:pPr>
      <w:r>
        <w:rPr>
          <w:rFonts w:ascii="Arial" w:cs="Arial" w:eastAsia="Arial" w:hAnsi="Arial"/>
          <w:sz w:val="18"/>
          <w:szCs w:val="18"/>
          <w:color w:val="auto"/>
        </w:rPr>
        <w:t>phantom units and associated DERs held by Messrs. Chandler and Goebel pursuant to their November 2019 grant letters would have become nonforfeitable as of such date and would have vested on the February 2022 distribution date, and (B) all of the phantom units and associated DERs held by Messrs. Chiang, Swanson, McGee, Chandler and Goebel pursuant to their August 2021 grant letters and 50% of the phantom units and associated DERs held by Messrs. Chandler and Goebel pursuant to their November 2019 grant letters would have been forfeited. The dollar value given is based on the market value of PAA’s common units on December 31, 2021 ($9.34 per unit).</w:t>
      </w:r>
    </w:p>
    <w:p>
      <w:pPr>
        <w:spacing w:after="0" w:line="59" w:lineRule="exact"/>
        <w:rPr>
          <w:sz w:val="20"/>
          <w:szCs w:val="20"/>
          <w:color w:val="auto"/>
        </w:rPr>
      </w:pPr>
    </w:p>
    <w:p>
      <w:pPr>
        <w:ind w:left="1620" w:right="499" w:hanging="360"/>
        <w:spacing w:after="0" w:line="227"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Other than as described below, pursuant to the grant letters for the currently outstanding phantom unit grants awarded to the NEOs, if GP LLC terminated their employment other than for cause (as defined in footnote 3 below), all of their unvested phantom units awarded under such grants and associated DERs shall be deemed nonforfeitable on the date of such termination and shall vest on the next following distribution date.</w:t>
      </w:r>
    </w:p>
    <w:p>
      <w:pPr>
        <w:spacing w:after="0" w:line="84" w:lineRule="exact"/>
        <w:rPr>
          <w:rFonts w:ascii="Arial" w:cs="Arial" w:eastAsia="Arial" w:hAnsi="Arial"/>
          <w:sz w:val="27"/>
          <w:szCs w:val="27"/>
          <w:color w:val="auto"/>
          <w:vertAlign w:val="superscript"/>
        </w:rPr>
      </w:pPr>
    </w:p>
    <w:p>
      <w:pPr>
        <w:ind w:left="1620" w:right="459"/>
        <w:spacing w:after="0" w:line="237" w:lineRule="auto"/>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Chandler and Goebel in November 2019 provide that if their employment is terminated other than for cause (as defined in footnote 3 below), a portion of the unvested phantom units will be deemed nonforfeitable and will vest on the next following distribution date, with the size of the portion starting at 20% for a termination prior to November 20, 2021, and increasing by 20% per year thereafter such that 100% of the unvested phantom units would be deemed nonforfeitable following a termination other than for cause on or after November 20, 2024.</w:t>
      </w:r>
    </w:p>
    <w:p>
      <w:pPr>
        <w:spacing w:after="0" w:line="54" w:lineRule="exact"/>
        <w:rPr>
          <w:rFonts w:ascii="Arial" w:cs="Arial" w:eastAsia="Arial" w:hAnsi="Arial"/>
          <w:sz w:val="27"/>
          <w:szCs w:val="27"/>
          <w:color w:val="auto"/>
          <w:vertAlign w:val="superscript"/>
        </w:rPr>
      </w:pPr>
    </w:p>
    <w:p>
      <w:pPr>
        <w:ind w:left="1620" w:right="519"/>
        <w:spacing w:after="0" w:line="236" w:lineRule="auto"/>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Chiang, Swanson, McGee, Chandler and Goebel in August 2020 and August 2021 provide that if their employment is terminated other than for cause prior to the first anniversary of the applicable date of grant, all of their unvested phantom units will be forfeited as of the date of such termination. If such termination occurs after the first anniversary of the applicable date of grant, a pro rata portion of the unvested phantom units (based on the portion of the three-year vesting period that has elapsed since the grant date and assuming a payout at target for any performance-based phantom units) will be deemed nonforfeitable and will vest on the next following distribution date.</w:t>
      </w:r>
    </w:p>
    <w:p>
      <w:pPr>
        <w:spacing w:after="0" w:line="59" w:lineRule="exact"/>
        <w:rPr>
          <w:rFonts w:ascii="Arial" w:cs="Arial" w:eastAsia="Arial" w:hAnsi="Arial"/>
          <w:sz w:val="27"/>
          <w:szCs w:val="27"/>
          <w:color w:val="auto"/>
          <w:vertAlign w:val="superscript"/>
        </w:rPr>
      </w:pPr>
    </w:p>
    <w:p>
      <w:pPr>
        <w:ind w:left="1620" w:right="619"/>
        <w:spacing w:after="0" w:line="237" w:lineRule="auto"/>
        <w:rPr>
          <w:rFonts w:ascii="Arial" w:cs="Arial" w:eastAsia="Arial" w:hAnsi="Arial"/>
          <w:sz w:val="27"/>
          <w:szCs w:val="27"/>
          <w:color w:val="auto"/>
          <w:vertAlign w:val="superscript"/>
        </w:rPr>
      </w:pPr>
      <w:r>
        <w:rPr>
          <w:rFonts w:ascii="Arial" w:cs="Arial" w:eastAsia="Arial" w:hAnsi="Arial"/>
          <w:sz w:val="18"/>
          <w:szCs w:val="18"/>
          <w:color w:val="auto"/>
        </w:rPr>
        <w:t>Mr. Chiang’s August 2018 phantom unit grant provides that if his employment is terminated other than for cause (as defined in footnote 3 below) a portion of the unvested phantom units will be deemed nonforfeitable and will vest on the next following distribution date, with the size of the portion starting at 20% for a termination prior to October 1, 2019, and increasing to 40% for a termination other than for cause between October 1, 2019 and October 1, 2020, 60% for a termination other than for cause between October 1, 2020 and October 1, 2021 and 100% for a termination other than for cause on or after October 1, 2021.</w:t>
      </w:r>
    </w:p>
    <w:p>
      <w:pPr>
        <w:spacing w:after="0" w:line="63" w:lineRule="exact"/>
        <w:rPr>
          <w:rFonts w:ascii="Arial" w:cs="Arial" w:eastAsia="Arial" w:hAnsi="Arial"/>
          <w:sz w:val="27"/>
          <w:szCs w:val="27"/>
          <w:color w:val="auto"/>
          <w:vertAlign w:val="superscript"/>
        </w:rPr>
      </w:pPr>
    </w:p>
    <w:p>
      <w:pPr>
        <w:ind w:left="1620"/>
        <w:spacing w:after="0"/>
        <w:rPr>
          <w:rFonts w:ascii="Arial" w:cs="Arial" w:eastAsia="Arial" w:hAnsi="Arial"/>
          <w:sz w:val="27"/>
          <w:szCs w:val="27"/>
          <w:color w:val="auto"/>
          <w:vertAlign w:val="superscript"/>
        </w:rPr>
      </w:pPr>
      <w:r>
        <w:rPr>
          <w:rFonts w:ascii="Arial" w:cs="Arial" w:eastAsia="Arial" w:hAnsi="Arial"/>
          <w:sz w:val="18"/>
          <w:szCs w:val="18"/>
          <w:color w:val="auto"/>
        </w:rPr>
        <w:t>Assuming our Named Executive Officers were terminated without cause on December 31, 2021,</w:t>
      </w:r>
    </w:p>
    <w:p>
      <w:pPr>
        <w:ind w:left="1620" w:right="519"/>
        <w:spacing w:after="0" w:line="253" w:lineRule="auto"/>
        <w:tabs>
          <w:tab w:leader="none" w:pos="1828"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of the phantom units covered by the August 2019 phantom unit grants held by Messrs. Chiang, Swanson, McGee, Chandler and Goebel, approximately 46% of the phantom units covered by the August 2020 phantom unit grants held by Messrs. Chiang, Swanson, McGee, Chandler and Goebel, all of the phantom units covered by the December 2017 phantom unit grant held by Mr. Goebel, all of the phantom units covered by the May 2018 phantom unit grant held by Mr. Chandler, 40% of the phantom units covered by the November 2019 phantom unit grants held</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19"/>
        <w:spacing w:after="0" w:line="253" w:lineRule="auto"/>
        <w:rPr>
          <w:sz w:val="20"/>
          <w:szCs w:val="20"/>
          <w:color w:val="auto"/>
        </w:rPr>
      </w:pPr>
      <w:r>
        <w:rPr>
          <w:rFonts w:ascii="Arial" w:cs="Arial" w:eastAsia="Arial" w:hAnsi="Arial"/>
          <w:sz w:val="18"/>
          <w:szCs w:val="18"/>
          <w:color w:val="auto"/>
        </w:rPr>
        <w:t>by Messrs. Chandler and Goebel and 100% of the phantom units covered by the August 2018 phantom unit grant held by Mr. Chiang would have vested on the February 2022 distribution date, and (ii) all remaining phantom units held by our Named Executive Officers would have become automatically forfeited as of such date of termination. The dollar value given is based on the market value of PAA’s common units on December 31, 2021 ($9.34 per unit).</w:t>
      </w:r>
    </w:p>
    <w:p>
      <w:pPr>
        <w:spacing w:after="0" w:line="57" w:lineRule="exact"/>
        <w:rPr>
          <w:sz w:val="20"/>
          <w:szCs w:val="20"/>
          <w:color w:val="auto"/>
        </w:rPr>
      </w:pPr>
    </w:p>
    <w:p>
      <w:pPr>
        <w:ind w:left="1620" w:right="459" w:hanging="360"/>
        <w:spacing w:after="0" w:line="237" w:lineRule="auto"/>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The letters evidencing phantom unit grants awarded to the Named Executive Officers provide that in the event of a change in status (as defined below), all of the then outstanding phantom units awarded under such grants and associated DERs will be deemed nonforfeitable, and such phantom units will vest in full (i.e., the phantom units will become payable in the form of one common unit per phantom unit) upon the next following distribution date. Assuming that a change in status occurred on December 31, 2021, all outstanding phantom units awarded under such grants and the associated DERs would have become nonforfeitable as of December 31, 2021, and such phantom units would vest on the February 2022 distribution date. The dollar value given is based on the market value of PAA’s common units on December 31, 2021 ($9.34 per unit).</w:t>
      </w:r>
    </w:p>
    <w:p>
      <w:pPr>
        <w:spacing w:after="0" w:line="69" w:lineRule="exact"/>
        <w:rPr>
          <w:rFonts w:ascii="Arial" w:cs="Arial" w:eastAsia="Arial" w:hAnsi="Arial"/>
          <w:sz w:val="27"/>
          <w:szCs w:val="27"/>
          <w:color w:val="auto"/>
          <w:vertAlign w:val="superscript"/>
        </w:rPr>
      </w:pPr>
    </w:p>
    <w:p>
      <w:pPr>
        <w:ind w:left="1620" w:right="459"/>
        <w:spacing w:after="0" w:line="250" w:lineRule="auto"/>
        <w:rPr>
          <w:rFonts w:ascii="Arial" w:cs="Arial" w:eastAsia="Arial" w:hAnsi="Arial"/>
          <w:sz w:val="27"/>
          <w:szCs w:val="27"/>
          <w:color w:val="auto"/>
          <w:vertAlign w:val="superscript"/>
        </w:rPr>
      </w:pPr>
      <w:r>
        <w:rPr>
          <w:rFonts w:ascii="Arial" w:cs="Arial" w:eastAsia="Arial" w:hAnsi="Arial"/>
          <w:sz w:val="18"/>
          <w:szCs w:val="18"/>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 GP LLC other than a termination for cause (as defined below), (B) the termination of employment by the Named Executive Officer due to the occurrence, without the Named Executive Officer’s written consent, of any material diminution in the Named Executive Officer’s authority, duties or responsibilities, (ii) any material reduction in the Named Executive Officer’s base salary or (iii) any other action or inaction that would constitute a material breach of the agreement by GP LLC, or</w:t>
      </w:r>
    </w:p>
    <w:p>
      <w:pPr>
        <w:spacing w:after="0" w:line="3" w:lineRule="exact"/>
        <w:rPr>
          <w:rFonts w:ascii="Arial" w:cs="Arial" w:eastAsia="Arial" w:hAnsi="Arial"/>
          <w:sz w:val="27"/>
          <w:szCs w:val="27"/>
          <w:color w:val="auto"/>
          <w:vertAlign w:val="superscript"/>
        </w:rPr>
      </w:pPr>
    </w:p>
    <w:p>
      <w:pPr>
        <w:ind w:left="1620" w:right="559"/>
        <w:spacing w:after="0" w:line="261" w:lineRule="auto"/>
        <w:rPr>
          <w:rFonts w:ascii="Arial" w:cs="Arial" w:eastAsia="Arial" w:hAnsi="Arial"/>
          <w:sz w:val="27"/>
          <w:szCs w:val="27"/>
          <w:color w:val="auto"/>
          <w:vertAlign w:val="superscript"/>
        </w:rPr>
      </w:pPr>
      <w:r>
        <w:rPr>
          <w:rFonts w:ascii="Arial" w:cs="Arial" w:eastAsia="Arial" w:hAnsi="Arial"/>
          <w:sz w:val="18"/>
          <w:szCs w:val="18"/>
          <w:color w:val="auto"/>
        </w:rPr>
        <w:t>(C) the termination of employment as a result of retirement on terms and timing that are approved by the CEO (or the Board in the case of the CEO).</w:t>
      </w:r>
    </w:p>
    <w:p>
      <w:pPr>
        <w:spacing w:after="0" w:line="63" w:lineRule="exact"/>
        <w:rPr>
          <w:sz w:val="20"/>
          <w:szCs w:val="20"/>
          <w:color w:val="auto"/>
        </w:rPr>
      </w:pPr>
    </w:p>
    <w:p>
      <w:pPr>
        <w:ind w:left="1620" w:right="499"/>
        <w:spacing w:after="0" w:line="251" w:lineRule="auto"/>
        <w:rPr>
          <w:sz w:val="20"/>
          <w:szCs w:val="20"/>
          <w:color w:val="auto"/>
        </w:rPr>
      </w:pPr>
      <w:r>
        <w:rPr>
          <w:rFonts w:ascii="Arial" w:cs="Arial" w:eastAsia="Arial" w:hAnsi="Arial"/>
          <w:sz w:val="18"/>
          <w:szCs w:val="18"/>
          <w:color w:val="auto"/>
        </w:rPr>
        <w:t xml:space="preserve">The phrase “change of control” is defined in phantom unit grants awarded in 2017 to mean, and is deemed to have occurred upon the occurrence of, one or more of the following events: (i) the Persons who owned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8"/>
          <w:szCs w:val="18"/>
          <w:i w:val="1"/>
          <w:iCs w:val="1"/>
          <w:color w:val="auto"/>
        </w:rPr>
        <w:t>and</w:t>
      </w:r>
      <w:r>
        <w:rPr>
          <w:rFonts w:ascii="Arial" w:cs="Arial" w:eastAsia="Arial" w:hAnsi="Arial"/>
          <w:sz w:val="18"/>
          <w:szCs w:val="18"/>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60" w:lineRule="exact"/>
        <w:rPr>
          <w:sz w:val="20"/>
          <w:szCs w:val="20"/>
          <w:color w:val="auto"/>
        </w:rPr>
      </w:pPr>
    </w:p>
    <w:p>
      <w:pPr>
        <w:ind w:left="1620" w:right="479"/>
        <w:spacing w:after="0" w:line="267" w:lineRule="auto"/>
        <w:rPr>
          <w:sz w:val="20"/>
          <w:szCs w:val="20"/>
          <w:color w:val="auto"/>
        </w:rPr>
      </w:pPr>
      <w:r>
        <w:rPr>
          <w:rFonts w:ascii="Arial" w:cs="Arial" w:eastAsia="Arial" w:hAnsi="Arial"/>
          <w:sz w:val="17"/>
          <w:szCs w:val="17"/>
          <w:color w:val="auto"/>
        </w:rPr>
        <w:t>The phrase “change of control” is defined in the phantom unit grants awarded in 2019, 2020, 2021 and to Mr. Chiang in August 2018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 controlled by PAGP). As used in this definition, “Person” shall include any “partnership, limited partnership, syndicate or other group” constituting a “person” within the</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99"/>
        <w:spacing w:after="0" w:line="246" w:lineRule="auto"/>
        <w:rPr>
          <w:sz w:val="20"/>
          <w:szCs w:val="20"/>
          <w:color w:val="auto"/>
        </w:rPr>
      </w:pPr>
      <w:r>
        <w:rPr>
          <w:rFonts w:ascii="Arial" w:cs="Arial" w:eastAsia="Arial" w:hAnsi="Arial"/>
          <w:sz w:val="18"/>
          <w:szCs w:val="18"/>
          <w:color w:val="auto"/>
        </w:rPr>
        <w:t>meaning of such terms pursuant to Sections 13(d) and 14(d) of the Securities Exchange Act of 1934, as amended (the “Exchange Act”).</w:t>
      </w:r>
    </w:p>
    <w:p>
      <w:pPr>
        <w:spacing w:after="0" w:line="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“Cause” is defined in the 2017, 2018, 2019, 2020 and 2021 phantom unit grant agreements as</w:t>
      </w:r>
    </w:p>
    <w:p>
      <w:pPr>
        <w:ind w:left="1620" w:right="459"/>
        <w:spacing w:after="0" w:line="237" w:lineRule="auto"/>
        <w:tabs>
          <w:tab w:leader="none" w:pos="1828" w:val="left"/>
        </w:tabs>
        <w:numPr>
          <w:ilvl w:val="1"/>
          <w:numId w:val="56"/>
        </w:numPr>
        <w:rPr>
          <w:rFonts w:ascii="Arial" w:cs="Arial" w:eastAsia="Arial" w:hAnsi="Arial"/>
          <w:sz w:val="18"/>
          <w:szCs w:val="18"/>
          <w:color w:val="auto"/>
        </w:rPr>
      </w:pPr>
      <w:r>
        <w:rPr>
          <w:rFonts w:ascii="Arial" w:cs="Arial" w:eastAsia="Arial" w:hAnsi="Arial"/>
          <w:sz w:val="18"/>
          <w:szCs w:val="18"/>
          <w:color w:val="auto"/>
        </w:rPr>
        <w:t>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 (unless waived in accordance with the terms thereof), in the case of clauses (i) and (iii) with the specific failure or violation described in writing.</w:t>
      </w:r>
    </w:p>
    <w:p>
      <w:pPr>
        <w:spacing w:after="0" w:line="54" w:lineRule="exact"/>
        <w:rPr>
          <w:rFonts w:ascii="Arial" w:cs="Arial" w:eastAsia="Arial" w:hAnsi="Arial"/>
          <w:sz w:val="18"/>
          <w:szCs w:val="18"/>
          <w:color w:val="auto"/>
        </w:rPr>
      </w:pPr>
    </w:p>
    <w:p>
      <w:pPr>
        <w:ind w:left="1620" w:right="419" w:hanging="360"/>
        <w:spacing w:after="0" w:line="246" w:lineRule="auto"/>
        <w:tabs>
          <w:tab w:leader="none" w:pos="1620" w:val="left"/>
        </w:tabs>
        <w:numPr>
          <w:ilvl w:val="0"/>
          <w:numId w:val="57"/>
        </w:numPr>
        <w:rPr>
          <w:rFonts w:ascii="Arial" w:cs="Arial" w:eastAsia="Arial" w:hAnsi="Arial"/>
          <w:sz w:val="26"/>
          <w:szCs w:val="26"/>
          <w:color w:val="auto"/>
          <w:vertAlign w:val="superscript"/>
        </w:rPr>
      </w:pPr>
      <w:r>
        <w:rPr>
          <w:rFonts w:ascii="Arial" w:cs="Arial" w:eastAsia="Arial" w:hAnsi="Arial"/>
          <w:sz w:val="17"/>
          <w:szCs w:val="17"/>
          <w:color w:val="auto"/>
        </w:rPr>
        <w:t>Pursuant to the AAP Management Unit grant agreements of Messrs. Chiang and Goebel, AAP retained a call right to purchase any earned AAP Management Units at a discounted purchase price (which purchase price is referred to in the AAP Management Unit grant agreements as the Call Value as defined below) of such AAP Management Units, which call right is exercisable upon the termination of such Named Executive Officer’s employment with GP LLC and its affiliates prior to a stated date (January 1, 2023 for Mr. Chiang’s and Mr. Goebel’s grants; such dates being referred to as the “Applicable Stated Date”); provided, however, that such call right is not applicable</w:t>
      </w:r>
    </w:p>
    <w:p>
      <w:pPr>
        <w:spacing w:after="0" w:line="3" w:lineRule="exact"/>
        <w:rPr>
          <w:rFonts w:ascii="Arial" w:cs="Arial" w:eastAsia="Arial" w:hAnsi="Arial"/>
          <w:sz w:val="26"/>
          <w:szCs w:val="26"/>
          <w:color w:val="auto"/>
          <w:vertAlign w:val="superscript"/>
        </w:rPr>
      </w:pPr>
    </w:p>
    <w:p>
      <w:pPr>
        <w:ind w:left="1620" w:right="439"/>
        <w:spacing w:after="0" w:line="251" w:lineRule="auto"/>
        <w:tabs>
          <w:tab w:leader="none" w:pos="1828"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the case of the termination of such Named Executive Officer’s employment without cause (defined below), (ii) in the event of a resignation by such Named Executive Officer with good reason (defined below), and (iii) in Mr. Chiang’s case, termination of employment due to his death or disability. If Messrs. Chiang or Goebel are terminated without cause or terminate their employment for good reason, or if such Named Executive Officer remains employed past their Applicable Stated Date, or, in the case of Mr. Chiang, if his employment is terminated due to his death or disability, any earned AAP Management Units are no longer subject to the call right and are deemed to have “vested.” As of December 31, 2021, all of the AAP Management Units held by Messrs. Chiang and Goebel had been earned. Assuming a termination of employment without cause or for good reason on December 31, 2021, all of the AAP Management Units held by Messrs. Chiang and Goebel would become vested and would no longer be subject to the call right. The value reflected in the table is calculated by (i) assuming that the call right held by AAP is either not applicable or is waived and that the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($10.14) of PAGP’s Class A shares at December 31, 2021 (the last trading day of the fiscal year).</w:t>
      </w:r>
    </w:p>
    <w:p>
      <w:pPr>
        <w:spacing w:after="0" w:line="59" w:lineRule="exact"/>
        <w:rPr>
          <w:sz w:val="20"/>
          <w:szCs w:val="20"/>
          <w:color w:val="auto"/>
        </w:rPr>
      </w:pPr>
    </w:p>
    <w:p>
      <w:pPr>
        <w:ind w:left="1620" w:right="459"/>
        <w:spacing w:after="0" w:line="236" w:lineRule="auto"/>
        <w:rPr>
          <w:sz w:val="20"/>
          <w:szCs w:val="20"/>
          <w:color w:val="auto"/>
        </w:rPr>
      </w:pPr>
      <w:r>
        <w:rPr>
          <w:rFonts w:ascii="Arial" w:cs="Arial" w:eastAsia="Arial" w:hAnsi="Arial"/>
          <w:sz w:val="18"/>
          <w:szCs w:val="18"/>
          <w:color w:val="auto"/>
        </w:rPr>
        <w:t>“Cause” is defined in Mr. Goebel’s AAP Management Unit grant agreement as (i) a reasonable determination made in good faith by the CEO that the executive has substantially failed to perform the duties and responsibilities of his position at an acceptable level and after written notice specifying such failure in reasonable detail, (ii) the executive’s conviction of or guilty plea to the committing of an act or acts constituting a felony under the laws of the United States or any state thereof or any misdemeanor involving moral turpitude, or (iii) executive’s violation of PAA’s Code of Business Conduct (unless waived), provided that executive is provided written notice of such violation.</w:t>
      </w:r>
    </w:p>
    <w:p>
      <w:pPr>
        <w:spacing w:after="0" w:line="73" w:lineRule="exact"/>
        <w:rPr>
          <w:sz w:val="20"/>
          <w:szCs w:val="20"/>
          <w:color w:val="auto"/>
        </w:rPr>
      </w:pPr>
    </w:p>
    <w:p>
      <w:pPr>
        <w:ind w:left="1620" w:right="419"/>
        <w:spacing w:after="0" w:line="236" w:lineRule="auto"/>
        <w:rPr>
          <w:sz w:val="20"/>
          <w:szCs w:val="20"/>
          <w:color w:val="auto"/>
        </w:rPr>
      </w:pPr>
      <w:r>
        <w:rPr>
          <w:rFonts w:ascii="Arial" w:cs="Arial" w:eastAsia="Arial" w:hAnsi="Arial"/>
          <w:sz w:val="18"/>
          <w:szCs w:val="18"/>
          <w:color w:val="auto"/>
        </w:rPr>
        <w:t>“Cause” is defined in Mr. Chiang’s AAP Management Unit grant agreement as (i) substantial failure to perform the duties and responsibilities of his position at an acceptable level as reasonably determined in good faith by the CEO and President of GP LLC (or if 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57" w:lineRule="exact"/>
        <w:rPr>
          <w:sz w:val="20"/>
          <w:szCs w:val="20"/>
          <w:color w:val="auto"/>
        </w:rPr>
      </w:pPr>
    </w:p>
    <w:p>
      <w:pPr>
        <w:ind w:left="1620" w:right="939"/>
        <w:spacing w:after="0" w:line="274" w:lineRule="auto"/>
        <w:rPr>
          <w:sz w:val="20"/>
          <w:szCs w:val="20"/>
          <w:color w:val="auto"/>
        </w:rPr>
      </w:pPr>
      <w:r>
        <w:rPr>
          <w:rFonts w:ascii="Arial" w:cs="Arial" w:eastAsia="Arial" w:hAnsi="Arial"/>
          <w:sz w:val="17"/>
          <w:szCs w:val="17"/>
          <w:color w:val="auto"/>
        </w:rPr>
        <w:t>“Good Reason” is defined in the AAP Management Unit grant agreements as (i) any material breach by AAP of executive’s AAP Management Unit grant agreement, (ii) the failure of any</w:t>
      </w:r>
    </w:p>
    <w:p>
      <w:pPr>
        <w:sectPr>
          <w:pgSz w:w="11900" w:h="16838" w:orient="portrait"/>
          <w:cols w:equalWidth="0" w:num="1">
            <w:col w:w="9879"/>
          </w:cols>
          <w:pgMar w:left="580" w:top="132"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919"/>
        <w:spacing w:after="0" w:line="261" w:lineRule="auto"/>
        <w:rPr>
          <w:sz w:val="20"/>
          <w:szCs w:val="20"/>
          <w:color w:val="auto"/>
        </w:rPr>
      </w:pPr>
      <w:r>
        <w:rPr>
          <w:rFonts w:ascii="Arial" w:cs="Arial" w:eastAsia="Arial" w:hAnsi="Arial"/>
          <w:sz w:val="18"/>
          <w:szCs w:val="18"/>
          <w:color w:val="auto"/>
        </w:rPr>
        <w:t>successor of AAP to assume executive’s AAP Management Unit grant agreement, or (iii) any material overall reduction the executive’s authority, responsibilities or duties.</w:t>
      </w:r>
    </w:p>
    <w:p>
      <w:pPr>
        <w:spacing w:after="0" w:line="49" w:lineRule="exact"/>
        <w:rPr>
          <w:sz w:val="20"/>
          <w:szCs w:val="20"/>
          <w:color w:val="auto"/>
        </w:rPr>
      </w:pPr>
    </w:p>
    <w:p>
      <w:pPr>
        <w:jc w:val="both"/>
        <w:ind w:left="1620" w:right="1039"/>
        <w:spacing w:after="0" w:line="256" w:lineRule="auto"/>
        <w:rPr>
          <w:sz w:val="20"/>
          <w:szCs w:val="20"/>
          <w:color w:val="auto"/>
        </w:rPr>
      </w:pPr>
      <w:r>
        <w:rPr>
          <w:rFonts w:ascii="Arial" w:cs="Arial" w:eastAsia="Arial" w:hAnsi="Arial"/>
          <w:sz w:val="18"/>
          <w:szCs w:val="18"/>
          <w:color w:val="auto"/>
        </w:rPr>
        <w:t>“Call Value” is defined in the AAP Management Unit grant agreements as the product of the applicable conversion factor and the closing sales price of the PAGP Class A shares on the applicable date.</w:t>
      </w:r>
    </w:p>
    <w:p>
      <w:pPr>
        <w:spacing w:after="0" w:line="67" w:lineRule="exact"/>
        <w:rPr>
          <w:sz w:val="20"/>
          <w:szCs w:val="20"/>
          <w:color w:val="auto"/>
        </w:rPr>
      </w:pPr>
    </w:p>
    <w:p>
      <w:pPr>
        <w:ind w:left="1620" w:right="419" w:hanging="360"/>
        <w:spacing w:after="0" w:line="243" w:lineRule="auto"/>
        <w:tabs>
          <w:tab w:leader="none" w:pos="1620" w:val="left"/>
        </w:tabs>
        <w:numPr>
          <w:ilvl w:val="0"/>
          <w:numId w:val="58"/>
        </w:numPr>
        <w:rPr>
          <w:rFonts w:ascii="Arial" w:cs="Arial" w:eastAsia="Arial" w:hAnsi="Arial"/>
          <w:sz w:val="26"/>
          <w:szCs w:val="26"/>
          <w:color w:val="auto"/>
          <w:vertAlign w:val="superscript"/>
        </w:rPr>
      </w:pPr>
      <w:r>
        <w:rPr>
          <w:rFonts w:ascii="Arial" w:cs="Arial" w:eastAsia="Arial" w:hAnsi="Arial"/>
          <w:sz w:val="17"/>
          <w:szCs w:val="17"/>
          <w:color w:val="auto"/>
        </w:rPr>
        <w:t>Pursuant to the AAP Management Unit grant agreements, upon the occurrence of a Change in Control, any earned AAP Management Units become vested units. As of December 31, 2021, all of the AAP Management Units held by Messrs. Chiang and Goebel had been earned. Accordingly, assuming that a Change in Control occurred on December 31, 2021, all of the AAP Management Units held by Messrs. Chiang and Goebel would become vested and would no longer be subject to the call right. The value reflected in the table above for Messrs. Chiang and Goebel is calculated by</w:t>
      </w:r>
    </w:p>
    <w:p>
      <w:pPr>
        <w:spacing w:after="0" w:line="3" w:lineRule="exact"/>
        <w:rPr>
          <w:rFonts w:ascii="Arial" w:cs="Arial" w:eastAsia="Arial" w:hAnsi="Arial"/>
          <w:sz w:val="26"/>
          <w:szCs w:val="26"/>
          <w:color w:val="auto"/>
          <w:vertAlign w:val="superscript"/>
        </w:rPr>
      </w:pPr>
    </w:p>
    <w:p>
      <w:pPr>
        <w:ind w:left="1620" w:right="419"/>
        <w:spacing w:after="0" w:line="252" w:lineRule="auto"/>
        <w:rPr>
          <w:rFonts w:ascii="Arial" w:cs="Arial" w:eastAsia="Arial" w:hAnsi="Arial"/>
          <w:sz w:val="26"/>
          <w:szCs w:val="26"/>
          <w:color w:val="auto"/>
          <w:vertAlign w:val="superscript"/>
        </w:rPr>
      </w:pPr>
      <w:r>
        <w:rPr>
          <w:rFonts w:ascii="Arial" w:cs="Arial" w:eastAsia="Arial" w:hAnsi="Arial"/>
          <w:sz w:val="18"/>
          <w:szCs w:val="18"/>
          <w:color w:val="auto"/>
        </w:rPr>
        <w:t>(i) assuming that the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($10.14) of PAGP’s Class A shares at December 31, 2021 (the last trading day of the fiscal year).</w:t>
      </w:r>
    </w:p>
    <w:p>
      <w:pPr>
        <w:spacing w:after="0" w:line="59" w:lineRule="exact"/>
        <w:rPr>
          <w:sz w:val="20"/>
          <w:szCs w:val="20"/>
          <w:color w:val="auto"/>
        </w:rPr>
      </w:pPr>
    </w:p>
    <w:p>
      <w:pPr>
        <w:ind w:left="1620" w:right="419"/>
        <w:spacing w:after="0" w:line="251" w:lineRule="auto"/>
        <w:rPr>
          <w:sz w:val="20"/>
          <w:szCs w:val="20"/>
          <w:color w:val="auto"/>
        </w:rPr>
      </w:pPr>
      <w:r>
        <w:rPr>
          <w:rFonts w:ascii="Arial" w:cs="Arial" w:eastAsia="Arial" w:hAnsi="Arial"/>
          <w:sz w:val="18"/>
          <w:szCs w:val="18"/>
          <w:color w:val="auto"/>
        </w:rPr>
        <w:t xml:space="preserve">“Change in Control” means the determination by the Board that one of the following events has occurred: (i) the Persons who own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8"/>
          <w:szCs w:val="18"/>
          <w:i w:val="1"/>
          <w:iCs w:val="1"/>
          <w:color w:val="auto"/>
        </w:rPr>
        <w:t>and</w:t>
      </w:r>
      <w:r>
        <w:rPr>
          <w:rFonts w:ascii="Arial" w:cs="Arial" w:eastAsia="Arial" w:hAnsi="Arial"/>
          <w:sz w:val="18"/>
          <w:szCs w:val="18"/>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60" w:lineRule="exact"/>
        <w:rPr>
          <w:sz w:val="20"/>
          <w:szCs w:val="20"/>
          <w:color w:val="auto"/>
        </w:rPr>
      </w:pPr>
    </w:p>
    <w:p>
      <w:pPr>
        <w:ind w:left="1620" w:right="479" w:hanging="360"/>
        <w:spacing w:after="0" w:line="234" w:lineRule="auto"/>
        <w:tabs>
          <w:tab w:leader="none" w:pos="1620" w:val="left"/>
        </w:tabs>
        <w:numPr>
          <w:ilvl w:val="0"/>
          <w:numId w:val="59"/>
        </w:numPr>
        <w:rPr>
          <w:rFonts w:ascii="Arial" w:cs="Arial" w:eastAsia="Arial" w:hAnsi="Arial"/>
          <w:sz w:val="26"/>
          <w:szCs w:val="26"/>
          <w:color w:val="auto"/>
          <w:vertAlign w:val="superscript"/>
        </w:rPr>
      </w:pPr>
      <w:r>
        <w:rPr>
          <w:rFonts w:ascii="Arial" w:cs="Arial" w:eastAsia="Arial" w:hAnsi="Arial"/>
          <w:sz w:val="17"/>
          <w:szCs w:val="17"/>
          <w:color w:val="auto"/>
        </w:rPr>
        <w:t>Mr. Pefanis’ employment agreement provides that if (i) his employment is terminated as a result of his death, (ii) he terminates his employment (a) because of a disability (as defined in Section 409A of the Code) or (b) for good reason (as defined below), or (iii) GP LLC terminates his employment without cause (as defined below), he is entitled to a lump-sum amount equal to the product of</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 the sum of his (a) highest annual base salary paid prior to his date of termination and</w:t>
      </w:r>
    </w:p>
    <w:p>
      <w:pPr>
        <w:spacing w:after="0" w:line="9" w:lineRule="exact"/>
        <w:rPr>
          <w:sz w:val="20"/>
          <w:szCs w:val="20"/>
          <w:color w:val="auto"/>
        </w:rPr>
      </w:pPr>
    </w:p>
    <w:p>
      <w:pPr>
        <w:ind w:left="1620" w:right="499"/>
        <w:spacing w:after="0" w:line="253" w:lineRule="auto"/>
        <w:tabs>
          <w:tab w:leader="none" w:pos="18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highest annual bonus paid or payable for any of the three years prior to the date of termination, and (2) the lesser of (i) two or (ii) the number of days remaining in the term of his employment agreement divided by 360. The amount provided in the table assumes a termination date of December 31, 2021 with two years remaining on the term of his agreement, and also assumes a highest annual base salary of $400,000 and highest annual bonus of $1,500,000.</w:t>
      </w:r>
    </w:p>
    <w:p>
      <w:pPr>
        <w:spacing w:after="0" w:line="70" w:lineRule="exact"/>
        <w:rPr>
          <w:sz w:val="20"/>
          <w:szCs w:val="20"/>
          <w:color w:val="auto"/>
        </w:rPr>
      </w:pPr>
    </w:p>
    <w:p>
      <w:pPr>
        <w:ind w:left="1620" w:right="439"/>
        <w:spacing w:after="0" w:line="265" w:lineRule="auto"/>
        <w:rPr>
          <w:sz w:val="20"/>
          <w:szCs w:val="20"/>
          <w:color w:val="auto"/>
        </w:rPr>
      </w:pPr>
      <w:r>
        <w:rPr>
          <w:rFonts w:ascii="Arial" w:cs="Arial" w:eastAsia="Arial" w:hAnsi="Arial"/>
          <w:sz w:val="17"/>
          <w:szCs w:val="17"/>
          <w:color w:val="auto"/>
        </w:rPr>
        <w:t>Mr. Pefanis’ employment agreement defines “cause” as (i) willfully engaging in gross misconduct, or (ii) conviction of a felony involving moral turpitude. Notwithstanding, no act, or failure to act, on his part is “willful” unless done, or omitted to be done, not in good faith and without reasonable belief that such act or omission was in the best interest of GP LLC or otherwise likely to result in no material injury to GP LLC. However, Mr. Pefanis will not be deemed to have been terminated for cause unless and until there is delivered to him a copy of a resolution of the Board at a meeting held for that purpose (after reasonable notice and an opportunity to be heard), finding that</w:t>
      </w:r>
    </w:p>
    <w:p>
      <w:pPr>
        <w:spacing w:after="0" w:line="1" w:lineRule="exact"/>
        <w:rPr>
          <w:sz w:val="20"/>
          <w:szCs w:val="20"/>
          <w:color w:val="auto"/>
        </w:rPr>
      </w:pPr>
    </w:p>
    <w:p>
      <w:pPr>
        <w:ind w:left="1620" w:right="519"/>
        <w:spacing w:after="0" w:line="254" w:lineRule="auto"/>
        <w:rPr>
          <w:sz w:val="20"/>
          <w:szCs w:val="20"/>
          <w:color w:val="auto"/>
        </w:rPr>
      </w:pPr>
      <w:r>
        <w:rPr>
          <w:rFonts w:ascii="Arial" w:cs="Arial" w:eastAsia="Arial" w:hAnsi="Arial"/>
          <w:sz w:val="18"/>
          <w:szCs w:val="18"/>
          <w:color w:val="auto"/>
        </w:rPr>
        <w:t>Mr. Pefanis was guilty of the conduct described above, and specifying the basis for that finding. If Mr. Pefanis were terminated for cause, GP LLC would be obligated to pay base salary through the date of termination, with no other payment obligations triggered by the termination under the employment agreement or other employment arrangement.</w:t>
      </w:r>
    </w:p>
    <w:p>
      <w:pPr>
        <w:sectPr>
          <w:pgSz w:w="11900" w:h="16838" w:orient="portrait"/>
          <w:cols w:equalWidth="0" w:num="1">
            <w:col w:w="9879"/>
          </w:cols>
          <w:pgMar w:left="580" w:top="132"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99"/>
        <w:spacing w:after="0" w:line="248" w:lineRule="auto"/>
        <w:rPr>
          <w:sz w:val="20"/>
          <w:szCs w:val="20"/>
          <w:color w:val="auto"/>
        </w:rPr>
      </w:pPr>
      <w:r>
        <w:rPr>
          <w:rFonts w:ascii="Arial" w:cs="Arial" w:eastAsia="Arial" w:hAnsi="Arial"/>
          <w:sz w:val="17"/>
          <w:szCs w:val="17"/>
          <w:color w:val="auto"/>
        </w:rPr>
        <w:t>Mr. Pefanis’ employment agreement defines “good reason” as the occurrence of any of the following circumstances: (i) removal by GP LLC from, or failure to re-elect him to, the position to which Mr. Pefanis was appointed pursuant to his employment agreement, except in connection with his termination for cause (as defined above); (ii) (a) a reduction in his rate of base salary (other than in connection with across-the-board salary reductions for all executive officers of GP LLC) unless such reduction reduces his base salary to less than 85% of his current base salary,</w:t>
      </w:r>
    </w:p>
    <w:p>
      <w:pPr>
        <w:spacing w:after="0" w:line="3" w:lineRule="exact"/>
        <w:rPr>
          <w:sz w:val="20"/>
          <w:szCs w:val="20"/>
          <w:color w:val="auto"/>
        </w:rPr>
      </w:pPr>
    </w:p>
    <w:p>
      <w:pPr>
        <w:ind w:left="1620" w:right="499"/>
        <w:spacing w:after="0" w:line="236" w:lineRule="auto"/>
        <w:tabs>
          <w:tab w:leader="none" w:pos="188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material reduction in his fringe benefits, or (c) any other material failure by GP LLC to comply with its obligations under the employment agreement to pay his annual salary and bonus, reimburse his business expenses, provide for his participation in certain employee benefit plans and arrangements, furnish him with suitable office space and support staff, or allow him no less than 15 business days of paid vacation annually; or (ii) the failure of GP LLC to obtain the express assumption of the employment agreement by a successor entity (whether direct or indirect, by purchase, merger, consolidation or otherwise) to all or substantially all of the business and/or assets of GP LLC.</w:t>
      </w:r>
    </w:p>
    <w:p>
      <w:pPr>
        <w:spacing w:after="0" w:line="59" w:lineRule="exact"/>
        <w:rPr>
          <w:rFonts w:ascii="Arial" w:cs="Arial" w:eastAsia="Arial" w:hAnsi="Arial"/>
          <w:sz w:val="18"/>
          <w:szCs w:val="18"/>
          <w:color w:val="auto"/>
        </w:rPr>
      </w:pPr>
    </w:p>
    <w:p>
      <w:pPr>
        <w:ind w:left="1620" w:right="559" w:hanging="360"/>
        <w:spacing w:after="0" w:line="233"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Pursuant to his employment agreement, if Mr. Pefanis terminates his employment with GP LLC within three months of a Change in Control (as defined below), he is entitled to a lump-sum payment in an amount equal to the product of (i) three and (ii) the sum of (a) his highest annual base salary previously paid to him and (b) his highest annual bonus paid or payable for any of the three years prior to the date of such termination. The amount provided in the table assumes a Change in Control and termination date of December 31, 2021, and also assumes a highest annual base salary of $400,000 and highest annual bonus of $1,500,000.</w:t>
      </w:r>
    </w:p>
    <w:p>
      <w:pPr>
        <w:spacing w:after="0" w:line="72" w:lineRule="exact"/>
        <w:rPr>
          <w:rFonts w:ascii="Arial" w:cs="Arial" w:eastAsia="Arial" w:hAnsi="Arial"/>
          <w:sz w:val="27"/>
          <w:szCs w:val="27"/>
          <w:color w:val="auto"/>
          <w:vertAlign w:val="superscript"/>
        </w:rPr>
      </w:pPr>
    </w:p>
    <w:p>
      <w:pPr>
        <w:ind w:left="1620" w:right="459"/>
        <w:spacing w:after="0" w:line="265" w:lineRule="auto"/>
        <w:rPr>
          <w:rFonts w:ascii="Arial" w:cs="Arial" w:eastAsia="Arial" w:hAnsi="Arial"/>
          <w:sz w:val="27"/>
          <w:szCs w:val="27"/>
          <w:color w:val="auto"/>
          <w:vertAlign w:val="superscript"/>
        </w:rPr>
      </w:pPr>
      <w:r>
        <w:rPr>
          <w:rFonts w:ascii="Arial" w:cs="Arial" w:eastAsia="Arial" w:hAnsi="Arial"/>
          <w:sz w:val="17"/>
          <w:szCs w:val="17"/>
          <w:color w:val="auto"/>
        </w:rPr>
        <w:t>In conjunction with events occurring in 2005, 2010 and 2013, Mr. Pefanis executed various agreements waiving his right to terminate his employment and receive separation benefits under his employment agreement. In connection with such waivers, the definition of “Change in Control” in Mr. Pefanis’ employment agreement was modified to mean, and will be deemed to occur upon, one or more of the following events: (i)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PAGP GP;</w:t>
      </w:r>
    </w:p>
    <w:p>
      <w:pPr>
        <w:spacing w:after="0" w:line="1" w:lineRule="exact"/>
        <w:rPr>
          <w:rFonts w:ascii="Arial" w:cs="Arial" w:eastAsia="Arial" w:hAnsi="Arial"/>
          <w:sz w:val="27"/>
          <w:szCs w:val="27"/>
          <w:color w:val="auto"/>
          <w:vertAlign w:val="superscript"/>
        </w:rPr>
      </w:pPr>
    </w:p>
    <w:p>
      <w:pPr>
        <w:ind w:left="1620" w:right="479"/>
        <w:spacing w:after="0" w:line="251" w:lineRule="auto"/>
        <w:tabs>
          <w:tab w:leader="none" w:pos="1907" w:val="left"/>
        </w:tabs>
        <w:numPr>
          <w:ilvl w:val="1"/>
          <w:numId w:val="62"/>
        </w:numPr>
        <w:rPr>
          <w:rFonts w:ascii="Arial" w:cs="Arial" w:eastAsia="Arial" w:hAnsi="Arial"/>
          <w:sz w:val="18"/>
          <w:szCs w:val="18"/>
          <w:color w:val="auto"/>
        </w:rPr>
      </w:pPr>
      <w:r>
        <w:rPr>
          <w:rFonts w:ascii="Arial" w:cs="Arial" w:eastAsia="Arial" w:hAnsi="Arial"/>
          <w:sz w:val="18"/>
          <w:szCs w:val="18"/>
          <w:color w:val="auto"/>
        </w:rPr>
        <w:t>PAGP ceases to beneficially own, directly or indirectly, more than 50% of the membership interest in GP LLC; (iv) the “Owner Affiliates”, as defined in such agreements,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76" w:lineRule="exact"/>
        <w:rPr>
          <w:rFonts w:ascii="Arial" w:cs="Arial" w:eastAsia="Arial" w:hAnsi="Arial"/>
          <w:sz w:val="18"/>
          <w:szCs w:val="18"/>
          <w:color w:val="auto"/>
        </w:rPr>
      </w:pPr>
    </w:p>
    <w:p>
      <w:pPr>
        <w:ind w:left="1620" w:right="419" w:hanging="360"/>
        <w:spacing w:after="0" w:line="235"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Pursuant to his employment agreement, if Mr. Pefanis is terminated other than (i) for cause (as defined in footnote 6 above), (ii) by reason of death or (iii) by resignation (unless such resignation is due to a disability or for good reason (each as defined in footnote 6 above)), then he is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2021 with two years remaining on the term of his agreement.</w:t>
      </w:r>
    </w:p>
    <w:p>
      <w:pPr>
        <w:spacing w:after="0" w:line="72" w:lineRule="exact"/>
        <w:rPr>
          <w:rFonts w:ascii="Arial" w:cs="Arial" w:eastAsia="Arial" w:hAnsi="Arial"/>
          <w:sz w:val="27"/>
          <w:szCs w:val="27"/>
          <w:color w:val="auto"/>
          <w:vertAlign w:val="superscript"/>
        </w:rPr>
      </w:pPr>
    </w:p>
    <w:p>
      <w:pPr>
        <w:jc w:val="both"/>
        <w:ind w:left="1620" w:right="519" w:hanging="360"/>
        <w:spacing w:after="0" w:line="214"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If Messrs. Chiang, Pefanis, Swanson, McGee, Chandler or Goebel were terminated for cause, GP LLC would be obligated to pay base salary through the date of termination, with no other payment obligation triggered by the termination under any employment arrangement.</w:t>
      </w:r>
    </w:p>
    <w:p>
      <w:pPr>
        <w:spacing w:after="0" w:line="69" w:lineRule="exact"/>
        <w:rPr>
          <w:rFonts w:ascii="Arial" w:cs="Arial" w:eastAsia="Arial" w:hAnsi="Arial"/>
          <w:sz w:val="27"/>
          <w:szCs w:val="27"/>
          <w:color w:val="auto"/>
          <w:vertAlign w:val="superscript"/>
        </w:rPr>
      </w:pPr>
    </w:p>
    <w:p>
      <w:pPr>
        <w:ind w:left="1620" w:right="619" w:hanging="360"/>
        <w:spacing w:after="0" w:line="210" w:lineRule="auto"/>
        <w:tabs>
          <w:tab w:leader="none" w:pos="1620" w:val="left"/>
        </w:tabs>
        <w:numPr>
          <w:ilvl w:val="0"/>
          <w:numId w:val="62"/>
        </w:numPr>
        <w:rPr>
          <w:rFonts w:ascii="Arial" w:cs="Arial" w:eastAsia="Arial" w:hAnsi="Arial"/>
          <w:sz w:val="26"/>
          <w:szCs w:val="26"/>
          <w:color w:val="auto"/>
          <w:vertAlign w:val="superscript"/>
        </w:rPr>
      </w:pPr>
      <w:r>
        <w:rPr>
          <w:rFonts w:ascii="Arial" w:cs="Arial" w:eastAsia="Arial" w:hAnsi="Arial"/>
          <w:sz w:val="17"/>
          <w:szCs w:val="17"/>
          <w:color w:val="auto"/>
        </w:rPr>
        <w:t>Mr. Chiang’s AAP Management Unit grant agreement provides that in the event of his death or disability, AAP will not have a call right and all of his earned AAP Management Units will vest. As</w:t>
      </w:r>
    </w:p>
    <w:p>
      <w:pPr>
        <w:sectPr>
          <w:pgSz w:w="11900" w:h="16838" w:orient="portrait"/>
          <w:cols w:equalWidth="0" w:num="1">
            <w:col w:w="9879"/>
          </w:cols>
          <w:pgMar w:left="580" w:top="132"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19"/>
        <w:spacing w:after="0" w:line="265" w:lineRule="auto"/>
        <w:rPr>
          <w:sz w:val="20"/>
          <w:szCs w:val="20"/>
          <w:color w:val="auto"/>
        </w:rPr>
      </w:pPr>
      <w:r>
        <w:rPr>
          <w:rFonts w:ascii="Arial" w:cs="Arial" w:eastAsia="Arial" w:hAnsi="Arial"/>
          <w:sz w:val="17"/>
          <w:szCs w:val="17"/>
          <w:color w:val="auto"/>
        </w:rPr>
        <w:t>of December 31, 2021, all of Mr. Chiang’s AAP Management Units had been earned. The dollar value given assumes Mr. Chiang’s death or disability on December 31, 2021 and is calculated by</w:t>
      </w:r>
    </w:p>
    <w:p>
      <w:pPr>
        <w:ind w:left="1620" w:right="419"/>
        <w:spacing w:after="0" w:line="252" w:lineRule="auto"/>
        <w:tabs>
          <w:tab w:leader="none" w:pos="182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assuming that Mr. Chiang’s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($10.14) of PAGP’s Class A shares at December 31, 2021 (the last trading day of the fiscal year).</w:t>
      </w:r>
    </w:p>
    <w:p>
      <w:pPr>
        <w:spacing w:after="0" w:line="86" w:lineRule="exact"/>
        <w:rPr>
          <w:rFonts w:ascii="Arial" w:cs="Arial" w:eastAsia="Arial" w:hAnsi="Arial"/>
          <w:sz w:val="18"/>
          <w:szCs w:val="18"/>
          <w:color w:val="auto"/>
        </w:rPr>
      </w:pPr>
    </w:p>
    <w:p>
      <w:pPr>
        <w:ind w:left="1620" w:right="459" w:hanging="360"/>
        <w:spacing w:after="0" w:line="246" w:lineRule="auto"/>
        <w:tabs>
          <w:tab w:leader="none" w:pos="1620" w:val="left"/>
        </w:tabs>
        <w:numPr>
          <w:ilvl w:val="0"/>
          <w:numId w:val="64"/>
        </w:numPr>
        <w:rPr>
          <w:rFonts w:ascii="Arial" w:cs="Arial" w:eastAsia="Arial" w:hAnsi="Arial"/>
          <w:sz w:val="26"/>
          <w:szCs w:val="26"/>
          <w:color w:val="auto"/>
          <w:vertAlign w:val="superscript"/>
        </w:rPr>
      </w:pPr>
      <w:r>
        <w:rPr>
          <w:rFonts w:ascii="Arial" w:cs="Arial" w:eastAsia="Arial" w:hAnsi="Arial"/>
          <w:sz w:val="17"/>
          <w:szCs w:val="17"/>
          <w:color w:val="auto"/>
        </w:rPr>
        <w:t>Under the AAP Management Unit grant agreement for Mr. Goebel, his death or disability would trigger AAP’s call right, which is assumed to be waived by AAP resulting in the applicable AAP Management Units becoming vested. The value reflected in the table above for the applicable AAP Management Units is calculated by (i) assuming that Mr. Goebel’s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w:t>
      </w:r>
    </w:p>
    <w:p>
      <w:pPr>
        <w:spacing w:after="0" w:line="3" w:lineRule="exact"/>
        <w:rPr>
          <w:rFonts w:ascii="Arial" w:cs="Arial" w:eastAsia="Arial" w:hAnsi="Arial"/>
          <w:sz w:val="26"/>
          <w:szCs w:val="26"/>
          <w:color w:val="auto"/>
          <w:vertAlign w:val="superscript"/>
        </w:rPr>
      </w:pPr>
    </w:p>
    <w:p>
      <w:pPr>
        <w:ind w:left="1620" w:right="439"/>
        <w:spacing w:after="0" w:line="261" w:lineRule="auto"/>
        <w:tabs>
          <w:tab w:leader="none" w:pos="1907" w:val="left"/>
        </w:tabs>
        <w:numPr>
          <w:ilvl w:val="1"/>
          <w:numId w:val="64"/>
        </w:numPr>
        <w:rPr>
          <w:rFonts w:ascii="Arial" w:cs="Arial" w:eastAsia="Arial" w:hAnsi="Arial"/>
          <w:sz w:val="18"/>
          <w:szCs w:val="18"/>
          <w:color w:val="auto"/>
        </w:rPr>
      </w:pPr>
      <w:r>
        <w:rPr>
          <w:rFonts w:ascii="Arial" w:cs="Arial" w:eastAsia="Arial" w:hAnsi="Arial"/>
          <w:sz w:val="18"/>
          <w:szCs w:val="18"/>
          <w:color w:val="auto"/>
        </w:rPr>
        <w:t>multiplying such resulting number of PAGP Class A shares by the closing market price ($10.14) of PAGP’s Class A shares at December 31, 2021 (the last trading day of the fiscal year).</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166" w:lineRule="exact"/>
        <w:rPr>
          <w:sz w:val="20"/>
          <w:szCs w:val="20"/>
          <w:color w:val="auto"/>
        </w:rPr>
      </w:pPr>
    </w:p>
    <w:p>
      <w:pPr>
        <w:ind w:left="1260" w:right="659" w:firstLine="360"/>
        <w:spacing w:after="0" w:line="252" w:lineRule="auto"/>
        <w:rPr>
          <w:sz w:val="20"/>
          <w:szCs w:val="20"/>
          <w:color w:val="auto"/>
        </w:rPr>
      </w:pPr>
      <w:r>
        <w:rPr>
          <w:rFonts w:ascii="Arial" w:cs="Arial" w:eastAsia="Arial" w:hAnsi="Arial"/>
          <w:sz w:val="18"/>
          <w:szCs w:val="18"/>
          <w:color w:val="auto"/>
        </w:rPr>
        <w:t>Mr. Chiang has agreed to maintain the confidentiality of certain information and not to solicit customers, assets and employees for two years following termination of his employment. Mr. Pefanis has agreed to maintain the confidentiality of PAA information for a period of one year following the termination of his employment. Messrs. McGee and Chandler have each agreed to maintain the confidentiality of certain information and not to solicit customers for a period of two years after termination of their employment.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Ratio Disclosure</w:t>
      </w:r>
    </w:p>
    <w:p>
      <w:pPr>
        <w:spacing w:after="0" w:line="18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Willie Chiang, our CEO during 2021:</w:t>
      </w:r>
    </w:p>
    <w:p>
      <w:pPr>
        <w:spacing w:after="0" w:line="109" w:lineRule="exact"/>
        <w:rPr>
          <w:sz w:val="20"/>
          <w:szCs w:val="20"/>
          <w:color w:val="auto"/>
        </w:rPr>
      </w:pPr>
    </w:p>
    <w:p>
      <w:pPr>
        <w:ind w:left="1800" w:hanging="180"/>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annual total compensation for Mr. Chiang for 2021 was approximately $4,392,000.</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annual total compensation for the median employee for 2021 was approximately $121,000.</w:t>
      </w:r>
    </w:p>
    <w:p>
      <w:pPr>
        <w:spacing w:after="0" w:line="144" w:lineRule="exact"/>
        <w:rPr>
          <w:rFonts w:ascii="Arial" w:cs="Arial" w:eastAsia="Arial" w:hAnsi="Arial"/>
          <w:sz w:val="18"/>
          <w:szCs w:val="18"/>
          <w:color w:val="auto"/>
        </w:rPr>
      </w:pPr>
    </w:p>
    <w:p>
      <w:pPr>
        <w:ind w:left="1800" w:right="759" w:hanging="180"/>
        <w:spacing w:after="0" w:line="261"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ratio of Mr. Chiang’s pay to the pay of our median employee for 2021 was approximately 36.3 to 1.</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PAA’s median employee was identified as of December 31, 2021 using the following methodology:</w:t>
      </w:r>
    </w:p>
    <w:p>
      <w:pPr>
        <w:spacing w:after="0" w:line="144" w:lineRule="exact"/>
        <w:rPr>
          <w:sz w:val="20"/>
          <w:szCs w:val="20"/>
          <w:color w:val="auto"/>
        </w:rPr>
      </w:pPr>
    </w:p>
    <w:p>
      <w:pPr>
        <w:ind w:left="1800" w:right="1079" w:hanging="180"/>
        <w:spacing w:after="0" w:line="261"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list was prepared of all individuals, excluding the CEO, who were employed by PAA on December 31, 2021. We included all U.S. and Canadian employees.</w:t>
      </w:r>
    </w:p>
    <w:p>
      <w:pPr>
        <w:spacing w:after="0" w:line="103" w:lineRule="exact"/>
        <w:rPr>
          <w:rFonts w:ascii="Arial" w:cs="Arial" w:eastAsia="Arial" w:hAnsi="Arial"/>
          <w:sz w:val="18"/>
          <w:szCs w:val="18"/>
          <w:color w:val="auto"/>
        </w:rPr>
      </w:pPr>
    </w:p>
    <w:p>
      <w:pPr>
        <w:ind w:left="1800" w:right="499" w:hanging="180"/>
        <w:spacing w:after="0" w:line="253"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Basic wage data for each U.S. employee was extracted from Form W-2 information provided to the Internal Revenue Service for calendar year 2021. Basic wage data for each Canadian employee was extracted from Form T4 information provided to the Canada Revenue Agency for calendar year 2021 and converted to U.S. dollars. This information was then sorted and the median employee was identified.</w:t>
      </w:r>
    </w:p>
    <w:p>
      <w:pPr>
        <w:spacing w:after="0" w:line="138"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color w:val="auto"/>
        </w:rPr>
        <w:t>The median employee’s annual total compensation for 2021 was determined using the same methodology we used for determining the annual total compensation for the Named Executive Officers as set forth in the 2021 Summary Compensation Table.</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66"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The following table sets forth a summary of the compensation paid to each person who served as a director of PAGP GP in 2021 (other than Messrs. Chiang and Pefanis who were not compensated as directors and whose compensation is set forth in the Summary Compensation Table above):</w:t>
      </w:r>
    </w:p>
    <w:p>
      <w:pPr>
        <w:spacing w:after="0" w:line="176"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3540" w:type="dxa"/>
            <w:vAlign w:val="bottom"/>
            <w:tcBorders>
              <w:left w:val="single" w:sz="8" w:color="434F69"/>
              <w:right w:val="single" w:sz="8" w:color="434F69"/>
            </w:tcBorders>
            <w:shd w:val="clear" w:color="auto" w:fill="434F69"/>
          </w:tcPr>
          <w:p>
            <w:pPr>
              <w:spacing w:after="0"/>
              <w:rPr>
                <w:sz w:val="21"/>
                <w:szCs w:val="21"/>
                <w:color w:val="auto"/>
              </w:rPr>
            </w:pPr>
          </w:p>
        </w:tc>
        <w:tc>
          <w:tcPr>
            <w:tcW w:w="1020" w:type="dxa"/>
            <w:vAlign w:val="bottom"/>
            <w:tcBorders>
              <w:right w:val="single" w:sz="8" w:color="434F69"/>
            </w:tcBorders>
            <w:shd w:val="clear" w:color="auto" w:fill="434F69"/>
          </w:tcPr>
          <w:p>
            <w:pPr>
              <w:jc w:val="center"/>
              <w:ind w:right="76"/>
              <w:spacing w:after="0"/>
              <w:rPr>
                <w:sz w:val="20"/>
                <w:szCs w:val="20"/>
                <w:color w:val="auto"/>
              </w:rPr>
            </w:pPr>
            <w:r>
              <w:rPr>
                <w:rFonts w:ascii="Arial" w:cs="Arial" w:eastAsia="Arial" w:hAnsi="Arial"/>
                <w:sz w:val="14"/>
                <w:szCs w:val="14"/>
                <w:b w:val="1"/>
                <w:bCs w:val="1"/>
                <w:color w:val="FFFFFF"/>
              </w:rPr>
              <w:t>Fees</w:t>
            </w:r>
          </w:p>
        </w:tc>
        <w:tc>
          <w:tcPr>
            <w:tcW w:w="1100" w:type="dxa"/>
            <w:vAlign w:val="bottom"/>
            <w:tcBorders>
              <w:right w:val="single" w:sz="8" w:color="434F69"/>
            </w:tcBorders>
            <w:shd w:val="clear" w:color="auto" w:fill="434F69"/>
          </w:tcPr>
          <w:p>
            <w:pPr>
              <w:spacing w:after="0"/>
              <w:rPr>
                <w:sz w:val="21"/>
                <w:szCs w:val="21"/>
                <w:color w:val="auto"/>
              </w:rPr>
            </w:pPr>
          </w:p>
        </w:tc>
        <w:tc>
          <w:tcPr>
            <w:tcW w:w="1440" w:type="dxa"/>
            <w:vAlign w:val="bottom"/>
            <w:tcBorders>
              <w:right w:val="single" w:sz="8" w:color="434F69"/>
            </w:tcBorders>
            <w:shd w:val="clear" w:color="auto" w:fill="434F69"/>
          </w:tcPr>
          <w:p>
            <w:pPr>
              <w:spacing w:after="0"/>
              <w:rPr>
                <w:sz w:val="21"/>
                <w:szCs w:val="21"/>
                <w:color w:val="auto"/>
              </w:rPr>
            </w:pPr>
          </w:p>
        </w:tc>
        <w:tc>
          <w:tcPr>
            <w:tcW w:w="1120" w:type="dxa"/>
            <w:vAlign w:val="bottom"/>
            <w:tcBorders>
              <w:right w:val="single" w:sz="8" w:color="434F69"/>
            </w:tcBorders>
            <w:shd w:val="clear" w:color="auto" w:fill="434F69"/>
          </w:tcPr>
          <w:p>
            <w:pPr>
              <w:spacing w:after="0"/>
              <w:rPr>
                <w:sz w:val="21"/>
                <w:szCs w:val="21"/>
                <w:color w:val="auto"/>
              </w:rPr>
            </w:pPr>
          </w:p>
        </w:tc>
      </w:tr>
      <w:tr>
        <w:trPr>
          <w:trHeight w:val="162"/>
        </w:trPr>
        <w:tc>
          <w:tcPr>
            <w:tcW w:w="3540" w:type="dxa"/>
            <w:vAlign w:val="bottom"/>
            <w:tcBorders>
              <w:left w:val="single" w:sz="8" w:color="434F69"/>
              <w:right w:val="single" w:sz="8" w:color="434F69"/>
            </w:tcBorders>
            <w:shd w:val="clear" w:color="auto" w:fill="434F69"/>
          </w:tcPr>
          <w:p>
            <w:pPr>
              <w:spacing w:after="0"/>
              <w:rPr>
                <w:sz w:val="14"/>
                <w:szCs w:val="14"/>
                <w:color w:val="auto"/>
              </w:rPr>
            </w:pPr>
          </w:p>
        </w:tc>
        <w:tc>
          <w:tcPr>
            <w:tcW w:w="1020" w:type="dxa"/>
            <w:vAlign w:val="bottom"/>
            <w:tcBorders>
              <w:right w:val="single" w:sz="8" w:color="434F69"/>
            </w:tcBorders>
            <w:shd w:val="clear" w:color="auto" w:fill="434F69"/>
          </w:tcPr>
          <w:p>
            <w:pPr>
              <w:jc w:val="center"/>
              <w:ind w:right="76"/>
              <w:spacing w:after="0"/>
              <w:rPr>
                <w:sz w:val="20"/>
                <w:szCs w:val="20"/>
                <w:color w:val="auto"/>
              </w:rPr>
            </w:pPr>
            <w:r>
              <w:rPr>
                <w:rFonts w:ascii="Arial" w:cs="Arial" w:eastAsia="Arial" w:hAnsi="Arial"/>
                <w:sz w:val="14"/>
                <w:szCs w:val="14"/>
                <w:b w:val="1"/>
                <w:bCs w:val="1"/>
                <w:color w:val="FFFFFF"/>
              </w:rPr>
              <w:t>Earned or</w:t>
            </w:r>
          </w:p>
        </w:tc>
        <w:tc>
          <w:tcPr>
            <w:tcW w:w="1100" w:type="dxa"/>
            <w:vAlign w:val="bottom"/>
            <w:tcBorders>
              <w:right w:val="single" w:sz="8" w:color="434F69"/>
            </w:tcBorders>
            <w:shd w:val="clear" w:color="auto" w:fill="434F69"/>
          </w:tcPr>
          <w:p>
            <w:pPr>
              <w:spacing w:after="0"/>
              <w:rPr>
                <w:sz w:val="14"/>
                <w:szCs w:val="14"/>
                <w:color w:val="auto"/>
              </w:rPr>
            </w:pPr>
          </w:p>
        </w:tc>
        <w:tc>
          <w:tcPr>
            <w:tcW w:w="1440" w:type="dxa"/>
            <w:vAlign w:val="bottom"/>
            <w:tcBorders>
              <w:right w:val="single" w:sz="8" w:color="434F69"/>
            </w:tcBorders>
            <w:shd w:val="clear" w:color="auto" w:fill="434F69"/>
          </w:tcPr>
          <w:p>
            <w:pPr>
              <w:spacing w:after="0"/>
              <w:rPr>
                <w:sz w:val="14"/>
                <w:szCs w:val="14"/>
                <w:color w:val="auto"/>
              </w:rPr>
            </w:pPr>
          </w:p>
        </w:tc>
        <w:tc>
          <w:tcPr>
            <w:tcW w:w="1120" w:type="dxa"/>
            <w:vAlign w:val="bottom"/>
            <w:tcBorders>
              <w:right w:val="single" w:sz="8" w:color="434F69"/>
            </w:tcBorders>
            <w:shd w:val="clear" w:color="auto" w:fill="434F69"/>
          </w:tcPr>
          <w:p>
            <w:pPr>
              <w:spacing w:after="0"/>
              <w:rPr>
                <w:sz w:val="14"/>
                <w:szCs w:val="14"/>
                <w:color w:val="auto"/>
              </w:rPr>
            </w:pPr>
          </w:p>
        </w:tc>
      </w:tr>
      <w:tr>
        <w:trPr>
          <w:trHeight w:val="162"/>
        </w:trPr>
        <w:tc>
          <w:tcPr>
            <w:tcW w:w="3540" w:type="dxa"/>
            <w:vAlign w:val="bottom"/>
            <w:tcBorders>
              <w:left w:val="single" w:sz="8" w:color="434F69"/>
              <w:right w:val="single" w:sz="8" w:color="434F69"/>
            </w:tcBorders>
            <w:shd w:val="clear" w:color="auto" w:fill="434F69"/>
          </w:tcPr>
          <w:p>
            <w:pPr>
              <w:spacing w:after="0"/>
              <w:rPr>
                <w:sz w:val="14"/>
                <w:szCs w:val="14"/>
                <w:color w:val="auto"/>
              </w:rPr>
            </w:pPr>
          </w:p>
        </w:tc>
        <w:tc>
          <w:tcPr>
            <w:tcW w:w="1020" w:type="dxa"/>
            <w:vAlign w:val="bottom"/>
            <w:tcBorders>
              <w:right w:val="single" w:sz="8" w:color="434F69"/>
            </w:tcBorders>
            <w:shd w:val="clear" w:color="auto" w:fill="434F69"/>
          </w:tcPr>
          <w:p>
            <w:pPr>
              <w:jc w:val="center"/>
              <w:ind w:right="76"/>
              <w:spacing w:after="0"/>
              <w:rPr>
                <w:sz w:val="20"/>
                <w:szCs w:val="20"/>
                <w:color w:val="auto"/>
              </w:rPr>
            </w:pPr>
            <w:r>
              <w:rPr>
                <w:rFonts w:ascii="Arial" w:cs="Arial" w:eastAsia="Arial" w:hAnsi="Arial"/>
                <w:sz w:val="14"/>
                <w:szCs w:val="14"/>
                <w:b w:val="1"/>
                <w:bCs w:val="1"/>
                <w:color w:val="FFFFFF"/>
              </w:rPr>
              <w:t>Paid in</w:t>
            </w:r>
          </w:p>
        </w:tc>
        <w:tc>
          <w:tcPr>
            <w:tcW w:w="1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Stock</w:t>
            </w:r>
          </w:p>
        </w:tc>
        <w:tc>
          <w:tcPr>
            <w:tcW w:w="14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All Other</w:t>
            </w:r>
          </w:p>
        </w:tc>
        <w:tc>
          <w:tcPr>
            <w:tcW w:w="1120" w:type="dxa"/>
            <w:vAlign w:val="bottom"/>
            <w:tcBorders>
              <w:right w:val="single" w:sz="8" w:color="434F69"/>
            </w:tcBorders>
            <w:shd w:val="clear" w:color="auto" w:fill="434F69"/>
          </w:tcPr>
          <w:p>
            <w:pPr>
              <w:spacing w:after="0"/>
              <w:rPr>
                <w:sz w:val="14"/>
                <w:szCs w:val="14"/>
                <w:color w:val="auto"/>
              </w:rPr>
            </w:pPr>
          </w:p>
        </w:tc>
      </w:tr>
      <w:tr>
        <w:trPr>
          <w:trHeight w:val="151"/>
        </w:trPr>
        <w:tc>
          <w:tcPr>
            <w:tcW w:w="3540" w:type="dxa"/>
            <w:vAlign w:val="bottom"/>
            <w:tcBorders>
              <w:left w:val="single" w:sz="8" w:color="434F69"/>
              <w:right w:val="single" w:sz="8" w:color="434F69"/>
            </w:tcBorders>
            <w:shd w:val="clear" w:color="auto" w:fill="434F69"/>
          </w:tcPr>
          <w:p>
            <w:pPr>
              <w:spacing w:after="0"/>
              <w:rPr>
                <w:sz w:val="13"/>
                <w:szCs w:val="13"/>
                <w:color w:val="auto"/>
              </w:rPr>
            </w:pPr>
          </w:p>
        </w:tc>
        <w:tc>
          <w:tcPr>
            <w:tcW w:w="1020" w:type="dxa"/>
            <w:vAlign w:val="bottom"/>
            <w:tcBorders>
              <w:right w:val="single" w:sz="8" w:color="434F69"/>
            </w:tcBorders>
            <w:shd w:val="clear" w:color="auto" w:fill="434F69"/>
          </w:tcPr>
          <w:p>
            <w:pPr>
              <w:jc w:val="center"/>
              <w:ind w:right="76"/>
              <w:spacing w:after="0" w:line="151" w:lineRule="exact"/>
              <w:rPr>
                <w:sz w:val="20"/>
                <w:szCs w:val="20"/>
                <w:color w:val="auto"/>
              </w:rPr>
            </w:pPr>
            <w:r>
              <w:rPr>
                <w:rFonts w:ascii="Arial" w:cs="Arial" w:eastAsia="Arial" w:hAnsi="Arial"/>
                <w:sz w:val="14"/>
                <w:szCs w:val="14"/>
                <w:b w:val="1"/>
                <w:bCs w:val="1"/>
                <w:color w:val="FFFFFF"/>
                <w:w w:val="99"/>
              </w:rPr>
              <w:t>Cash</w:t>
            </w:r>
          </w:p>
        </w:tc>
        <w:tc>
          <w:tcPr>
            <w:tcW w:w="110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Awards</w:t>
            </w:r>
          </w:p>
        </w:tc>
        <w:tc>
          <w:tcPr>
            <w:tcW w:w="144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Compensation</w:t>
            </w:r>
          </w:p>
        </w:tc>
        <w:tc>
          <w:tcPr>
            <w:tcW w:w="1120" w:type="dxa"/>
            <w:vAlign w:val="bottom"/>
            <w:tcBorders>
              <w:right w:val="single" w:sz="8" w:color="434F69"/>
            </w:tcBorders>
            <w:shd w:val="clear" w:color="auto" w:fill="434F69"/>
          </w:tcPr>
          <w:p>
            <w:pPr>
              <w:ind w:left="340"/>
              <w:spacing w:after="0" w:line="151" w:lineRule="exact"/>
              <w:rPr>
                <w:sz w:val="20"/>
                <w:szCs w:val="20"/>
                <w:color w:val="auto"/>
              </w:rPr>
            </w:pPr>
            <w:r>
              <w:rPr>
                <w:rFonts w:ascii="Arial" w:cs="Arial" w:eastAsia="Arial" w:hAnsi="Arial"/>
                <w:sz w:val="14"/>
                <w:szCs w:val="14"/>
                <w:b w:val="1"/>
                <w:bCs w:val="1"/>
                <w:color w:val="FFFFFF"/>
              </w:rPr>
              <w:t>Total</w:t>
            </w:r>
          </w:p>
        </w:tc>
      </w:tr>
      <w:tr>
        <w:trPr>
          <w:trHeight w:val="226"/>
        </w:trPr>
        <w:tc>
          <w:tcPr>
            <w:tcW w:w="354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020" w:type="dxa"/>
            <w:vAlign w:val="bottom"/>
            <w:tcBorders>
              <w:right w:val="single" w:sz="8" w:color="434F69"/>
            </w:tcBorders>
            <w:shd w:val="clear" w:color="auto" w:fill="434F69"/>
          </w:tcPr>
          <w:p>
            <w:pPr>
              <w:jc w:val="center"/>
              <w:ind w:right="36"/>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(1)</w:t>
            </w:r>
          </w:p>
        </w:tc>
        <w:tc>
          <w:tcPr>
            <w:tcW w:w="14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t>
            </w:r>
          </w:p>
        </w:tc>
      </w:tr>
      <w:tr>
        <w:trPr>
          <w:trHeight w:val="283"/>
        </w:trPr>
        <w:tc>
          <w:tcPr>
            <w:tcW w:w="3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Greg L. Armstrong</w:t>
            </w:r>
            <w:r>
              <w:rPr>
                <w:rFonts w:ascii="Arial" w:cs="Arial" w:eastAsia="Arial" w:hAnsi="Arial"/>
                <w:sz w:val="23"/>
                <w:szCs w:val="23"/>
                <w:color w:val="auto"/>
                <w:vertAlign w:val="superscript"/>
              </w:rPr>
              <w:t>(2)</w:t>
            </w:r>
          </w:p>
        </w:tc>
        <w:tc>
          <w:tcPr>
            <w:tcW w:w="1020" w:type="dxa"/>
            <w:vAlign w:val="bottom"/>
            <w:tcBorders>
              <w:bottom w:val="single" w:sz="8" w:color="434F69"/>
              <w:right w:val="single" w:sz="8" w:color="434F69"/>
            </w:tcBorders>
            <w:shd w:val="clear" w:color="auto" w:fill="D9DCE1"/>
          </w:tcPr>
          <w:p>
            <w:pPr>
              <w:jc w:val="right"/>
              <w:ind w:right="156"/>
              <w:spacing w:after="0"/>
              <w:rPr>
                <w:sz w:val="20"/>
                <w:szCs w:val="20"/>
                <w:color w:val="auto"/>
              </w:rPr>
            </w:pPr>
            <w:r>
              <w:rPr>
                <w:rFonts w:ascii="Arial" w:cs="Arial" w:eastAsia="Arial" w:hAnsi="Arial"/>
                <w:sz w:val="18"/>
                <w:szCs w:val="18"/>
                <w:color w:val="auto"/>
              </w:rPr>
              <w:t>250,000</w:t>
            </w:r>
          </w:p>
        </w:tc>
        <w:tc>
          <w:tcPr>
            <w:tcW w:w="1100" w:type="dxa"/>
            <w:vAlign w:val="bottom"/>
            <w:tcBorders>
              <w:bottom w:val="single" w:sz="8" w:color="434F69"/>
              <w:right w:val="single" w:sz="8" w:color="434F69"/>
            </w:tcBorders>
            <w:shd w:val="clear" w:color="auto" w:fill="D9DCE1"/>
          </w:tcPr>
          <w:p>
            <w:pPr>
              <w:jc w:val="right"/>
              <w:ind w:right="155"/>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434F69"/>
              <w:right w:val="single" w:sz="8" w:color="434F69"/>
            </w:tcBorders>
            <w:shd w:val="clear" w:color="auto" w:fill="D9DCE1"/>
          </w:tcPr>
          <w:p>
            <w:pPr>
              <w:jc w:val="right"/>
              <w:ind w:right="255"/>
              <w:spacing w:after="0"/>
              <w:rPr>
                <w:sz w:val="20"/>
                <w:szCs w:val="20"/>
                <w:color w:val="auto"/>
              </w:rPr>
            </w:pPr>
            <w:r>
              <w:rPr>
                <w:rFonts w:ascii="Arial" w:cs="Arial" w:eastAsia="Arial" w:hAnsi="Arial"/>
                <w:sz w:val="18"/>
                <w:szCs w:val="18"/>
                <w:color w:val="auto"/>
              </w:rPr>
              <w:t>15,960</w:t>
            </w:r>
          </w:p>
        </w:tc>
        <w:tc>
          <w:tcPr>
            <w:tcW w:w="112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8"/>
              </w:rPr>
              <w:t>265,960</w:t>
            </w:r>
          </w:p>
        </w:tc>
      </w:tr>
      <w:tr>
        <w:trPr>
          <w:trHeight w:val="244"/>
        </w:trPr>
        <w:tc>
          <w:tcPr>
            <w:tcW w:w="3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Victor Burk</w:t>
            </w:r>
          </w:p>
        </w:tc>
        <w:tc>
          <w:tcPr>
            <w:tcW w:w="1020" w:type="dxa"/>
            <w:vAlign w:val="bottom"/>
            <w:tcBorders>
              <w:bottom w:val="single" w:sz="8" w:color="434F69"/>
              <w:right w:val="single" w:sz="8" w:color="434F69"/>
            </w:tcBorders>
          </w:tcPr>
          <w:p>
            <w:pPr>
              <w:jc w:val="right"/>
              <w:ind w:right="156"/>
              <w:spacing w:after="0"/>
              <w:rPr>
                <w:sz w:val="20"/>
                <w:szCs w:val="20"/>
                <w:color w:val="auto"/>
              </w:rPr>
            </w:pPr>
            <w:r>
              <w:rPr>
                <w:rFonts w:ascii="Arial" w:cs="Arial" w:eastAsia="Arial" w:hAnsi="Arial"/>
                <w:sz w:val="18"/>
                <w:szCs w:val="18"/>
                <w:color w:val="auto"/>
              </w:rPr>
              <w:t>105,000</w:t>
            </w:r>
          </w:p>
        </w:tc>
        <w:tc>
          <w:tcPr>
            <w:tcW w:w="110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219,002</w:t>
            </w:r>
          </w:p>
        </w:tc>
      </w:tr>
      <w:tr>
        <w:trPr>
          <w:trHeight w:val="283"/>
        </w:trPr>
        <w:tc>
          <w:tcPr>
            <w:tcW w:w="3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Kevin S. McCarthy</w:t>
            </w:r>
            <w:r>
              <w:rPr>
                <w:rFonts w:ascii="Arial" w:cs="Arial" w:eastAsia="Arial" w:hAnsi="Arial"/>
                <w:sz w:val="23"/>
                <w:szCs w:val="23"/>
                <w:color w:val="auto"/>
                <w:vertAlign w:val="superscript"/>
              </w:rPr>
              <w:t>(3)</w:t>
            </w:r>
          </w:p>
        </w:tc>
        <w:tc>
          <w:tcPr>
            <w:tcW w:w="1020" w:type="dxa"/>
            <w:vAlign w:val="bottom"/>
            <w:tcBorders>
              <w:bottom w:val="single" w:sz="8" w:color="434F69"/>
              <w:right w:val="single" w:sz="8" w:color="434F69"/>
            </w:tcBorders>
            <w:shd w:val="clear" w:color="auto" w:fill="D9DCE1"/>
          </w:tcPr>
          <w:p>
            <w:pPr>
              <w:jc w:val="right"/>
              <w:ind w:right="156"/>
              <w:spacing w:after="0"/>
              <w:rPr>
                <w:sz w:val="20"/>
                <w:szCs w:val="20"/>
                <w:color w:val="auto"/>
              </w:rPr>
            </w:pPr>
            <w:r>
              <w:rPr>
                <w:rFonts w:ascii="Arial" w:cs="Arial" w:eastAsia="Arial" w:hAnsi="Arial"/>
                <w:sz w:val="18"/>
                <w:szCs w:val="18"/>
                <w:color w:val="auto"/>
              </w:rPr>
              <w:t>76,912</w:t>
            </w:r>
          </w:p>
        </w:tc>
        <w:tc>
          <w:tcPr>
            <w:tcW w:w="1100" w:type="dxa"/>
            <w:vAlign w:val="bottom"/>
            <w:tcBorders>
              <w:bottom w:val="single" w:sz="8" w:color="434F69"/>
              <w:right w:val="single" w:sz="8" w:color="434F69"/>
            </w:tcBorders>
            <w:shd w:val="clear" w:color="auto" w:fill="D9DCE1"/>
          </w:tcPr>
          <w:p>
            <w:pPr>
              <w:jc w:val="right"/>
              <w:ind w:right="155"/>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shd w:val="clear" w:color="auto" w:fill="D9DCE1"/>
          </w:tcPr>
          <w:p>
            <w:pPr>
              <w:jc w:val="right"/>
              <w:ind w:right="25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8"/>
              </w:rPr>
              <w:t>190,914</w:t>
            </w:r>
          </w:p>
        </w:tc>
      </w:tr>
      <w:tr>
        <w:trPr>
          <w:trHeight w:val="244"/>
        </w:trPr>
        <w:tc>
          <w:tcPr>
            <w:tcW w:w="3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Gary R. Petersen</w:t>
            </w:r>
          </w:p>
        </w:tc>
        <w:tc>
          <w:tcPr>
            <w:tcW w:w="1020" w:type="dxa"/>
            <w:vAlign w:val="bottom"/>
            <w:tcBorders>
              <w:bottom w:val="single" w:sz="8" w:color="434F69"/>
              <w:right w:val="single" w:sz="8" w:color="434F69"/>
            </w:tcBorders>
          </w:tcPr>
          <w:p>
            <w:pPr>
              <w:jc w:val="right"/>
              <w:ind w:right="156"/>
              <w:spacing w:after="0"/>
              <w:rPr>
                <w:sz w:val="20"/>
                <w:szCs w:val="20"/>
                <w:color w:val="auto"/>
              </w:rPr>
            </w:pPr>
            <w:r>
              <w:rPr>
                <w:rFonts w:ascii="Arial" w:cs="Arial" w:eastAsia="Arial" w:hAnsi="Arial"/>
                <w:sz w:val="18"/>
                <w:szCs w:val="18"/>
                <w:color w:val="auto"/>
              </w:rPr>
              <w:t>75,000</w:t>
            </w:r>
          </w:p>
        </w:tc>
        <w:tc>
          <w:tcPr>
            <w:tcW w:w="110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189,002</w:t>
            </w:r>
          </w:p>
        </w:tc>
      </w:tr>
      <w:tr>
        <w:trPr>
          <w:trHeight w:val="250"/>
        </w:trPr>
        <w:tc>
          <w:tcPr>
            <w:tcW w:w="3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Alexandra D. Pruner</w:t>
            </w:r>
          </w:p>
        </w:tc>
        <w:tc>
          <w:tcPr>
            <w:tcW w:w="1020" w:type="dxa"/>
            <w:vAlign w:val="bottom"/>
            <w:tcBorders>
              <w:bottom w:val="single" w:sz="8" w:color="434F69"/>
              <w:right w:val="single" w:sz="8" w:color="434F69"/>
            </w:tcBorders>
            <w:shd w:val="clear" w:color="auto" w:fill="D9DCE1"/>
          </w:tcPr>
          <w:p>
            <w:pPr>
              <w:jc w:val="right"/>
              <w:ind w:right="156"/>
              <w:spacing w:after="0"/>
              <w:rPr>
                <w:sz w:val="20"/>
                <w:szCs w:val="20"/>
                <w:color w:val="auto"/>
              </w:rPr>
            </w:pPr>
            <w:r>
              <w:rPr>
                <w:rFonts w:ascii="Arial" w:cs="Arial" w:eastAsia="Arial" w:hAnsi="Arial"/>
                <w:sz w:val="18"/>
                <w:szCs w:val="18"/>
                <w:color w:val="auto"/>
              </w:rPr>
              <w:t>90,000</w:t>
            </w:r>
          </w:p>
        </w:tc>
        <w:tc>
          <w:tcPr>
            <w:tcW w:w="1100" w:type="dxa"/>
            <w:vAlign w:val="bottom"/>
            <w:tcBorders>
              <w:bottom w:val="single" w:sz="8" w:color="434F69"/>
              <w:right w:val="single" w:sz="8" w:color="434F69"/>
            </w:tcBorders>
            <w:shd w:val="clear" w:color="auto" w:fill="D9DCE1"/>
          </w:tcPr>
          <w:p>
            <w:pPr>
              <w:jc w:val="right"/>
              <w:ind w:right="155"/>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shd w:val="clear" w:color="auto" w:fill="D9DCE1"/>
          </w:tcPr>
          <w:p>
            <w:pPr>
              <w:jc w:val="right"/>
              <w:ind w:right="25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8"/>
              </w:rPr>
              <w:t>204,002</w:t>
            </w:r>
          </w:p>
        </w:tc>
      </w:tr>
      <w:tr>
        <w:trPr>
          <w:trHeight w:val="250"/>
        </w:trPr>
        <w:tc>
          <w:tcPr>
            <w:tcW w:w="3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John T. Raymond</w:t>
            </w:r>
          </w:p>
        </w:tc>
        <w:tc>
          <w:tcPr>
            <w:tcW w:w="1020" w:type="dxa"/>
            <w:vAlign w:val="bottom"/>
            <w:tcBorders>
              <w:bottom w:val="single" w:sz="8" w:color="434F69"/>
              <w:right w:val="single" w:sz="8" w:color="434F69"/>
            </w:tcBorders>
          </w:tcPr>
          <w:p>
            <w:pPr>
              <w:jc w:val="right"/>
              <w:ind w:right="156"/>
              <w:spacing w:after="0"/>
              <w:rPr>
                <w:sz w:val="20"/>
                <w:szCs w:val="20"/>
                <w:color w:val="auto"/>
              </w:rPr>
            </w:pPr>
            <w:r>
              <w:rPr>
                <w:rFonts w:ascii="Arial" w:cs="Arial" w:eastAsia="Arial" w:hAnsi="Arial"/>
                <w:sz w:val="18"/>
                <w:szCs w:val="18"/>
                <w:color w:val="auto"/>
              </w:rPr>
              <w:t>85,000</w:t>
            </w:r>
          </w:p>
        </w:tc>
        <w:tc>
          <w:tcPr>
            <w:tcW w:w="110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199,002</w:t>
            </w:r>
          </w:p>
        </w:tc>
      </w:tr>
      <w:tr>
        <w:trPr>
          <w:trHeight w:val="250"/>
        </w:trPr>
        <w:tc>
          <w:tcPr>
            <w:tcW w:w="3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Bobby S. Shackouls</w:t>
            </w:r>
          </w:p>
        </w:tc>
        <w:tc>
          <w:tcPr>
            <w:tcW w:w="1020" w:type="dxa"/>
            <w:vAlign w:val="bottom"/>
            <w:tcBorders>
              <w:bottom w:val="single" w:sz="8" w:color="434F69"/>
              <w:right w:val="single" w:sz="8" w:color="434F69"/>
            </w:tcBorders>
            <w:shd w:val="clear" w:color="auto" w:fill="D9DCE1"/>
          </w:tcPr>
          <w:p>
            <w:pPr>
              <w:jc w:val="right"/>
              <w:ind w:right="156"/>
              <w:spacing w:after="0"/>
              <w:rPr>
                <w:sz w:val="20"/>
                <w:szCs w:val="20"/>
                <w:color w:val="auto"/>
              </w:rPr>
            </w:pPr>
            <w:r>
              <w:rPr>
                <w:rFonts w:ascii="Arial" w:cs="Arial" w:eastAsia="Arial" w:hAnsi="Arial"/>
                <w:sz w:val="18"/>
                <w:szCs w:val="18"/>
                <w:color w:val="auto"/>
              </w:rPr>
              <w:t>120,000</w:t>
            </w:r>
          </w:p>
        </w:tc>
        <w:tc>
          <w:tcPr>
            <w:tcW w:w="1100" w:type="dxa"/>
            <w:vAlign w:val="bottom"/>
            <w:tcBorders>
              <w:bottom w:val="single" w:sz="8" w:color="434F69"/>
              <w:right w:val="single" w:sz="8" w:color="434F69"/>
            </w:tcBorders>
            <w:shd w:val="clear" w:color="auto" w:fill="D9DCE1"/>
          </w:tcPr>
          <w:p>
            <w:pPr>
              <w:jc w:val="right"/>
              <w:ind w:right="155"/>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shd w:val="clear" w:color="auto" w:fill="D9DCE1"/>
          </w:tcPr>
          <w:p>
            <w:pPr>
              <w:jc w:val="right"/>
              <w:ind w:right="25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8"/>
              </w:rPr>
              <w:t>234,002</w:t>
            </w:r>
          </w:p>
        </w:tc>
      </w:tr>
      <w:tr>
        <w:trPr>
          <w:trHeight w:val="250"/>
        </w:trPr>
        <w:tc>
          <w:tcPr>
            <w:tcW w:w="3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Christopher M. Temple</w:t>
            </w:r>
          </w:p>
        </w:tc>
        <w:tc>
          <w:tcPr>
            <w:tcW w:w="1020" w:type="dxa"/>
            <w:vAlign w:val="bottom"/>
            <w:tcBorders>
              <w:bottom w:val="single" w:sz="8" w:color="434F69"/>
              <w:right w:val="single" w:sz="8" w:color="434F69"/>
            </w:tcBorders>
          </w:tcPr>
          <w:p>
            <w:pPr>
              <w:jc w:val="right"/>
              <w:ind w:right="156"/>
              <w:spacing w:after="0"/>
              <w:rPr>
                <w:sz w:val="20"/>
                <w:szCs w:val="20"/>
                <w:color w:val="auto"/>
              </w:rPr>
            </w:pPr>
            <w:r>
              <w:rPr>
                <w:rFonts w:ascii="Arial" w:cs="Arial" w:eastAsia="Arial" w:hAnsi="Arial"/>
                <w:sz w:val="18"/>
                <w:szCs w:val="18"/>
                <w:color w:val="auto"/>
              </w:rPr>
              <w:t>75,000</w:t>
            </w:r>
          </w:p>
        </w:tc>
        <w:tc>
          <w:tcPr>
            <w:tcW w:w="1100" w:type="dxa"/>
            <w:vAlign w:val="bottom"/>
            <w:tcBorders>
              <w:bottom w:val="single" w:sz="8" w:color="434F69"/>
              <w:right w:val="single" w:sz="8" w:color="434F69"/>
            </w:tcBorders>
          </w:tcPr>
          <w:p>
            <w:pPr>
              <w:jc w:val="right"/>
              <w:ind w:right="155"/>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189,002</w:t>
            </w:r>
          </w:p>
        </w:tc>
      </w:tr>
      <w:tr>
        <w:trPr>
          <w:trHeight w:val="250"/>
        </w:trPr>
        <w:tc>
          <w:tcPr>
            <w:tcW w:w="3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Lawrence M. Ziemba</w:t>
            </w:r>
          </w:p>
        </w:tc>
        <w:tc>
          <w:tcPr>
            <w:tcW w:w="1020" w:type="dxa"/>
            <w:vAlign w:val="bottom"/>
            <w:tcBorders>
              <w:bottom w:val="single" w:sz="8" w:color="434F69"/>
              <w:right w:val="single" w:sz="8" w:color="434F69"/>
            </w:tcBorders>
            <w:shd w:val="clear" w:color="auto" w:fill="D9DCE1"/>
          </w:tcPr>
          <w:p>
            <w:pPr>
              <w:jc w:val="right"/>
              <w:ind w:right="156"/>
              <w:spacing w:after="0"/>
              <w:rPr>
                <w:sz w:val="20"/>
                <w:szCs w:val="20"/>
                <w:color w:val="auto"/>
              </w:rPr>
            </w:pPr>
            <w:r>
              <w:rPr>
                <w:rFonts w:ascii="Arial" w:cs="Arial" w:eastAsia="Arial" w:hAnsi="Arial"/>
                <w:sz w:val="18"/>
                <w:szCs w:val="18"/>
                <w:color w:val="auto"/>
              </w:rPr>
              <w:t>97,500</w:t>
            </w:r>
          </w:p>
        </w:tc>
        <w:tc>
          <w:tcPr>
            <w:tcW w:w="1100" w:type="dxa"/>
            <w:vAlign w:val="bottom"/>
            <w:tcBorders>
              <w:bottom w:val="single" w:sz="8" w:color="434F69"/>
              <w:right w:val="single" w:sz="8" w:color="434F69"/>
            </w:tcBorders>
            <w:shd w:val="clear" w:color="auto" w:fill="D9DCE1"/>
          </w:tcPr>
          <w:p>
            <w:pPr>
              <w:jc w:val="right"/>
              <w:ind w:right="155"/>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shd w:val="clear" w:color="auto" w:fill="D9DCE1"/>
          </w:tcPr>
          <w:p>
            <w:pPr>
              <w:jc w:val="right"/>
              <w:ind w:right="25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8"/>
              </w:rPr>
              <w:t>211,502</w:t>
            </w:r>
          </w:p>
        </w:tc>
      </w:tr>
    </w:tbl>
    <w:p>
      <w:pPr>
        <w:spacing w:after="0" w:line="175" w:lineRule="exact"/>
        <w:rPr>
          <w:sz w:val="20"/>
          <w:szCs w:val="20"/>
          <w:color w:val="auto"/>
        </w:rPr>
      </w:pPr>
    </w:p>
    <w:p>
      <w:pPr>
        <w:ind w:left="1620" w:right="439" w:hanging="360"/>
        <w:spacing w:after="0" w:line="268" w:lineRule="auto"/>
        <w:tabs>
          <w:tab w:leader="none" w:pos="1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dollar value of LTIPs granted during 2021 is based on the grant date fair value computed in accordance with FASB ASC Topic 718. See Note 18 to our Consolidated Financial Statements included in our 2021 Annual Report for additional discussion regarding the calculation of grant date fair values. In August 2021, each of Messrs. Burk, McCarthy, Petersen, Raymond, Shackouls, Temple, Ziemba and Ms. Pruner received an annual LTIP award for 11,900 PAGP phantom Class A shares. See “— Long-Term Equity Awards” below for further information regarding LTIP awards granted to our non-employee directors. The aggregate number of outstanding LTIP awards held by our non-employee directors as of December 31, 2021 were as follows:</w:t>
      </w:r>
    </w:p>
    <w:p>
      <w:pPr>
        <w:spacing w:after="0" w:line="158" w:lineRule="exact"/>
        <w:rPr>
          <w:sz w:val="20"/>
          <w:szCs w:val="20"/>
          <w:color w:val="auto"/>
        </w:rPr>
      </w:pPr>
    </w:p>
    <w:tbl>
      <w:tblPr>
        <w:tblLayout w:type="fixed"/>
        <w:tblInd w:w="1630" w:type="dxa"/>
        <w:tblCellMar>
          <w:top w:w="0" w:type="dxa"/>
          <w:left w:w="0" w:type="dxa"/>
          <w:bottom w:w="0" w:type="dxa"/>
          <w:right w:w="0" w:type="dxa"/>
        </w:tblCellMar>
      </w:tblPr>
      <w:tr>
        <w:trPr>
          <w:trHeight w:val="243"/>
        </w:trPr>
        <w:tc>
          <w:tcPr>
            <w:tcW w:w="5360" w:type="dxa"/>
            <w:vAlign w:val="bottom"/>
            <w:tcBorders>
              <w:left w:val="single" w:sz="8" w:color="434F69"/>
              <w:right w:val="single" w:sz="8" w:color="434F69"/>
            </w:tcBorders>
            <w:shd w:val="clear" w:color="auto" w:fill="434F69"/>
          </w:tcPr>
          <w:p>
            <w:pPr>
              <w:spacing w:after="0"/>
              <w:rPr>
                <w:sz w:val="21"/>
                <w:szCs w:val="21"/>
                <w:color w:val="auto"/>
              </w:rPr>
            </w:pPr>
          </w:p>
        </w:tc>
        <w:tc>
          <w:tcPr>
            <w:tcW w:w="2500" w:type="dxa"/>
            <w:vAlign w:val="bottom"/>
            <w:tcBorders>
              <w:right w:val="single" w:sz="8" w:color="434F69"/>
            </w:tcBorders>
            <w:gridSpan w:val="2"/>
            <w:shd w:val="clear" w:color="auto" w:fill="434F69"/>
          </w:tcPr>
          <w:p>
            <w:pPr>
              <w:jc w:val="center"/>
              <w:ind w:right="133"/>
              <w:spacing w:after="0"/>
              <w:rPr>
                <w:sz w:val="20"/>
                <w:szCs w:val="20"/>
                <w:color w:val="auto"/>
              </w:rPr>
            </w:pPr>
            <w:r>
              <w:rPr>
                <w:rFonts w:ascii="Arial" w:cs="Arial" w:eastAsia="Arial" w:hAnsi="Arial"/>
                <w:sz w:val="14"/>
                <w:szCs w:val="14"/>
                <w:b w:val="1"/>
                <w:bCs w:val="1"/>
                <w:color w:val="FFFFFF"/>
              </w:rPr>
              <w:t>Number of LTIP Awards Held</w:t>
            </w:r>
          </w:p>
        </w:tc>
      </w:tr>
      <w:tr>
        <w:trPr>
          <w:trHeight w:val="175"/>
        </w:trPr>
        <w:tc>
          <w:tcPr>
            <w:tcW w:w="5360" w:type="dxa"/>
            <w:vAlign w:val="bottom"/>
            <w:tcBorders>
              <w:left w:val="single" w:sz="8" w:color="434F69"/>
              <w:right w:val="single" w:sz="8" w:color="434F69"/>
            </w:tcBorders>
            <w:shd w:val="clear" w:color="auto" w:fill="434F69"/>
          </w:tcPr>
          <w:p>
            <w:pPr>
              <w:spacing w:after="0"/>
              <w:rPr>
                <w:sz w:val="15"/>
                <w:szCs w:val="15"/>
                <w:color w:val="auto"/>
              </w:rPr>
            </w:pPr>
          </w:p>
        </w:tc>
        <w:tc>
          <w:tcPr>
            <w:tcW w:w="2500" w:type="dxa"/>
            <w:vAlign w:val="bottom"/>
            <w:tcBorders>
              <w:right w:val="single" w:sz="8" w:color="434F69"/>
            </w:tcBorders>
            <w:gridSpan w:val="2"/>
            <w:shd w:val="clear" w:color="auto" w:fill="434F69"/>
          </w:tcPr>
          <w:p>
            <w:pPr>
              <w:jc w:val="center"/>
              <w:ind w:right="73"/>
              <w:spacing w:after="0"/>
              <w:rPr>
                <w:sz w:val="20"/>
                <w:szCs w:val="20"/>
                <w:color w:val="auto"/>
              </w:rPr>
            </w:pPr>
            <w:r>
              <w:rPr>
                <w:rFonts w:ascii="Arial" w:cs="Arial" w:eastAsia="Arial" w:hAnsi="Arial"/>
                <w:sz w:val="14"/>
                <w:szCs w:val="14"/>
                <w:b w:val="1"/>
                <w:bCs w:val="1"/>
                <w:color w:val="FFFFFF"/>
              </w:rPr>
              <w:t>as of December 31, 2021</w:t>
            </w:r>
          </w:p>
        </w:tc>
      </w:tr>
      <w:tr>
        <w:trPr>
          <w:trHeight w:val="156"/>
        </w:trPr>
        <w:tc>
          <w:tcPr>
            <w:tcW w:w="5360" w:type="dxa"/>
            <w:vAlign w:val="bottom"/>
            <w:tcBorders>
              <w:top w:val="single" w:sz="8" w:color="434F69"/>
              <w:left w:val="single" w:sz="8" w:color="434F69"/>
              <w:right w:val="single" w:sz="8" w:color="434F69"/>
            </w:tcBorders>
            <w:shd w:val="clear" w:color="auto" w:fill="434F69"/>
          </w:tcPr>
          <w:p>
            <w:pPr>
              <w:spacing w:after="0"/>
              <w:rPr>
                <w:sz w:val="13"/>
                <w:szCs w:val="13"/>
                <w:color w:val="auto"/>
              </w:rPr>
            </w:pPr>
          </w:p>
        </w:tc>
        <w:tc>
          <w:tcPr>
            <w:tcW w:w="1180" w:type="dxa"/>
            <w:vAlign w:val="bottom"/>
            <w:tcBorders>
              <w:top w:val="single" w:sz="8" w:color="auto"/>
              <w:right w:val="single" w:sz="8" w:color="434F69"/>
            </w:tcBorders>
            <w:shd w:val="clear" w:color="auto" w:fill="434F69"/>
          </w:tcPr>
          <w:p>
            <w:pPr>
              <w:jc w:val="center"/>
              <w:ind w:right="96"/>
              <w:spacing w:after="0" w:line="156" w:lineRule="exact"/>
              <w:rPr>
                <w:sz w:val="20"/>
                <w:szCs w:val="20"/>
                <w:color w:val="auto"/>
              </w:rPr>
            </w:pPr>
            <w:r>
              <w:rPr>
                <w:rFonts w:ascii="Arial" w:cs="Arial" w:eastAsia="Arial" w:hAnsi="Arial"/>
                <w:sz w:val="14"/>
                <w:szCs w:val="14"/>
                <w:b w:val="1"/>
                <w:bCs w:val="1"/>
                <w:color w:val="FFFFFF"/>
              </w:rPr>
              <w:t>PAGP</w:t>
            </w:r>
          </w:p>
        </w:tc>
        <w:tc>
          <w:tcPr>
            <w:tcW w:w="1320" w:type="dxa"/>
            <w:vAlign w:val="bottom"/>
            <w:tcBorders>
              <w:top w:val="single" w:sz="8" w:color="auto"/>
              <w:right w:val="single" w:sz="8" w:color="434F69"/>
            </w:tcBorders>
            <w:shd w:val="clear" w:color="auto" w:fill="434F69"/>
          </w:tcPr>
          <w:p>
            <w:pPr>
              <w:spacing w:after="0"/>
              <w:rPr>
                <w:sz w:val="13"/>
                <w:szCs w:val="13"/>
                <w:color w:val="auto"/>
              </w:rPr>
            </w:pPr>
          </w:p>
        </w:tc>
      </w:tr>
      <w:tr>
        <w:trPr>
          <w:trHeight w:val="162"/>
        </w:trPr>
        <w:tc>
          <w:tcPr>
            <w:tcW w:w="5360" w:type="dxa"/>
            <w:vAlign w:val="bottom"/>
            <w:tcBorders>
              <w:left w:val="single" w:sz="8" w:color="434F69"/>
              <w:right w:val="single" w:sz="8" w:color="434F69"/>
            </w:tcBorders>
            <w:shd w:val="clear" w:color="auto" w:fill="434F69"/>
          </w:tcPr>
          <w:p>
            <w:pPr>
              <w:spacing w:after="0"/>
              <w:rPr>
                <w:sz w:val="14"/>
                <w:szCs w:val="14"/>
                <w:color w:val="auto"/>
              </w:rPr>
            </w:pPr>
          </w:p>
        </w:tc>
        <w:tc>
          <w:tcPr>
            <w:tcW w:w="1180" w:type="dxa"/>
            <w:vAlign w:val="bottom"/>
            <w:tcBorders>
              <w:right w:val="single" w:sz="8" w:color="434F69"/>
            </w:tcBorders>
            <w:shd w:val="clear" w:color="auto" w:fill="434F69"/>
          </w:tcPr>
          <w:p>
            <w:pPr>
              <w:jc w:val="center"/>
              <w:ind w:right="96"/>
              <w:spacing w:after="0"/>
              <w:rPr>
                <w:sz w:val="20"/>
                <w:szCs w:val="20"/>
                <w:color w:val="auto"/>
              </w:rPr>
            </w:pPr>
            <w:r>
              <w:rPr>
                <w:rFonts w:ascii="Arial" w:cs="Arial" w:eastAsia="Arial" w:hAnsi="Arial"/>
                <w:sz w:val="14"/>
                <w:szCs w:val="14"/>
                <w:b w:val="1"/>
                <w:bCs w:val="1"/>
                <w:color w:val="FFFFFF"/>
              </w:rPr>
              <w:t>Phantom</w:t>
            </w:r>
          </w:p>
        </w:tc>
        <w:tc>
          <w:tcPr>
            <w:tcW w:w="1320" w:type="dxa"/>
            <w:vAlign w:val="bottom"/>
            <w:tcBorders>
              <w:right w:val="single" w:sz="8" w:color="434F69"/>
            </w:tcBorders>
            <w:shd w:val="clear" w:color="auto" w:fill="434F69"/>
          </w:tcPr>
          <w:p>
            <w:pPr>
              <w:spacing w:after="0"/>
              <w:rPr>
                <w:sz w:val="14"/>
                <w:szCs w:val="14"/>
                <w:color w:val="auto"/>
              </w:rPr>
            </w:pPr>
          </w:p>
        </w:tc>
      </w:tr>
      <w:tr>
        <w:trPr>
          <w:trHeight w:val="162"/>
        </w:trPr>
        <w:tc>
          <w:tcPr>
            <w:tcW w:w="5360" w:type="dxa"/>
            <w:vAlign w:val="bottom"/>
            <w:tcBorders>
              <w:left w:val="single" w:sz="8" w:color="434F69"/>
              <w:right w:val="single" w:sz="8" w:color="434F69"/>
            </w:tcBorders>
            <w:shd w:val="clear" w:color="auto" w:fill="434F69"/>
          </w:tcPr>
          <w:p>
            <w:pPr>
              <w:spacing w:after="0"/>
              <w:rPr>
                <w:sz w:val="14"/>
                <w:szCs w:val="14"/>
                <w:color w:val="auto"/>
              </w:rPr>
            </w:pPr>
          </w:p>
        </w:tc>
        <w:tc>
          <w:tcPr>
            <w:tcW w:w="1180" w:type="dxa"/>
            <w:vAlign w:val="bottom"/>
            <w:tcBorders>
              <w:right w:val="single" w:sz="8" w:color="434F69"/>
            </w:tcBorders>
            <w:shd w:val="clear" w:color="auto" w:fill="434F69"/>
          </w:tcPr>
          <w:p>
            <w:pPr>
              <w:jc w:val="center"/>
              <w:ind w:right="96"/>
              <w:spacing w:after="0"/>
              <w:rPr>
                <w:sz w:val="20"/>
                <w:szCs w:val="20"/>
                <w:color w:val="auto"/>
              </w:rPr>
            </w:pPr>
            <w:r>
              <w:rPr>
                <w:rFonts w:ascii="Arial" w:cs="Arial" w:eastAsia="Arial" w:hAnsi="Arial"/>
                <w:sz w:val="14"/>
                <w:szCs w:val="14"/>
                <w:b w:val="1"/>
                <w:bCs w:val="1"/>
                <w:color w:val="FFFFFF"/>
              </w:rPr>
              <w:t>Class A</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Vesting</w:t>
            </w:r>
          </w:p>
        </w:tc>
      </w:tr>
      <w:tr>
        <w:trPr>
          <w:trHeight w:val="189"/>
        </w:trPr>
        <w:tc>
          <w:tcPr>
            <w:tcW w:w="536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Director Name:</w:t>
            </w:r>
          </w:p>
        </w:tc>
        <w:tc>
          <w:tcPr>
            <w:tcW w:w="1180" w:type="dxa"/>
            <w:vAlign w:val="bottom"/>
            <w:tcBorders>
              <w:right w:val="single" w:sz="8" w:color="434F69"/>
            </w:tcBorders>
            <w:shd w:val="clear" w:color="auto" w:fill="434F69"/>
          </w:tcPr>
          <w:p>
            <w:pPr>
              <w:jc w:val="center"/>
              <w:ind w:right="56"/>
              <w:spacing w:after="0"/>
              <w:rPr>
                <w:sz w:val="20"/>
                <w:szCs w:val="20"/>
                <w:color w:val="auto"/>
              </w:rPr>
            </w:pPr>
            <w:r>
              <w:rPr>
                <w:rFonts w:ascii="Arial" w:cs="Arial" w:eastAsia="Arial" w:hAnsi="Arial"/>
                <w:sz w:val="14"/>
                <w:szCs w:val="14"/>
                <w:b w:val="1"/>
                <w:bCs w:val="1"/>
                <w:color w:val="FFFFFF"/>
              </w:rPr>
              <w:t>Shares</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Date</w:t>
            </w:r>
          </w:p>
        </w:tc>
      </w:tr>
      <w:tr>
        <w:trPr>
          <w:trHeight w:val="216"/>
        </w:trPr>
        <w:tc>
          <w:tcPr>
            <w:tcW w:w="5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Burk</w:t>
            </w:r>
          </w:p>
        </w:tc>
        <w:tc>
          <w:tcPr>
            <w:tcW w:w="118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4,879</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2022</w:t>
            </w:r>
          </w:p>
        </w:tc>
      </w:tr>
      <w:tr>
        <w:trPr>
          <w:trHeight w:val="210"/>
        </w:trPr>
        <w:tc>
          <w:tcPr>
            <w:tcW w:w="5360" w:type="dxa"/>
            <w:vAlign w:val="bottom"/>
            <w:tcBorders>
              <w:left w:val="single" w:sz="8" w:color="434F69"/>
              <w:bottom w:val="single" w:sz="8" w:color="434F69"/>
              <w:right w:val="single" w:sz="8" w:color="434F69"/>
            </w:tcBorders>
          </w:tcPr>
          <w:p>
            <w:pPr>
              <w:spacing w:after="0"/>
              <w:rPr>
                <w:sz w:val="18"/>
                <w:szCs w:val="18"/>
                <w:color w:val="auto"/>
              </w:rPr>
            </w:pPr>
          </w:p>
        </w:tc>
        <w:tc>
          <w:tcPr>
            <w:tcW w:w="118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5,220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2023</w:t>
            </w:r>
          </w:p>
        </w:tc>
      </w:tr>
      <w:tr>
        <w:trPr>
          <w:trHeight w:val="209"/>
        </w:trPr>
        <w:tc>
          <w:tcPr>
            <w:tcW w:w="5360" w:type="dxa"/>
            <w:vAlign w:val="bottom"/>
            <w:tcBorders>
              <w:left w:val="single" w:sz="8" w:color="434F69"/>
              <w:bottom w:val="single" w:sz="8" w:color="434F69"/>
              <w:right w:val="single" w:sz="8" w:color="434F69"/>
            </w:tcBorders>
          </w:tcPr>
          <w:p>
            <w:pPr>
              <w:spacing w:after="0"/>
              <w:rPr>
                <w:sz w:val="18"/>
                <w:szCs w:val="18"/>
                <w:color w:val="auto"/>
              </w:rPr>
            </w:pPr>
          </w:p>
        </w:tc>
        <w:tc>
          <w:tcPr>
            <w:tcW w:w="118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15,290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2024</w:t>
            </w:r>
          </w:p>
        </w:tc>
      </w:tr>
      <w:tr>
        <w:trPr>
          <w:trHeight w:val="209"/>
        </w:trPr>
        <w:tc>
          <w:tcPr>
            <w:tcW w:w="5360" w:type="dxa"/>
            <w:vAlign w:val="bottom"/>
            <w:tcBorders>
              <w:left w:val="single" w:sz="8" w:color="434F69"/>
              <w:bottom w:val="single" w:sz="8" w:color="434F69"/>
              <w:right w:val="single" w:sz="8" w:color="434F69"/>
            </w:tcBorders>
          </w:tcPr>
          <w:p>
            <w:pPr>
              <w:spacing w:after="0"/>
              <w:rPr>
                <w:sz w:val="18"/>
                <w:szCs w:val="18"/>
                <w:color w:val="auto"/>
              </w:rPr>
            </w:pPr>
          </w:p>
        </w:tc>
        <w:tc>
          <w:tcPr>
            <w:tcW w:w="118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11,900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2025</w:t>
            </w:r>
          </w:p>
        </w:tc>
      </w:tr>
      <w:tr>
        <w:trPr>
          <w:trHeight w:val="210"/>
        </w:trPr>
        <w:tc>
          <w:tcPr>
            <w:tcW w:w="5360" w:type="dxa"/>
            <w:vAlign w:val="bottom"/>
            <w:tcBorders>
              <w:left w:val="single" w:sz="8" w:color="434F69"/>
              <w:bottom w:val="single" w:sz="8" w:color="434F69"/>
              <w:right w:val="single" w:sz="8" w:color="434F69"/>
            </w:tcBorders>
            <w:shd w:val="clear" w:color="auto" w:fill="D9DCE1"/>
          </w:tcPr>
          <w:p>
            <w:pPr>
              <w:ind w:left="240"/>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b w:val="1"/>
                <w:bCs w:val="1"/>
                <w:color w:val="auto"/>
              </w:rPr>
              <w:t>37,289</w:t>
            </w:r>
          </w:p>
        </w:tc>
        <w:tc>
          <w:tcPr>
            <w:tcW w:w="1320" w:type="dxa"/>
            <w:vAlign w:val="bottom"/>
            <w:tcBorders>
              <w:bottom w:val="single" w:sz="8" w:color="434F69"/>
              <w:right w:val="single" w:sz="8" w:color="434F69"/>
            </w:tcBorders>
            <w:shd w:val="clear" w:color="auto" w:fill="D9DCE1"/>
          </w:tcPr>
          <w:p>
            <w:pPr>
              <w:spacing w:after="0"/>
              <w:rPr>
                <w:sz w:val="18"/>
                <w:szCs w:val="18"/>
                <w:color w:val="auto"/>
              </w:rPr>
            </w:pPr>
          </w:p>
        </w:tc>
      </w:tr>
      <w:tr>
        <w:trPr>
          <w:trHeight w:val="210"/>
        </w:trPr>
        <w:tc>
          <w:tcPr>
            <w:tcW w:w="5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McCarthy</w:t>
            </w:r>
          </w:p>
        </w:tc>
        <w:tc>
          <w:tcPr>
            <w:tcW w:w="118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10,622</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2024</w:t>
            </w:r>
          </w:p>
        </w:tc>
      </w:tr>
      <w:tr>
        <w:trPr>
          <w:trHeight w:val="209"/>
        </w:trPr>
        <w:tc>
          <w:tcPr>
            <w:tcW w:w="5360" w:type="dxa"/>
            <w:vAlign w:val="bottom"/>
            <w:tcBorders>
              <w:left w:val="single" w:sz="8" w:color="434F69"/>
              <w:bottom w:val="single" w:sz="8" w:color="434F69"/>
              <w:right w:val="single" w:sz="8" w:color="434F69"/>
            </w:tcBorders>
          </w:tcPr>
          <w:p>
            <w:pPr>
              <w:spacing w:after="0"/>
              <w:rPr>
                <w:sz w:val="18"/>
                <w:szCs w:val="18"/>
                <w:color w:val="auto"/>
              </w:rPr>
            </w:pPr>
          </w:p>
        </w:tc>
        <w:tc>
          <w:tcPr>
            <w:tcW w:w="118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11,900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2025</w:t>
            </w:r>
          </w:p>
        </w:tc>
      </w:tr>
      <w:tr>
        <w:trPr>
          <w:trHeight w:val="210"/>
        </w:trPr>
        <w:tc>
          <w:tcPr>
            <w:tcW w:w="5360" w:type="dxa"/>
            <w:vAlign w:val="bottom"/>
            <w:tcBorders>
              <w:left w:val="single" w:sz="8" w:color="434F69"/>
              <w:bottom w:val="single" w:sz="8" w:color="434F69"/>
              <w:right w:val="single" w:sz="8" w:color="434F69"/>
            </w:tcBorders>
            <w:shd w:val="clear" w:color="auto" w:fill="D9DCE1"/>
          </w:tcPr>
          <w:p>
            <w:pPr>
              <w:ind w:left="240"/>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b w:val="1"/>
                <w:bCs w:val="1"/>
                <w:color w:val="auto"/>
              </w:rPr>
              <w:t>22,522</w:t>
            </w:r>
          </w:p>
        </w:tc>
        <w:tc>
          <w:tcPr>
            <w:tcW w:w="1320" w:type="dxa"/>
            <w:vAlign w:val="bottom"/>
            <w:tcBorders>
              <w:bottom w:val="single" w:sz="8" w:color="434F69"/>
              <w:right w:val="single" w:sz="8" w:color="434F69"/>
            </w:tcBorders>
            <w:shd w:val="clear" w:color="auto" w:fill="D9DCE1"/>
          </w:tcPr>
          <w:p>
            <w:pPr>
              <w:spacing w:after="0"/>
              <w:rPr>
                <w:sz w:val="18"/>
                <w:szCs w:val="18"/>
                <w:color w:val="auto"/>
              </w:rPr>
            </w:pPr>
          </w:p>
        </w:tc>
      </w:tr>
      <w:tr>
        <w:trPr>
          <w:trHeight w:val="223"/>
        </w:trPr>
        <w:tc>
          <w:tcPr>
            <w:tcW w:w="5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Petersen</w:t>
            </w:r>
          </w:p>
        </w:tc>
        <w:tc>
          <w:tcPr>
            <w:tcW w:w="118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4,879</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2022</w:t>
            </w:r>
          </w:p>
        </w:tc>
      </w:tr>
      <w:tr>
        <w:trPr>
          <w:trHeight w:val="223"/>
        </w:trPr>
        <w:tc>
          <w:tcPr>
            <w:tcW w:w="5360" w:type="dxa"/>
            <w:vAlign w:val="bottom"/>
            <w:tcBorders>
              <w:left w:val="single" w:sz="8" w:color="434F69"/>
              <w:bottom w:val="single" w:sz="8" w:color="434F69"/>
              <w:right w:val="single" w:sz="8" w:color="434F69"/>
            </w:tcBorders>
          </w:tcPr>
          <w:p>
            <w:pPr>
              <w:spacing w:after="0"/>
              <w:rPr>
                <w:sz w:val="19"/>
                <w:szCs w:val="19"/>
                <w:color w:val="auto"/>
              </w:rPr>
            </w:pPr>
          </w:p>
        </w:tc>
        <w:tc>
          <w:tcPr>
            <w:tcW w:w="118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5,220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2023</w:t>
            </w:r>
          </w:p>
        </w:tc>
      </w:tr>
      <w:tr>
        <w:trPr>
          <w:trHeight w:val="223"/>
        </w:trPr>
        <w:tc>
          <w:tcPr>
            <w:tcW w:w="5360" w:type="dxa"/>
            <w:vAlign w:val="bottom"/>
            <w:tcBorders>
              <w:left w:val="single" w:sz="8" w:color="434F69"/>
              <w:bottom w:val="single" w:sz="8" w:color="434F69"/>
              <w:right w:val="single" w:sz="8" w:color="434F69"/>
            </w:tcBorders>
          </w:tcPr>
          <w:p>
            <w:pPr>
              <w:spacing w:after="0"/>
              <w:rPr>
                <w:sz w:val="19"/>
                <w:szCs w:val="19"/>
                <w:color w:val="auto"/>
              </w:rPr>
            </w:pPr>
          </w:p>
        </w:tc>
        <w:tc>
          <w:tcPr>
            <w:tcW w:w="118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15,290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2024</w:t>
            </w:r>
          </w:p>
        </w:tc>
      </w:tr>
      <w:tr>
        <w:trPr>
          <w:trHeight w:val="223"/>
        </w:trPr>
        <w:tc>
          <w:tcPr>
            <w:tcW w:w="5360" w:type="dxa"/>
            <w:vAlign w:val="bottom"/>
            <w:tcBorders>
              <w:left w:val="single" w:sz="8" w:color="434F69"/>
              <w:bottom w:val="single" w:sz="8" w:color="434F69"/>
              <w:right w:val="single" w:sz="8" w:color="434F69"/>
            </w:tcBorders>
          </w:tcPr>
          <w:p>
            <w:pPr>
              <w:spacing w:after="0"/>
              <w:rPr>
                <w:sz w:val="19"/>
                <w:szCs w:val="19"/>
                <w:color w:val="auto"/>
              </w:rPr>
            </w:pPr>
          </w:p>
        </w:tc>
        <w:tc>
          <w:tcPr>
            <w:tcW w:w="118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11,900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2025</w:t>
            </w:r>
          </w:p>
        </w:tc>
      </w:tr>
      <w:tr>
        <w:trPr>
          <w:trHeight w:val="223"/>
        </w:trPr>
        <w:tc>
          <w:tcPr>
            <w:tcW w:w="5360" w:type="dxa"/>
            <w:vAlign w:val="bottom"/>
            <w:tcBorders>
              <w:left w:val="single" w:sz="8" w:color="434F69"/>
              <w:bottom w:val="single" w:sz="8" w:color="434F69"/>
              <w:right w:val="single" w:sz="8" w:color="434F69"/>
            </w:tcBorders>
            <w:shd w:val="clear" w:color="auto" w:fill="D9DCE1"/>
          </w:tcPr>
          <w:p>
            <w:pPr>
              <w:ind w:left="240"/>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b w:val="1"/>
                <w:bCs w:val="1"/>
                <w:color w:val="auto"/>
              </w:rPr>
              <w:t>37,289</w:t>
            </w:r>
          </w:p>
        </w:tc>
        <w:tc>
          <w:tcPr>
            <w:tcW w:w="1320" w:type="dxa"/>
            <w:vAlign w:val="bottom"/>
            <w:tcBorders>
              <w:bottom w:val="single" w:sz="8" w:color="434F69"/>
              <w:right w:val="single" w:sz="8" w:color="434F69"/>
            </w:tcBorders>
            <w:shd w:val="clear" w:color="auto" w:fill="D9DCE1"/>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630" w:type="dxa"/>
        <w:tblCellMar>
          <w:top w:w="0" w:type="dxa"/>
          <w:left w:w="0" w:type="dxa"/>
          <w:bottom w:w="0" w:type="dxa"/>
          <w:right w:w="0" w:type="dxa"/>
        </w:tblCellMar>
      </w:tblPr>
      <w:tr>
        <w:trPr>
          <w:trHeight w:val="243"/>
        </w:trPr>
        <w:tc>
          <w:tcPr>
            <w:tcW w:w="5360" w:type="dxa"/>
            <w:vAlign w:val="bottom"/>
            <w:tcBorders>
              <w:left w:val="single" w:sz="8" w:color="434F69"/>
              <w:right w:val="single" w:sz="8" w:color="434F69"/>
            </w:tcBorders>
            <w:shd w:val="clear" w:color="auto" w:fill="434F69"/>
          </w:tcPr>
          <w:p>
            <w:pPr>
              <w:spacing w:after="0"/>
              <w:rPr>
                <w:sz w:val="21"/>
                <w:szCs w:val="21"/>
                <w:color w:val="auto"/>
              </w:rPr>
            </w:pPr>
          </w:p>
        </w:tc>
        <w:tc>
          <w:tcPr>
            <w:tcW w:w="2500" w:type="dxa"/>
            <w:vAlign w:val="bottom"/>
            <w:tcBorders>
              <w:right w:val="single" w:sz="8" w:color="434F69"/>
            </w:tcBorders>
            <w:gridSpan w:val="2"/>
            <w:shd w:val="clear" w:color="auto" w:fill="434F69"/>
          </w:tcPr>
          <w:p>
            <w:pPr>
              <w:jc w:val="center"/>
              <w:ind w:right="132"/>
              <w:spacing w:after="0"/>
              <w:rPr>
                <w:sz w:val="20"/>
                <w:szCs w:val="20"/>
                <w:color w:val="auto"/>
              </w:rPr>
            </w:pPr>
            <w:r>
              <w:rPr>
                <w:rFonts w:ascii="Arial" w:cs="Arial" w:eastAsia="Arial" w:hAnsi="Arial"/>
                <w:sz w:val="14"/>
                <w:szCs w:val="14"/>
                <w:b w:val="1"/>
                <w:bCs w:val="1"/>
                <w:color w:val="FFFFFF"/>
              </w:rPr>
              <w:t>Number of LTIP Awards Held</w:t>
            </w:r>
          </w:p>
        </w:tc>
      </w:tr>
      <w:tr>
        <w:trPr>
          <w:trHeight w:val="175"/>
        </w:trPr>
        <w:tc>
          <w:tcPr>
            <w:tcW w:w="5360" w:type="dxa"/>
            <w:vAlign w:val="bottom"/>
            <w:tcBorders>
              <w:left w:val="single" w:sz="8" w:color="434F69"/>
              <w:right w:val="single" w:sz="8" w:color="434F69"/>
            </w:tcBorders>
            <w:shd w:val="clear" w:color="auto" w:fill="434F69"/>
          </w:tcPr>
          <w:p>
            <w:pPr>
              <w:spacing w:after="0"/>
              <w:rPr>
                <w:sz w:val="15"/>
                <w:szCs w:val="15"/>
                <w:color w:val="auto"/>
              </w:rPr>
            </w:pPr>
          </w:p>
        </w:tc>
        <w:tc>
          <w:tcPr>
            <w:tcW w:w="2500" w:type="dxa"/>
            <w:vAlign w:val="bottom"/>
            <w:tcBorders>
              <w:right w:val="single" w:sz="8" w:color="434F69"/>
            </w:tcBorders>
            <w:gridSpan w:val="2"/>
            <w:shd w:val="clear" w:color="auto" w:fill="434F69"/>
          </w:tcPr>
          <w:p>
            <w:pPr>
              <w:jc w:val="center"/>
              <w:ind w:right="72"/>
              <w:spacing w:after="0"/>
              <w:rPr>
                <w:sz w:val="20"/>
                <w:szCs w:val="20"/>
                <w:color w:val="auto"/>
              </w:rPr>
            </w:pPr>
            <w:r>
              <w:rPr>
                <w:rFonts w:ascii="Arial" w:cs="Arial" w:eastAsia="Arial" w:hAnsi="Arial"/>
                <w:sz w:val="14"/>
                <w:szCs w:val="14"/>
                <w:b w:val="1"/>
                <w:bCs w:val="1"/>
                <w:color w:val="FFFFFF"/>
              </w:rPr>
              <w:t>as of December 31, 2021</w:t>
            </w:r>
          </w:p>
        </w:tc>
      </w:tr>
      <w:tr>
        <w:trPr>
          <w:trHeight w:val="156"/>
        </w:trPr>
        <w:tc>
          <w:tcPr>
            <w:tcW w:w="5360" w:type="dxa"/>
            <w:vAlign w:val="bottom"/>
            <w:tcBorders>
              <w:top w:val="single" w:sz="8" w:color="434F69"/>
              <w:left w:val="single" w:sz="8" w:color="434F69"/>
              <w:right w:val="single" w:sz="8" w:color="434F69"/>
            </w:tcBorders>
            <w:shd w:val="clear" w:color="auto" w:fill="434F69"/>
          </w:tcPr>
          <w:p>
            <w:pPr>
              <w:spacing w:after="0"/>
              <w:rPr>
                <w:sz w:val="13"/>
                <w:szCs w:val="13"/>
                <w:color w:val="auto"/>
              </w:rPr>
            </w:pPr>
          </w:p>
        </w:tc>
        <w:tc>
          <w:tcPr>
            <w:tcW w:w="1180" w:type="dxa"/>
            <w:vAlign w:val="bottom"/>
            <w:tcBorders>
              <w:top w:val="single" w:sz="8" w:color="auto"/>
              <w:right w:val="single" w:sz="8" w:color="434F69"/>
            </w:tcBorders>
            <w:shd w:val="clear" w:color="auto" w:fill="434F69"/>
          </w:tcPr>
          <w:p>
            <w:pPr>
              <w:jc w:val="center"/>
              <w:ind w:right="94"/>
              <w:spacing w:after="0" w:line="156" w:lineRule="exact"/>
              <w:rPr>
                <w:sz w:val="20"/>
                <w:szCs w:val="20"/>
                <w:color w:val="auto"/>
              </w:rPr>
            </w:pPr>
            <w:r>
              <w:rPr>
                <w:rFonts w:ascii="Arial" w:cs="Arial" w:eastAsia="Arial" w:hAnsi="Arial"/>
                <w:sz w:val="14"/>
                <w:szCs w:val="14"/>
                <w:b w:val="1"/>
                <w:bCs w:val="1"/>
                <w:color w:val="FFFFFF"/>
              </w:rPr>
              <w:t>PAGP</w:t>
            </w:r>
          </w:p>
        </w:tc>
        <w:tc>
          <w:tcPr>
            <w:tcW w:w="1320" w:type="dxa"/>
            <w:vAlign w:val="bottom"/>
            <w:tcBorders>
              <w:top w:val="single" w:sz="8" w:color="auto"/>
              <w:right w:val="single" w:sz="8" w:color="434F69"/>
            </w:tcBorders>
            <w:shd w:val="clear" w:color="auto" w:fill="434F69"/>
          </w:tcPr>
          <w:p>
            <w:pPr>
              <w:spacing w:after="0"/>
              <w:rPr>
                <w:sz w:val="13"/>
                <w:szCs w:val="13"/>
                <w:color w:val="auto"/>
              </w:rPr>
            </w:pPr>
          </w:p>
        </w:tc>
      </w:tr>
      <w:tr>
        <w:trPr>
          <w:trHeight w:val="162"/>
        </w:trPr>
        <w:tc>
          <w:tcPr>
            <w:tcW w:w="5360" w:type="dxa"/>
            <w:vAlign w:val="bottom"/>
            <w:tcBorders>
              <w:left w:val="single" w:sz="8" w:color="434F69"/>
              <w:right w:val="single" w:sz="8" w:color="434F69"/>
            </w:tcBorders>
            <w:shd w:val="clear" w:color="auto" w:fill="434F69"/>
          </w:tcPr>
          <w:p>
            <w:pPr>
              <w:spacing w:after="0"/>
              <w:rPr>
                <w:sz w:val="14"/>
                <w:szCs w:val="14"/>
                <w:color w:val="auto"/>
              </w:rPr>
            </w:pPr>
          </w:p>
        </w:tc>
        <w:tc>
          <w:tcPr>
            <w:tcW w:w="1180" w:type="dxa"/>
            <w:vAlign w:val="bottom"/>
            <w:tcBorders>
              <w:right w:val="single" w:sz="8" w:color="434F69"/>
            </w:tcBorders>
            <w:shd w:val="clear" w:color="auto" w:fill="434F69"/>
          </w:tcPr>
          <w:p>
            <w:pPr>
              <w:jc w:val="center"/>
              <w:ind w:right="94"/>
              <w:spacing w:after="0"/>
              <w:rPr>
                <w:sz w:val="20"/>
                <w:szCs w:val="20"/>
                <w:color w:val="auto"/>
              </w:rPr>
            </w:pPr>
            <w:r>
              <w:rPr>
                <w:rFonts w:ascii="Arial" w:cs="Arial" w:eastAsia="Arial" w:hAnsi="Arial"/>
                <w:sz w:val="14"/>
                <w:szCs w:val="14"/>
                <w:b w:val="1"/>
                <w:bCs w:val="1"/>
                <w:color w:val="FFFFFF"/>
              </w:rPr>
              <w:t>Phantom</w:t>
            </w:r>
          </w:p>
        </w:tc>
        <w:tc>
          <w:tcPr>
            <w:tcW w:w="1320" w:type="dxa"/>
            <w:vAlign w:val="bottom"/>
            <w:tcBorders>
              <w:right w:val="single" w:sz="8" w:color="434F69"/>
            </w:tcBorders>
            <w:shd w:val="clear" w:color="auto" w:fill="434F69"/>
          </w:tcPr>
          <w:p>
            <w:pPr>
              <w:spacing w:after="0"/>
              <w:rPr>
                <w:sz w:val="14"/>
                <w:szCs w:val="14"/>
                <w:color w:val="auto"/>
              </w:rPr>
            </w:pPr>
          </w:p>
        </w:tc>
      </w:tr>
      <w:tr>
        <w:trPr>
          <w:trHeight w:val="162"/>
        </w:trPr>
        <w:tc>
          <w:tcPr>
            <w:tcW w:w="5360" w:type="dxa"/>
            <w:vAlign w:val="bottom"/>
            <w:tcBorders>
              <w:left w:val="single" w:sz="8" w:color="434F69"/>
              <w:right w:val="single" w:sz="8" w:color="434F69"/>
            </w:tcBorders>
            <w:shd w:val="clear" w:color="auto" w:fill="434F69"/>
          </w:tcPr>
          <w:p>
            <w:pPr>
              <w:spacing w:after="0"/>
              <w:rPr>
                <w:sz w:val="14"/>
                <w:szCs w:val="14"/>
                <w:color w:val="auto"/>
              </w:rPr>
            </w:pPr>
          </w:p>
        </w:tc>
        <w:tc>
          <w:tcPr>
            <w:tcW w:w="1180" w:type="dxa"/>
            <w:vAlign w:val="bottom"/>
            <w:tcBorders>
              <w:right w:val="single" w:sz="8" w:color="434F69"/>
            </w:tcBorders>
            <w:shd w:val="clear" w:color="auto" w:fill="434F69"/>
          </w:tcPr>
          <w:p>
            <w:pPr>
              <w:jc w:val="center"/>
              <w:ind w:right="94"/>
              <w:spacing w:after="0"/>
              <w:rPr>
                <w:sz w:val="20"/>
                <w:szCs w:val="20"/>
                <w:color w:val="auto"/>
              </w:rPr>
            </w:pPr>
            <w:r>
              <w:rPr>
                <w:rFonts w:ascii="Arial" w:cs="Arial" w:eastAsia="Arial" w:hAnsi="Arial"/>
                <w:sz w:val="14"/>
                <w:szCs w:val="14"/>
                <w:b w:val="1"/>
                <w:bCs w:val="1"/>
                <w:color w:val="FFFFFF"/>
              </w:rPr>
              <w:t>Class A</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Vesting</w:t>
            </w:r>
          </w:p>
        </w:tc>
      </w:tr>
      <w:tr>
        <w:trPr>
          <w:trHeight w:val="189"/>
        </w:trPr>
        <w:tc>
          <w:tcPr>
            <w:tcW w:w="536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Director Name:</w:t>
            </w:r>
          </w:p>
        </w:tc>
        <w:tc>
          <w:tcPr>
            <w:tcW w:w="1180" w:type="dxa"/>
            <w:vAlign w:val="bottom"/>
            <w:tcBorders>
              <w:right w:val="single" w:sz="8" w:color="434F69"/>
            </w:tcBorders>
            <w:shd w:val="clear" w:color="auto" w:fill="434F69"/>
          </w:tcPr>
          <w:p>
            <w:pPr>
              <w:jc w:val="center"/>
              <w:ind w:right="54"/>
              <w:spacing w:after="0"/>
              <w:rPr>
                <w:sz w:val="20"/>
                <w:szCs w:val="20"/>
                <w:color w:val="auto"/>
              </w:rPr>
            </w:pPr>
            <w:r>
              <w:rPr>
                <w:rFonts w:ascii="Arial" w:cs="Arial" w:eastAsia="Arial" w:hAnsi="Arial"/>
                <w:sz w:val="14"/>
                <w:szCs w:val="14"/>
                <w:b w:val="1"/>
                <w:bCs w:val="1"/>
                <w:color w:val="FFFFFF"/>
              </w:rPr>
              <w:t>Shares</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Date</w:t>
            </w:r>
          </w:p>
        </w:tc>
      </w:tr>
      <w:tr>
        <w:trPr>
          <w:trHeight w:val="216"/>
        </w:trPr>
        <w:tc>
          <w:tcPr>
            <w:tcW w:w="5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Pruner</w:t>
            </w: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5,816</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2022</w:t>
            </w:r>
          </w:p>
        </w:tc>
      </w:tr>
      <w:tr>
        <w:trPr>
          <w:trHeight w:val="209"/>
        </w:trPr>
        <w:tc>
          <w:tcPr>
            <w:tcW w:w="5360" w:type="dxa"/>
            <w:vAlign w:val="bottom"/>
            <w:tcBorders>
              <w:left w:val="single" w:sz="8" w:color="434F69"/>
              <w:bottom w:val="single" w:sz="8" w:color="434F69"/>
              <w:right w:val="single" w:sz="8" w:color="434F69"/>
            </w:tcBorders>
          </w:tcPr>
          <w:p>
            <w:pPr>
              <w:spacing w:after="0"/>
              <w:rPr>
                <w:sz w:val="18"/>
                <w:szCs w:val="18"/>
                <w:color w:val="auto"/>
              </w:rPr>
            </w:pP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5,220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2023</w:t>
            </w:r>
          </w:p>
        </w:tc>
      </w:tr>
      <w:tr>
        <w:trPr>
          <w:trHeight w:val="209"/>
        </w:trPr>
        <w:tc>
          <w:tcPr>
            <w:tcW w:w="5360" w:type="dxa"/>
            <w:vAlign w:val="bottom"/>
            <w:tcBorders>
              <w:left w:val="single" w:sz="8" w:color="434F69"/>
              <w:bottom w:val="single" w:sz="8" w:color="434F69"/>
              <w:right w:val="single" w:sz="8" w:color="434F69"/>
            </w:tcBorders>
          </w:tcPr>
          <w:p>
            <w:pPr>
              <w:spacing w:after="0"/>
              <w:rPr>
                <w:sz w:val="18"/>
                <w:szCs w:val="18"/>
                <w:color w:val="auto"/>
              </w:rPr>
            </w:pP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15,290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2024</w:t>
            </w:r>
          </w:p>
        </w:tc>
      </w:tr>
      <w:tr>
        <w:trPr>
          <w:trHeight w:val="209"/>
        </w:trPr>
        <w:tc>
          <w:tcPr>
            <w:tcW w:w="5360" w:type="dxa"/>
            <w:vAlign w:val="bottom"/>
            <w:tcBorders>
              <w:left w:val="single" w:sz="8" w:color="434F69"/>
              <w:bottom w:val="single" w:sz="8" w:color="434F69"/>
              <w:right w:val="single" w:sz="8" w:color="434F69"/>
            </w:tcBorders>
          </w:tcPr>
          <w:p>
            <w:pPr>
              <w:spacing w:after="0"/>
              <w:rPr>
                <w:sz w:val="18"/>
                <w:szCs w:val="18"/>
                <w:color w:val="auto"/>
              </w:rPr>
            </w:pP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11,900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2025</w:t>
            </w:r>
          </w:p>
        </w:tc>
      </w:tr>
      <w:tr>
        <w:trPr>
          <w:trHeight w:val="210"/>
        </w:trPr>
        <w:tc>
          <w:tcPr>
            <w:tcW w:w="5360" w:type="dxa"/>
            <w:vAlign w:val="bottom"/>
            <w:tcBorders>
              <w:left w:val="single" w:sz="8" w:color="434F69"/>
              <w:bottom w:val="single" w:sz="8" w:color="434F69"/>
              <w:right w:val="single" w:sz="8" w:color="434F69"/>
            </w:tcBorders>
            <w:shd w:val="clear" w:color="auto" w:fill="D9DCE1"/>
          </w:tcPr>
          <w:p>
            <w:pPr>
              <w:jc w:val="center"/>
              <w:ind w:right="4392"/>
              <w:spacing w:after="0"/>
              <w:rPr>
                <w:sz w:val="20"/>
                <w:szCs w:val="20"/>
                <w:color w:val="auto"/>
              </w:rPr>
            </w:pPr>
            <w:r>
              <w:rPr>
                <w:rFonts w:ascii="Arial" w:cs="Arial" w:eastAsia="Arial" w:hAnsi="Arial"/>
                <w:sz w:val="18"/>
                <w:szCs w:val="18"/>
                <w:b w:val="1"/>
                <w:bCs w:val="1"/>
                <w:color w:val="auto"/>
                <w:w w:val="92"/>
              </w:rPr>
              <w:t>Total</w:t>
            </w:r>
          </w:p>
        </w:tc>
        <w:tc>
          <w:tcPr>
            <w:tcW w:w="1180" w:type="dxa"/>
            <w:vAlign w:val="bottom"/>
            <w:tcBorders>
              <w:bottom w:val="single" w:sz="8" w:color="434F69"/>
              <w:right w:val="single" w:sz="8" w:color="434F69"/>
            </w:tcBorders>
            <w:shd w:val="clear" w:color="auto" w:fill="D9DCE1"/>
          </w:tcPr>
          <w:p>
            <w:pPr>
              <w:jc w:val="right"/>
              <w:ind w:right="294"/>
              <w:spacing w:after="0"/>
              <w:rPr>
                <w:sz w:val="20"/>
                <w:szCs w:val="20"/>
                <w:color w:val="auto"/>
              </w:rPr>
            </w:pPr>
            <w:r>
              <w:rPr>
                <w:rFonts w:ascii="Arial" w:cs="Arial" w:eastAsia="Arial" w:hAnsi="Arial"/>
                <w:sz w:val="18"/>
                <w:szCs w:val="18"/>
                <w:b w:val="1"/>
                <w:bCs w:val="1"/>
                <w:color w:val="auto"/>
              </w:rPr>
              <w:t>38,226</w:t>
            </w:r>
          </w:p>
        </w:tc>
        <w:tc>
          <w:tcPr>
            <w:tcW w:w="1320" w:type="dxa"/>
            <w:vAlign w:val="bottom"/>
            <w:tcBorders>
              <w:bottom w:val="single" w:sz="8" w:color="434F69"/>
              <w:right w:val="single" w:sz="8" w:color="434F69"/>
            </w:tcBorders>
            <w:shd w:val="clear" w:color="auto" w:fill="D9DCE1"/>
          </w:tcPr>
          <w:p>
            <w:pPr>
              <w:spacing w:after="0"/>
              <w:rPr>
                <w:sz w:val="18"/>
                <w:szCs w:val="18"/>
                <w:color w:val="auto"/>
              </w:rPr>
            </w:pPr>
          </w:p>
        </w:tc>
      </w:tr>
      <w:tr>
        <w:trPr>
          <w:trHeight w:val="210"/>
        </w:trPr>
        <w:tc>
          <w:tcPr>
            <w:tcW w:w="5360" w:type="dxa"/>
            <w:vAlign w:val="bottom"/>
            <w:tcBorders>
              <w:left w:val="single" w:sz="8" w:color="434F69"/>
              <w:bottom w:val="single" w:sz="8" w:color="434F69"/>
              <w:right w:val="single" w:sz="8" w:color="434F69"/>
            </w:tcBorders>
          </w:tcPr>
          <w:p>
            <w:pPr>
              <w:jc w:val="center"/>
              <w:ind w:right="4392"/>
              <w:spacing w:after="0"/>
              <w:rPr>
                <w:sz w:val="20"/>
                <w:szCs w:val="20"/>
                <w:color w:val="auto"/>
              </w:rPr>
            </w:pPr>
            <w:r>
              <w:rPr>
                <w:rFonts w:ascii="Arial" w:cs="Arial" w:eastAsia="Arial" w:hAnsi="Arial"/>
                <w:sz w:val="18"/>
                <w:szCs w:val="18"/>
                <w:color w:val="auto"/>
                <w:w w:val="98"/>
              </w:rPr>
              <w:t>Raymond</w:t>
            </w: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3,903</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2022</w:t>
            </w:r>
          </w:p>
        </w:tc>
      </w:tr>
      <w:tr>
        <w:trPr>
          <w:trHeight w:val="209"/>
        </w:trPr>
        <w:tc>
          <w:tcPr>
            <w:tcW w:w="5360" w:type="dxa"/>
            <w:vAlign w:val="bottom"/>
            <w:tcBorders>
              <w:left w:val="single" w:sz="8" w:color="434F69"/>
              <w:bottom w:val="single" w:sz="8" w:color="434F69"/>
              <w:right w:val="single" w:sz="8" w:color="434F69"/>
            </w:tcBorders>
          </w:tcPr>
          <w:p>
            <w:pPr>
              <w:spacing w:after="0"/>
              <w:rPr>
                <w:sz w:val="18"/>
                <w:szCs w:val="18"/>
                <w:color w:val="auto"/>
              </w:rPr>
            </w:pP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4,170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2023</w:t>
            </w:r>
          </w:p>
        </w:tc>
      </w:tr>
      <w:tr>
        <w:trPr>
          <w:trHeight w:val="209"/>
        </w:trPr>
        <w:tc>
          <w:tcPr>
            <w:tcW w:w="5360" w:type="dxa"/>
            <w:vAlign w:val="bottom"/>
            <w:tcBorders>
              <w:left w:val="single" w:sz="8" w:color="434F69"/>
              <w:bottom w:val="single" w:sz="8" w:color="434F69"/>
              <w:right w:val="single" w:sz="8" w:color="434F69"/>
            </w:tcBorders>
          </w:tcPr>
          <w:p>
            <w:pPr>
              <w:spacing w:after="0"/>
              <w:rPr>
                <w:sz w:val="18"/>
                <w:szCs w:val="18"/>
                <w:color w:val="auto"/>
              </w:rPr>
            </w:pP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15,290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2024</w:t>
            </w:r>
          </w:p>
        </w:tc>
      </w:tr>
      <w:tr>
        <w:trPr>
          <w:trHeight w:val="209"/>
        </w:trPr>
        <w:tc>
          <w:tcPr>
            <w:tcW w:w="5360" w:type="dxa"/>
            <w:vAlign w:val="bottom"/>
            <w:tcBorders>
              <w:left w:val="single" w:sz="8" w:color="434F69"/>
              <w:bottom w:val="single" w:sz="8" w:color="434F69"/>
              <w:right w:val="single" w:sz="8" w:color="434F69"/>
            </w:tcBorders>
          </w:tcPr>
          <w:p>
            <w:pPr>
              <w:spacing w:after="0"/>
              <w:rPr>
                <w:sz w:val="18"/>
                <w:szCs w:val="18"/>
                <w:color w:val="auto"/>
              </w:rPr>
            </w:pP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11,900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2025</w:t>
            </w:r>
          </w:p>
        </w:tc>
      </w:tr>
      <w:tr>
        <w:trPr>
          <w:trHeight w:val="210"/>
        </w:trPr>
        <w:tc>
          <w:tcPr>
            <w:tcW w:w="5360" w:type="dxa"/>
            <w:vAlign w:val="bottom"/>
            <w:tcBorders>
              <w:left w:val="single" w:sz="8" w:color="434F69"/>
              <w:bottom w:val="single" w:sz="8" w:color="434F69"/>
              <w:right w:val="single" w:sz="8" w:color="434F69"/>
            </w:tcBorders>
            <w:shd w:val="clear" w:color="auto" w:fill="D9DCE1"/>
          </w:tcPr>
          <w:p>
            <w:pPr>
              <w:jc w:val="center"/>
              <w:ind w:right="4392"/>
              <w:spacing w:after="0"/>
              <w:rPr>
                <w:sz w:val="20"/>
                <w:szCs w:val="20"/>
                <w:color w:val="auto"/>
              </w:rPr>
            </w:pPr>
            <w:r>
              <w:rPr>
                <w:rFonts w:ascii="Arial" w:cs="Arial" w:eastAsia="Arial" w:hAnsi="Arial"/>
                <w:sz w:val="18"/>
                <w:szCs w:val="18"/>
                <w:b w:val="1"/>
                <w:bCs w:val="1"/>
                <w:color w:val="auto"/>
                <w:w w:val="92"/>
              </w:rPr>
              <w:t>Total</w:t>
            </w:r>
          </w:p>
        </w:tc>
        <w:tc>
          <w:tcPr>
            <w:tcW w:w="1180" w:type="dxa"/>
            <w:vAlign w:val="bottom"/>
            <w:tcBorders>
              <w:bottom w:val="single" w:sz="8" w:color="434F69"/>
              <w:right w:val="single" w:sz="8" w:color="434F69"/>
            </w:tcBorders>
            <w:shd w:val="clear" w:color="auto" w:fill="D9DCE1"/>
          </w:tcPr>
          <w:p>
            <w:pPr>
              <w:jc w:val="right"/>
              <w:ind w:right="294"/>
              <w:spacing w:after="0"/>
              <w:rPr>
                <w:sz w:val="20"/>
                <w:szCs w:val="20"/>
                <w:color w:val="auto"/>
              </w:rPr>
            </w:pPr>
            <w:r>
              <w:rPr>
                <w:rFonts w:ascii="Arial" w:cs="Arial" w:eastAsia="Arial" w:hAnsi="Arial"/>
                <w:sz w:val="18"/>
                <w:szCs w:val="18"/>
                <w:b w:val="1"/>
                <w:bCs w:val="1"/>
                <w:color w:val="auto"/>
              </w:rPr>
              <w:t>35,263</w:t>
            </w:r>
          </w:p>
        </w:tc>
        <w:tc>
          <w:tcPr>
            <w:tcW w:w="1320" w:type="dxa"/>
            <w:vAlign w:val="bottom"/>
            <w:tcBorders>
              <w:bottom w:val="single" w:sz="8" w:color="434F69"/>
              <w:right w:val="single" w:sz="8" w:color="434F69"/>
            </w:tcBorders>
            <w:shd w:val="clear" w:color="auto" w:fill="D9DCE1"/>
          </w:tcPr>
          <w:p>
            <w:pPr>
              <w:spacing w:after="0"/>
              <w:rPr>
                <w:sz w:val="18"/>
                <w:szCs w:val="18"/>
                <w:color w:val="auto"/>
              </w:rPr>
            </w:pPr>
          </w:p>
        </w:tc>
      </w:tr>
      <w:tr>
        <w:trPr>
          <w:trHeight w:val="210"/>
        </w:trPr>
        <w:tc>
          <w:tcPr>
            <w:tcW w:w="5360" w:type="dxa"/>
            <w:vAlign w:val="bottom"/>
            <w:tcBorders>
              <w:left w:val="single" w:sz="8" w:color="434F69"/>
              <w:bottom w:val="single" w:sz="8" w:color="434F69"/>
              <w:right w:val="single" w:sz="8" w:color="434F69"/>
            </w:tcBorders>
          </w:tcPr>
          <w:p>
            <w:pPr>
              <w:jc w:val="center"/>
              <w:ind w:right="4332"/>
              <w:spacing w:after="0"/>
              <w:rPr>
                <w:sz w:val="20"/>
                <w:szCs w:val="20"/>
                <w:color w:val="auto"/>
              </w:rPr>
            </w:pPr>
            <w:r>
              <w:rPr>
                <w:rFonts w:ascii="Arial" w:cs="Arial" w:eastAsia="Arial" w:hAnsi="Arial"/>
                <w:sz w:val="18"/>
                <w:szCs w:val="18"/>
                <w:color w:val="auto"/>
                <w:w w:val="98"/>
              </w:rPr>
              <w:t>Shackouls</w:t>
            </w: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4,879</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2022</w:t>
            </w:r>
          </w:p>
        </w:tc>
      </w:tr>
      <w:tr>
        <w:trPr>
          <w:trHeight w:val="209"/>
        </w:trPr>
        <w:tc>
          <w:tcPr>
            <w:tcW w:w="5360" w:type="dxa"/>
            <w:vAlign w:val="bottom"/>
            <w:tcBorders>
              <w:left w:val="single" w:sz="8" w:color="434F69"/>
              <w:bottom w:val="single" w:sz="8" w:color="434F69"/>
              <w:right w:val="single" w:sz="8" w:color="434F69"/>
            </w:tcBorders>
          </w:tcPr>
          <w:p>
            <w:pPr>
              <w:spacing w:after="0"/>
              <w:rPr>
                <w:sz w:val="18"/>
                <w:szCs w:val="18"/>
                <w:color w:val="auto"/>
              </w:rPr>
            </w:pP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5,220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2023</w:t>
            </w:r>
          </w:p>
        </w:tc>
      </w:tr>
      <w:tr>
        <w:trPr>
          <w:trHeight w:val="209"/>
        </w:trPr>
        <w:tc>
          <w:tcPr>
            <w:tcW w:w="5360" w:type="dxa"/>
            <w:vAlign w:val="bottom"/>
            <w:tcBorders>
              <w:left w:val="single" w:sz="8" w:color="434F69"/>
              <w:bottom w:val="single" w:sz="8" w:color="434F69"/>
              <w:right w:val="single" w:sz="8" w:color="434F69"/>
            </w:tcBorders>
          </w:tcPr>
          <w:p>
            <w:pPr>
              <w:spacing w:after="0"/>
              <w:rPr>
                <w:sz w:val="18"/>
                <w:szCs w:val="18"/>
                <w:color w:val="auto"/>
              </w:rPr>
            </w:pP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15,290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2024</w:t>
            </w:r>
          </w:p>
        </w:tc>
      </w:tr>
      <w:tr>
        <w:trPr>
          <w:trHeight w:val="209"/>
        </w:trPr>
        <w:tc>
          <w:tcPr>
            <w:tcW w:w="5360" w:type="dxa"/>
            <w:vAlign w:val="bottom"/>
            <w:tcBorders>
              <w:left w:val="single" w:sz="8" w:color="434F69"/>
              <w:bottom w:val="single" w:sz="8" w:color="434F69"/>
              <w:right w:val="single" w:sz="8" w:color="434F69"/>
            </w:tcBorders>
          </w:tcPr>
          <w:p>
            <w:pPr>
              <w:spacing w:after="0"/>
              <w:rPr>
                <w:sz w:val="18"/>
                <w:szCs w:val="18"/>
                <w:color w:val="auto"/>
              </w:rPr>
            </w:pP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11,900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2025</w:t>
            </w:r>
          </w:p>
        </w:tc>
      </w:tr>
      <w:tr>
        <w:trPr>
          <w:trHeight w:val="209"/>
        </w:trPr>
        <w:tc>
          <w:tcPr>
            <w:tcW w:w="5360" w:type="dxa"/>
            <w:vAlign w:val="bottom"/>
            <w:tcBorders>
              <w:left w:val="single" w:sz="8" w:color="434F69"/>
              <w:bottom w:val="single" w:sz="8" w:color="434F69"/>
              <w:right w:val="single" w:sz="8" w:color="434F69"/>
            </w:tcBorders>
            <w:shd w:val="clear" w:color="auto" w:fill="D9DCE1"/>
          </w:tcPr>
          <w:p>
            <w:pPr>
              <w:jc w:val="center"/>
              <w:ind w:right="4392"/>
              <w:spacing w:after="0"/>
              <w:rPr>
                <w:sz w:val="20"/>
                <w:szCs w:val="20"/>
                <w:color w:val="auto"/>
              </w:rPr>
            </w:pPr>
            <w:r>
              <w:rPr>
                <w:rFonts w:ascii="Arial" w:cs="Arial" w:eastAsia="Arial" w:hAnsi="Arial"/>
                <w:sz w:val="18"/>
                <w:szCs w:val="18"/>
                <w:b w:val="1"/>
                <w:bCs w:val="1"/>
                <w:color w:val="auto"/>
                <w:w w:val="92"/>
              </w:rPr>
              <w:t>Total</w:t>
            </w:r>
          </w:p>
        </w:tc>
        <w:tc>
          <w:tcPr>
            <w:tcW w:w="1180" w:type="dxa"/>
            <w:vAlign w:val="bottom"/>
            <w:tcBorders>
              <w:bottom w:val="single" w:sz="8" w:color="434F69"/>
              <w:right w:val="single" w:sz="8" w:color="434F69"/>
            </w:tcBorders>
            <w:shd w:val="clear" w:color="auto" w:fill="D9DCE1"/>
          </w:tcPr>
          <w:p>
            <w:pPr>
              <w:jc w:val="right"/>
              <w:ind w:right="294"/>
              <w:spacing w:after="0"/>
              <w:rPr>
                <w:sz w:val="20"/>
                <w:szCs w:val="20"/>
                <w:color w:val="auto"/>
              </w:rPr>
            </w:pPr>
            <w:r>
              <w:rPr>
                <w:rFonts w:ascii="Arial" w:cs="Arial" w:eastAsia="Arial" w:hAnsi="Arial"/>
                <w:sz w:val="18"/>
                <w:szCs w:val="18"/>
                <w:b w:val="1"/>
                <w:bCs w:val="1"/>
                <w:color w:val="auto"/>
              </w:rPr>
              <w:t>37,289</w:t>
            </w:r>
          </w:p>
        </w:tc>
        <w:tc>
          <w:tcPr>
            <w:tcW w:w="1320" w:type="dxa"/>
            <w:vAlign w:val="bottom"/>
            <w:tcBorders>
              <w:bottom w:val="single" w:sz="8" w:color="434F69"/>
              <w:right w:val="single" w:sz="8" w:color="434F69"/>
            </w:tcBorders>
            <w:shd w:val="clear" w:color="auto" w:fill="D9DCE1"/>
          </w:tcPr>
          <w:p>
            <w:pPr>
              <w:spacing w:after="0"/>
              <w:rPr>
                <w:sz w:val="18"/>
                <w:szCs w:val="18"/>
                <w:color w:val="auto"/>
              </w:rPr>
            </w:pPr>
          </w:p>
        </w:tc>
      </w:tr>
      <w:tr>
        <w:trPr>
          <w:trHeight w:val="210"/>
        </w:trPr>
        <w:tc>
          <w:tcPr>
            <w:tcW w:w="5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Temple</w:t>
            </w: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4,879</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2022</w:t>
            </w:r>
          </w:p>
        </w:tc>
      </w:tr>
      <w:tr>
        <w:trPr>
          <w:trHeight w:val="223"/>
        </w:trPr>
        <w:tc>
          <w:tcPr>
            <w:tcW w:w="5360" w:type="dxa"/>
            <w:vAlign w:val="bottom"/>
            <w:tcBorders>
              <w:left w:val="single" w:sz="8" w:color="434F69"/>
              <w:bottom w:val="single" w:sz="8" w:color="434F69"/>
              <w:right w:val="single" w:sz="8" w:color="434F69"/>
            </w:tcBorders>
          </w:tcPr>
          <w:p>
            <w:pPr>
              <w:spacing w:after="0"/>
              <w:rPr>
                <w:sz w:val="19"/>
                <w:szCs w:val="19"/>
                <w:color w:val="auto"/>
              </w:rPr>
            </w:pP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5,220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2023</w:t>
            </w:r>
          </w:p>
        </w:tc>
      </w:tr>
      <w:tr>
        <w:trPr>
          <w:trHeight w:val="223"/>
        </w:trPr>
        <w:tc>
          <w:tcPr>
            <w:tcW w:w="5360" w:type="dxa"/>
            <w:vAlign w:val="bottom"/>
            <w:tcBorders>
              <w:left w:val="single" w:sz="8" w:color="434F69"/>
              <w:bottom w:val="single" w:sz="8" w:color="434F69"/>
              <w:right w:val="single" w:sz="8" w:color="434F69"/>
            </w:tcBorders>
          </w:tcPr>
          <w:p>
            <w:pPr>
              <w:spacing w:after="0"/>
              <w:rPr>
                <w:sz w:val="19"/>
                <w:szCs w:val="19"/>
                <w:color w:val="auto"/>
              </w:rPr>
            </w:pP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15,290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2024</w:t>
            </w:r>
          </w:p>
        </w:tc>
      </w:tr>
      <w:tr>
        <w:trPr>
          <w:trHeight w:val="223"/>
        </w:trPr>
        <w:tc>
          <w:tcPr>
            <w:tcW w:w="5360" w:type="dxa"/>
            <w:vAlign w:val="bottom"/>
            <w:tcBorders>
              <w:left w:val="single" w:sz="8" w:color="434F69"/>
              <w:bottom w:val="single" w:sz="8" w:color="434F69"/>
              <w:right w:val="single" w:sz="8" w:color="434F69"/>
            </w:tcBorders>
          </w:tcPr>
          <w:p>
            <w:pPr>
              <w:spacing w:after="0"/>
              <w:rPr>
                <w:sz w:val="19"/>
                <w:szCs w:val="19"/>
                <w:color w:val="auto"/>
              </w:rPr>
            </w:pP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11,900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2025</w:t>
            </w:r>
          </w:p>
        </w:tc>
      </w:tr>
      <w:tr>
        <w:trPr>
          <w:trHeight w:val="223"/>
        </w:trPr>
        <w:tc>
          <w:tcPr>
            <w:tcW w:w="5360" w:type="dxa"/>
            <w:vAlign w:val="bottom"/>
            <w:tcBorders>
              <w:left w:val="single" w:sz="8" w:color="434F69"/>
              <w:bottom w:val="single" w:sz="8" w:color="434F69"/>
              <w:right w:val="single" w:sz="8" w:color="434F69"/>
            </w:tcBorders>
            <w:shd w:val="clear" w:color="auto" w:fill="D9DCE1"/>
          </w:tcPr>
          <w:p>
            <w:pPr>
              <w:jc w:val="center"/>
              <w:ind w:right="4392"/>
              <w:spacing w:after="0"/>
              <w:rPr>
                <w:sz w:val="20"/>
                <w:szCs w:val="20"/>
                <w:color w:val="auto"/>
              </w:rPr>
            </w:pPr>
            <w:r>
              <w:rPr>
                <w:rFonts w:ascii="Arial" w:cs="Arial" w:eastAsia="Arial" w:hAnsi="Arial"/>
                <w:sz w:val="18"/>
                <w:szCs w:val="18"/>
                <w:b w:val="1"/>
                <w:bCs w:val="1"/>
                <w:color w:val="auto"/>
                <w:w w:val="92"/>
              </w:rPr>
              <w:t>Total</w:t>
            </w:r>
          </w:p>
        </w:tc>
        <w:tc>
          <w:tcPr>
            <w:tcW w:w="1180" w:type="dxa"/>
            <w:vAlign w:val="bottom"/>
            <w:tcBorders>
              <w:bottom w:val="single" w:sz="8" w:color="434F69"/>
              <w:right w:val="single" w:sz="8" w:color="434F69"/>
            </w:tcBorders>
            <w:shd w:val="clear" w:color="auto" w:fill="D9DCE1"/>
          </w:tcPr>
          <w:p>
            <w:pPr>
              <w:jc w:val="right"/>
              <w:ind w:right="294"/>
              <w:spacing w:after="0"/>
              <w:rPr>
                <w:sz w:val="20"/>
                <w:szCs w:val="20"/>
                <w:color w:val="auto"/>
              </w:rPr>
            </w:pPr>
            <w:r>
              <w:rPr>
                <w:rFonts w:ascii="Arial" w:cs="Arial" w:eastAsia="Arial" w:hAnsi="Arial"/>
                <w:sz w:val="18"/>
                <w:szCs w:val="18"/>
                <w:b w:val="1"/>
                <w:bCs w:val="1"/>
                <w:color w:val="auto"/>
              </w:rPr>
              <w:t>37,289</w:t>
            </w:r>
          </w:p>
        </w:tc>
        <w:tc>
          <w:tcPr>
            <w:tcW w:w="1320" w:type="dxa"/>
            <w:vAlign w:val="bottom"/>
            <w:tcBorders>
              <w:bottom w:val="single" w:sz="8" w:color="434F69"/>
              <w:right w:val="single" w:sz="8" w:color="434F69"/>
            </w:tcBorders>
            <w:shd w:val="clear" w:color="auto" w:fill="D9DCE1"/>
          </w:tcPr>
          <w:p>
            <w:pPr>
              <w:spacing w:after="0"/>
              <w:rPr>
                <w:sz w:val="19"/>
                <w:szCs w:val="19"/>
                <w:color w:val="auto"/>
              </w:rPr>
            </w:pPr>
          </w:p>
        </w:tc>
      </w:tr>
      <w:tr>
        <w:trPr>
          <w:trHeight w:val="223"/>
        </w:trPr>
        <w:tc>
          <w:tcPr>
            <w:tcW w:w="5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Ziemba</w:t>
            </w: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6,480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2022</w:t>
            </w:r>
          </w:p>
        </w:tc>
      </w:tr>
      <w:tr>
        <w:trPr>
          <w:trHeight w:val="223"/>
        </w:trPr>
        <w:tc>
          <w:tcPr>
            <w:tcW w:w="5360" w:type="dxa"/>
            <w:vAlign w:val="bottom"/>
            <w:tcBorders>
              <w:left w:val="single" w:sz="8" w:color="434F69"/>
              <w:bottom w:val="single" w:sz="8" w:color="434F69"/>
              <w:right w:val="single" w:sz="8" w:color="434F69"/>
            </w:tcBorders>
          </w:tcPr>
          <w:p>
            <w:pPr>
              <w:spacing w:after="0"/>
              <w:rPr>
                <w:sz w:val="19"/>
                <w:szCs w:val="19"/>
                <w:color w:val="auto"/>
              </w:rPr>
            </w:pP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6,480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2023</w:t>
            </w:r>
          </w:p>
        </w:tc>
      </w:tr>
      <w:tr>
        <w:trPr>
          <w:trHeight w:val="223"/>
        </w:trPr>
        <w:tc>
          <w:tcPr>
            <w:tcW w:w="5360" w:type="dxa"/>
            <w:vAlign w:val="bottom"/>
            <w:tcBorders>
              <w:left w:val="single" w:sz="8" w:color="434F69"/>
              <w:bottom w:val="single" w:sz="8" w:color="434F69"/>
              <w:right w:val="single" w:sz="8" w:color="434F69"/>
            </w:tcBorders>
          </w:tcPr>
          <w:p>
            <w:pPr>
              <w:spacing w:after="0"/>
              <w:rPr>
                <w:sz w:val="19"/>
                <w:szCs w:val="19"/>
                <w:color w:val="auto"/>
              </w:rPr>
            </w:pP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15,290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2024</w:t>
            </w:r>
          </w:p>
        </w:tc>
      </w:tr>
      <w:tr>
        <w:trPr>
          <w:trHeight w:val="223"/>
        </w:trPr>
        <w:tc>
          <w:tcPr>
            <w:tcW w:w="5360" w:type="dxa"/>
            <w:vAlign w:val="bottom"/>
            <w:tcBorders>
              <w:left w:val="single" w:sz="8" w:color="434F69"/>
              <w:bottom w:val="single" w:sz="8" w:color="434F69"/>
              <w:right w:val="single" w:sz="8" w:color="434F69"/>
            </w:tcBorders>
          </w:tcPr>
          <w:p>
            <w:pPr>
              <w:spacing w:after="0"/>
              <w:rPr>
                <w:sz w:val="19"/>
                <w:szCs w:val="19"/>
                <w:color w:val="auto"/>
              </w:rPr>
            </w:pPr>
          </w:p>
        </w:tc>
        <w:tc>
          <w:tcPr>
            <w:tcW w:w="1180" w:type="dxa"/>
            <w:vAlign w:val="bottom"/>
            <w:tcBorders>
              <w:bottom w:val="single" w:sz="8" w:color="434F69"/>
              <w:right w:val="single" w:sz="8" w:color="434F69"/>
            </w:tcBorders>
          </w:tcPr>
          <w:p>
            <w:pPr>
              <w:jc w:val="right"/>
              <w:ind w:right="294"/>
              <w:spacing w:after="0"/>
              <w:rPr>
                <w:sz w:val="20"/>
                <w:szCs w:val="20"/>
                <w:color w:val="auto"/>
              </w:rPr>
            </w:pPr>
            <w:r>
              <w:rPr>
                <w:rFonts w:ascii="Arial" w:cs="Arial" w:eastAsia="Arial" w:hAnsi="Arial"/>
                <w:sz w:val="18"/>
                <w:szCs w:val="18"/>
                <w:color w:val="auto"/>
              </w:rPr>
              <w:t>11,900</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Aug 2025</w:t>
            </w:r>
          </w:p>
        </w:tc>
      </w:tr>
      <w:tr>
        <w:trPr>
          <w:trHeight w:val="223"/>
        </w:trPr>
        <w:tc>
          <w:tcPr>
            <w:tcW w:w="5360" w:type="dxa"/>
            <w:vAlign w:val="bottom"/>
            <w:tcBorders>
              <w:left w:val="single" w:sz="8" w:color="434F69"/>
              <w:bottom w:val="single" w:sz="8" w:color="434F69"/>
              <w:right w:val="single" w:sz="8" w:color="434F69"/>
            </w:tcBorders>
            <w:shd w:val="clear" w:color="auto" w:fill="D9DCE1"/>
          </w:tcPr>
          <w:p>
            <w:pPr>
              <w:jc w:val="center"/>
              <w:ind w:right="4392"/>
              <w:spacing w:after="0"/>
              <w:rPr>
                <w:sz w:val="20"/>
                <w:szCs w:val="20"/>
                <w:color w:val="auto"/>
              </w:rPr>
            </w:pPr>
            <w:r>
              <w:rPr>
                <w:rFonts w:ascii="Arial" w:cs="Arial" w:eastAsia="Arial" w:hAnsi="Arial"/>
                <w:sz w:val="18"/>
                <w:szCs w:val="18"/>
                <w:b w:val="1"/>
                <w:bCs w:val="1"/>
                <w:color w:val="auto"/>
                <w:w w:val="92"/>
              </w:rPr>
              <w:t>Total</w:t>
            </w:r>
          </w:p>
        </w:tc>
        <w:tc>
          <w:tcPr>
            <w:tcW w:w="1180" w:type="dxa"/>
            <w:vAlign w:val="bottom"/>
            <w:tcBorders>
              <w:bottom w:val="single" w:sz="8" w:color="434F69"/>
              <w:right w:val="single" w:sz="8" w:color="434F69"/>
            </w:tcBorders>
            <w:shd w:val="clear" w:color="auto" w:fill="D9DCE1"/>
          </w:tcPr>
          <w:p>
            <w:pPr>
              <w:jc w:val="right"/>
              <w:ind w:right="294"/>
              <w:spacing w:after="0"/>
              <w:rPr>
                <w:sz w:val="20"/>
                <w:szCs w:val="20"/>
                <w:color w:val="auto"/>
              </w:rPr>
            </w:pPr>
            <w:r>
              <w:rPr>
                <w:rFonts w:ascii="Arial" w:cs="Arial" w:eastAsia="Arial" w:hAnsi="Arial"/>
                <w:sz w:val="18"/>
                <w:szCs w:val="18"/>
                <w:b w:val="1"/>
                <w:bCs w:val="1"/>
                <w:color w:val="auto"/>
              </w:rPr>
              <w:t>40,150</w:t>
            </w:r>
          </w:p>
        </w:tc>
        <w:tc>
          <w:tcPr>
            <w:tcW w:w="1320" w:type="dxa"/>
            <w:vAlign w:val="bottom"/>
            <w:tcBorders>
              <w:bottom w:val="single" w:sz="8" w:color="434F69"/>
              <w:right w:val="single" w:sz="8" w:color="434F69"/>
            </w:tcBorders>
            <w:shd w:val="clear" w:color="auto" w:fill="D9DCE1"/>
          </w:tcPr>
          <w:p>
            <w:pPr>
              <w:spacing w:after="0"/>
              <w:rPr>
                <w:sz w:val="19"/>
                <w:szCs w:val="19"/>
                <w:color w:val="auto"/>
              </w:rPr>
            </w:pPr>
          </w:p>
        </w:tc>
      </w:tr>
    </w:tbl>
    <w:p>
      <w:pPr>
        <w:spacing w:after="0" w:line="188" w:lineRule="exact"/>
        <w:rPr>
          <w:sz w:val="20"/>
          <w:szCs w:val="20"/>
          <w:color w:val="auto"/>
        </w:rPr>
      </w:pPr>
    </w:p>
    <w:p>
      <w:pPr>
        <w:ind w:left="1620" w:right="439" w:hanging="360"/>
        <w:spacing w:after="0" w:line="231" w:lineRule="auto"/>
        <w:tabs>
          <w:tab w:leader="none" w:pos="1620" w:val="left"/>
        </w:tabs>
        <w:numPr>
          <w:ilvl w:val="0"/>
          <w:numId w:val="68"/>
        </w:numPr>
        <w:rPr>
          <w:rFonts w:ascii="Arial" w:cs="Arial" w:eastAsia="Arial" w:hAnsi="Arial"/>
          <w:sz w:val="27"/>
          <w:szCs w:val="27"/>
          <w:color w:val="auto"/>
          <w:vertAlign w:val="superscript"/>
        </w:rPr>
      </w:pPr>
      <w:r>
        <w:rPr>
          <w:rFonts w:ascii="Arial" w:cs="Arial" w:eastAsia="Arial" w:hAnsi="Arial"/>
          <w:sz w:val="18"/>
          <w:szCs w:val="18"/>
          <w:color w:val="auto"/>
        </w:rPr>
        <w:t>Mr. Armstrong served as Senior Advisor to the CEO during 2021 and received a salary of $250,000 and other compensation of $15,960 (comprising 401(k) plan matching contributions and premium payments for group term life insurance) for his services as an employee. Pursuant to his employment agreement, Mr. Armstrong will serve as a director and will also serve as Senior Advisor to the CEO until the date of the 2024 annual meeting and will receive an annual salary of $250,000 for these services. Mr. Armstrong does not hold any LTIP Awards.</w:t>
      </w:r>
    </w:p>
    <w:p>
      <w:pPr>
        <w:spacing w:after="0" w:line="1" w:lineRule="exact"/>
        <w:rPr>
          <w:rFonts w:ascii="Arial" w:cs="Arial" w:eastAsia="Arial" w:hAnsi="Arial"/>
          <w:sz w:val="27"/>
          <w:szCs w:val="27"/>
          <w:color w:val="auto"/>
          <w:vertAlign w:val="superscript"/>
        </w:rPr>
      </w:pPr>
    </w:p>
    <w:p>
      <w:pPr>
        <w:ind w:left="1620" w:hanging="360"/>
        <w:spacing w:after="0" w:line="229" w:lineRule="auto"/>
        <w:tabs>
          <w:tab w:leader="none" w:pos="1620" w:val="left"/>
        </w:tabs>
        <w:numPr>
          <w:ilvl w:val="0"/>
          <w:numId w:val="68"/>
        </w:numPr>
        <w:rPr>
          <w:rFonts w:ascii="Arial" w:cs="Arial" w:eastAsia="Arial" w:hAnsi="Arial"/>
          <w:sz w:val="27"/>
          <w:szCs w:val="27"/>
          <w:color w:val="auto"/>
          <w:vertAlign w:val="superscript"/>
        </w:rPr>
      </w:pPr>
      <w:r>
        <w:rPr>
          <w:rFonts w:ascii="Arial" w:cs="Arial" w:eastAsia="Arial" w:hAnsi="Arial"/>
          <w:sz w:val="18"/>
          <w:szCs w:val="18"/>
          <w:color w:val="auto"/>
        </w:rPr>
        <w:t>Fees paid to Mr. McCarthy in 2021 included $1,912 earned in the prior year.</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Retainers and Expense Reimbursement</w:t>
      </w:r>
    </w:p>
    <w:p>
      <w:pPr>
        <w:spacing w:after="0" w:line="17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During 2021, each non-employee director received an annual retainer fee of $75,000. In addition to their annual retainer, each committee chairman (other than the audit committee chairman) received an additional retainer of $10,000, the audit committee chairman received an additional retainer of $30,000, each other member of the audit committee received an additional retainer of $15,000, and the Lead Director received an additional retainer of $35,000.</w:t>
      </w:r>
    </w:p>
    <w:p>
      <w:pPr>
        <w:spacing w:after="0" w:line="124"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Non-employee directors are reimbursed for reasonable travel, lodging and other out-of-pocket expenses related to meeting attendance or otherwise related to service on the Board (including, without limitation, reimbursement for continuing education expenses).</w:t>
      </w:r>
    </w:p>
    <w:p>
      <w:pPr>
        <w:spacing w:after="0" w:line="134" w:lineRule="exact"/>
        <w:rPr>
          <w:sz w:val="20"/>
          <w:szCs w:val="20"/>
          <w:color w:val="auto"/>
        </w:rPr>
      </w:pPr>
    </w:p>
    <w:p>
      <w:pPr>
        <w:ind w:left="1260" w:right="1239" w:firstLine="360"/>
        <w:spacing w:after="0" w:line="291" w:lineRule="auto"/>
        <w:rPr>
          <w:sz w:val="20"/>
          <w:szCs w:val="20"/>
          <w:color w:val="auto"/>
        </w:rPr>
      </w:pPr>
      <w:r>
        <w:rPr>
          <w:rFonts w:ascii="Arial" w:cs="Arial" w:eastAsia="Arial" w:hAnsi="Arial"/>
          <w:sz w:val="17"/>
          <w:szCs w:val="17"/>
          <w:color w:val="auto"/>
        </w:rPr>
        <w:t>Messrs. Armstrong, Chiang and Pefanis are otherwise compensated for their services as employees and therefore receive no separate compensation for their services as directors.</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Long-Term Equity Awards</w:t>
      </w:r>
    </w:p>
    <w:p>
      <w:pPr>
        <w:spacing w:after="0" w:line="162"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Our non-employee directors receive annual LTIP awards as part of their compensation. Such LTIP awards consist of PAGP phantom Class A shares having a market value on the date of grant equal to approximately $125,000 (based on a volume weighted average price for the 10-trading day period beginning five days before and ending five days after the ex-dividend date immediately preceding the date of grant). The annual LTIP awards granted in 2021 will vest (become payable in PAGP Class A shares on a one-for-one basis) on the August 2025 distribution date, and include associated DERs.</w:t>
      </w:r>
    </w:p>
    <w:p>
      <w:pPr>
        <w:spacing w:after="0" w:line="125"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All director LTIP awards vest in full upon the next following distribution date after the death or disability (as determined in good faith by the Board) of the director. The awards also vest in full if a director (i) retires (no longer with full-time employment and no longer serving as an officer or director of any public company) or (ii) is removed from the Board or is not reelected to the Board, unless such removal or failure to reelect is for “Cause,” as defined in the PAGP GP LLC Agreement.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Reimbursement of Expenses of Our General Partner and its Affiliates</w:t>
      </w:r>
    </w:p>
    <w:p>
      <w:pPr>
        <w:spacing w:after="0" w:line="180"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do not pay our general partner a management fee, but we do reimburse our general partner for all direct and indirect costs of services provided to us, incurred on our behalf, including the costs of employee, officer and director compensation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All American Pipeline, L.P.</w:t>
      </w:r>
    </w:p>
    <w:p>
      <w:pPr>
        <w:spacing w:after="0" w:line="166" w:lineRule="exact"/>
        <w:rPr>
          <w:sz w:val="20"/>
          <w:szCs w:val="20"/>
          <w:color w:val="auto"/>
        </w:rPr>
      </w:pPr>
    </w:p>
    <w:p>
      <w:pPr>
        <w:ind w:left="1260" w:right="440" w:firstLine="360"/>
        <w:spacing w:after="0" w:line="252" w:lineRule="auto"/>
        <w:rPr>
          <w:sz w:val="20"/>
          <w:szCs w:val="20"/>
          <w:color w:val="auto"/>
        </w:rPr>
      </w:pPr>
      <w:r>
        <w:rPr>
          <w:rFonts w:ascii="Arial" w:cs="Arial" w:eastAsia="Arial" w:hAnsi="Arial"/>
          <w:sz w:val="18"/>
          <w:szCs w:val="18"/>
          <w:color w:val="auto"/>
        </w:rPr>
        <w:t>Our common units and Series A preferred units outstanding represent 100% of our voting securities. Ownership of the non-economic general partner interest is discussed separately below under “—Beneficial Ownership of General Partner Interest.” The following table sets forth certain information regarding the beneficial ownership of our common units and Series A preferred units as of March 28, 2022 (unless otherwise noted) by each person who is known to us to beneficially own more than 5% of our common units, each person who is known to us to beneficially own more than 5% of our Series A preferred units, the Named Executive Officers, our directors, and all directors and executive officers as a group.</w:t>
      </w:r>
    </w:p>
    <w:p>
      <w:pPr>
        <w:spacing w:after="0" w:line="206" w:lineRule="exact"/>
        <w:rPr>
          <w:sz w:val="20"/>
          <w:szCs w:val="20"/>
          <w:color w:val="auto"/>
        </w:rPr>
      </w:pPr>
    </w:p>
    <w:tbl>
      <w:tblPr>
        <w:tblLayout w:type="fixed"/>
        <w:tblInd w:w="830" w:type="dxa"/>
        <w:tblCellMar>
          <w:top w:w="0" w:type="dxa"/>
          <w:left w:w="0" w:type="dxa"/>
          <w:bottom w:w="0" w:type="dxa"/>
          <w:right w:w="0" w:type="dxa"/>
        </w:tblCellMar>
      </w:tblPr>
      <w:tr>
        <w:trPr>
          <w:trHeight w:val="243"/>
        </w:trPr>
        <w:tc>
          <w:tcPr>
            <w:tcW w:w="440" w:type="dxa"/>
            <w:vAlign w:val="bottom"/>
            <w:tcBorders>
              <w:left w:val="single" w:sz="8" w:color="434F69"/>
            </w:tcBorders>
            <w:shd w:val="clear" w:color="auto" w:fill="434F69"/>
          </w:tcPr>
          <w:p>
            <w:pPr>
              <w:spacing w:after="0"/>
              <w:rPr>
                <w:sz w:val="21"/>
                <w:szCs w:val="21"/>
                <w:color w:val="auto"/>
              </w:rPr>
            </w:pPr>
          </w:p>
        </w:tc>
        <w:tc>
          <w:tcPr>
            <w:tcW w:w="1700" w:type="dxa"/>
            <w:vAlign w:val="bottom"/>
            <w:tcBorders>
              <w:right w:val="single" w:sz="8" w:color="434F69"/>
            </w:tcBorders>
            <w:shd w:val="clear" w:color="auto" w:fill="434F69"/>
          </w:tcPr>
          <w:p>
            <w:pPr>
              <w:spacing w:after="0"/>
              <w:rPr>
                <w:sz w:val="21"/>
                <w:szCs w:val="21"/>
                <w:color w:val="auto"/>
              </w:rPr>
            </w:pPr>
          </w:p>
        </w:tc>
        <w:tc>
          <w:tcPr>
            <w:tcW w:w="240" w:type="dxa"/>
            <w:vAlign w:val="bottom"/>
            <w:shd w:val="clear" w:color="auto" w:fill="434F69"/>
          </w:tcPr>
          <w:p>
            <w:pPr>
              <w:spacing w:after="0"/>
              <w:rPr>
                <w:sz w:val="21"/>
                <w:szCs w:val="21"/>
                <w:color w:val="auto"/>
              </w:rPr>
            </w:pPr>
          </w:p>
        </w:tc>
        <w:tc>
          <w:tcPr>
            <w:tcW w:w="1340" w:type="dxa"/>
            <w:vAlign w:val="bottom"/>
            <w:tcBorders>
              <w:right w:val="single" w:sz="8" w:color="434F69"/>
            </w:tcBorders>
            <w:shd w:val="clear" w:color="auto" w:fill="434F69"/>
          </w:tcPr>
          <w:p>
            <w:pPr>
              <w:spacing w:after="0"/>
              <w:rPr>
                <w:sz w:val="21"/>
                <w:szCs w:val="21"/>
                <w:color w:val="auto"/>
              </w:rPr>
            </w:pPr>
          </w:p>
        </w:tc>
        <w:tc>
          <w:tcPr>
            <w:tcW w:w="1300" w:type="dxa"/>
            <w:vAlign w:val="bottom"/>
            <w:tcBorders>
              <w:right w:val="single" w:sz="8" w:color="434F69"/>
            </w:tcBorders>
            <w:shd w:val="clear" w:color="auto" w:fill="434F69"/>
          </w:tcPr>
          <w:p>
            <w:pPr>
              <w:spacing w:after="0"/>
              <w:rPr>
                <w:sz w:val="21"/>
                <w:szCs w:val="21"/>
                <w:color w:val="auto"/>
              </w:rPr>
            </w:pPr>
          </w:p>
        </w:tc>
        <w:tc>
          <w:tcPr>
            <w:tcW w:w="1320" w:type="dxa"/>
            <w:vAlign w:val="bottom"/>
            <w:tcBorders>
              <w:right w:val="single" w:sz="8" w:color="434F69"/>
            </w:tcBorders>
            <w:shd w:val="clear" w:color="auto" w:fill="434F69"/>
          </w:tcPr>
          <w:p>
            <w:pPr>
              <w:spacing w:after="0"/>
              <w:rPr>
                <w:sz w:val="21"/>
                <w:szCs w:val="21"/>
                <w:color w:val="auto"/>
              </w:rPr>
            </w:pPr>
          </w:p>
        </w:tc>
        <w:tc>
          <w:tcPr>
            <w:tcW w:w="1320" w:type="dxa"/>
            <w:vAlign w:val="bottom"/>
            <w:tcBorders>
              <w:right w:val="single" w:sz="8" w:color="434F69"/>
            </w:tcBorders>
            <w:shd w:val="clear" w:color="auto" w:fill="434F69"/>
          </w:tcPr>
          <w:p>
            <w:pPr>
              <w:spacing w:after="0"/>
              <w:rPr>
                <w:sz w:val="21"/>
                <w:szCs w:val="21"/>
                <w:color w:val="auto"/>
              </w:rPr>
            </w:pPr>
          </w:p>
        </w:tc>
        <w:tc>
          <w:tcPr>
            <w:tcW w:w="14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Percentage</w:t>
            </w:r>
          </w:p>
        </w:tc>
        <w:tc>
          <w:tcPr>
            <w:tcW w:w="0" w:type="dxa"/>
            <w:vAlign w:val="bottom"/>
          </w:tcPr>
          <w:p>
            <w:pPr>
              <w:spacing w:after="0"/>
              <w:rPr>
                <w:sz w:val="1"/>
                <w:szCs w:val="1"/>
                <w:color w:val="auto"/>
              </w:rPr>
            </w:pPr>
          </w:p>
        </w:tc>
      </w:tr>
      <w:tr>
        <w:trPr>
          <w:trHeight w:val="162"/>
        </w:trPr>
        <w:tc>
          <w:tcPr>
            <w:tcW w:w="440" w:type="dxa"/>
            <w:vAlign w:val="bottom"/>
            <w:tcBorders>
              <w:left w:val="single" w:sz="8" w:color="434F69"/>
            </w:tcBorders>
            <w:shd w:val="clear" w:color="auto" w:fill="434F69"/>
          </w:tcPr>
          <w:p>
            <w:pPr>
              <w:spacing w:after="0"/>
              <w:rPr>
                <w:sz w:val="14"/>
                <w:szCs w:val="14"/>
                <w:color w:val="auto"/>
              </w:rPr>
            </w:pPr>
          </w:p>
        </w:tc>
        <w:tc>
          <w:tcPr>
            <w:tcW w:w="1700" w:type="dxa"/>
            <w:vAlign w:val="bottom"/>
            <w:tcBorders>
              <w:right w:val="single" w:sz="8" w:color="434F69"/>
            </w:tcBorders>
            <w:shd w:val="clear" w:color="auto" w:fill="434F69"/>
          </w:tcPr>
          <w:p>
            <w:pPr>
              <w:spacing w:after="0"/>
              <w:rPr>
                <w:sz w:val="14"/>
                <w:szCs w:val="14"/>
                <w:color w:val="auto"/>
              </w:rPr>
            </w:pPr>
          </w:p>
        </w:tc>
        <w:tc>
          <w:tcPr>
            <w:tcW w:w="240" w:type="dxa"/>
            <w:vAlign w:val="bottom"/>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300" w:type="dxa"/>
            <w:vAlign w:val="bottom"/>
            <w:tcBorders>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Percentage</w:t>
            </w:r>
          </w:p>
        </w:tc>
        <w:tc>
          <w:tcPr>
            <w:tcW w:w="14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of</w:t>
            </w:r>
          </w:p>
        </w:tc>
        <w:tc>
          <w:tcPr>
            <w:tcW w:w="0" w:type="dxa"/>
            <w:vAlign w:val="bottom"/>
          </w:tcPr>
          <w:p>
            <w:pPr>
              <w:spacing w:after="0"/>
              <w:rPr>
                <w:sz w:val="1"/>
                <w:szCs w:val="1"/>
                <w:color w:val="auto"/>
              </w:rPr>
            </w:pPr>
          </w:p>
        </w:tc>
      </w:tr>
      <w:tr>
        <w:trPr>
          <w:trHeight w:val="162"/>
        </w:trPr>
        <w:tc>
          <w:tcPr>
            <w:tcW w:w="2140" w:type="dxa"/>
            <w:vAlign w:val="bottom"/>
            <w:tcBorders>
              <w:left w:val="single" w:sz="8" w:color="434F69"/>
              <w:right w:val="single" w:sz="8" w:color="434F69"/>
            </w:tcBorders>
            <w:gridSpan w:val="2"/>
            <w:shd w:val="clear" w:color="auto" w:fill="434F69"/>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240" w:type="dxa"/>
            <w:vAlign w:val="bottom"/>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Percentage</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9"/>
              </w:rPr>
              <w:t>Series A</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of Series A</w:t>
            </w:r>
          </w:p>
        </w:tc>
        <w:tc>
          <w:tcPr>
            <w:tcW w:w="14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Common</w:t>
            </w:r>
          </w:p>
        </w:tc>
        <w:tc>
          <w:tcPr>
            <w:tcW w:w="0" w:type="dxa"/>
            <w:vAlign w:val="bottom"/>
          </w:tcPr>
          <w:p>
            <w:pPr>
              <w:spacing w:after="0"/>
              <w:rPr>
                <w:sz w:val="1"/>
                <w:szCs w:val="1"/>
                <w:color w:val="auto"/>
              </w:rPr>
            </w:pPr>
          </w:p>
        </w:tc>
      </w:tr>
      <w:tr>
        <w:trPr>
          <w:trHeight w:val="162"/>
        </w:trPr>
        <w:tc>
          <w:tcPr>
            <w:tcW w:w="2140" w:type="dxa"/>
            <w:vAlign w:val="bottom"/>
            <w:tcBorders>
              <w:left w:val="single" w:sz="8" w:color="434F69"/>
              <w:right w:val="single" w:sz="8" w:color="434F69"/>
            </w:tcBorders>
            <w:gridSpan w:val="2"/>
            <w:shd w:val="clear" w:color="auto" w:fill="434F69"/>
          </w:tcPr>
          <w:p>
            <w:pPr>
              <w:ind w:left="60"/>
              <w:spacing w:after="0"/>
              <w:rPr>
                <w:sz w:val="20"/>
                <w:szCs w:val="20"/>
                <w:color w:val="auto"/>
              </w:rPr>
            </w:pPr>
            <w:r>
              <w:rPr>
                <w:rFonts w:ascii="Arial" w:cs="Arial" w:eastAsia="Arial" w:hAnsi="Arial"/>
                <w:sz w:val="14"/>
                <w:szCs w:val="14"/>
                <w:b w:val="1"/>
                <w:bCs w:val="1"/>
                <w:color w:val="FFFFFF"/>
              </w:rPr>
              <w:t>and Address (in the case of</w:t>
            </w:r>
          </w:p>
        </w:tc>
        <w:tc>
          <w:tcPr>
            <w:tcW w:w="240" w:type="dxa"/>
            <w:vAlign w:val="bottom"/>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jc w:val="right"/>
              <w:ind w:right="501"/>
              <w:spacing w:after="0"/>
              <w:rPr>
                <w:sz w:val="20"/>
                <w:szCs w:val="20"/>
                <w:color w:val="auto"/>
              </w:rPr>
            </w:pPr>
            <w:r>
              <w:rPr>
                <w:rFonts w:ascii="Arial" w:cs="Arial" w:eastAsia="Arial" w:hAnsi="Arial"/>
                <w:sz w:val="14"/>
                <w:szCs w:val="14"/>
                <w:b w:val="1"/>
                <w:bCs w:val="1"/>
                <w:color w:val="FFFFFF"/>
              </w:rPr>
              <w:t>Common</w:t>
            </w: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of Common</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Preferred</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Preferred</w:t>
            </w:r>
          </w:p>
        </w:tc>
        <w:tc>
          <w:tcPr>
            <w:tcW w:w="14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Unit</w:t>
            </w:r>
          </w:p>
        </w:tc>
        <w:tc>
          <w:tcPr>
            <w:tcW w:w="0" w:type="dxa"/>
            <w:vAlign w:val="bottom"/>
          </w:tcPr>
          <w:p>
            <w:pPr>
              <w:spacing w:after="0"/>
              <w:rPr>
                <w:sz w:val="1"/>
                <w:szCs w:val="1"/>
                <w:color w:val="auto"/>
              </w:rPr>
            </w:pPr>
          </w:p>
        </w:tc>
      </w:tr>
      <w:tr>
        <w:trPr>
          <w:trHeight w:val="216"/>
        </w:trPr>
        <w:tc>
          <w:tcPr>
            <w:tcW w:w="2140" w:type="dxa"/>
            <w:vAlign w:val="bottom"/>
            <w:tcBorders>
              <w:left w:val="single" w:sz="8" w:color="434F69"/>
              <w:right w:val="single" w:sz="8" w:color="434F69"/>
            </w:tcBorders>
            <w:gridSpan w:val="2"/>
            <w:shd w:val="clear" w:color="auto" w:fill="434F69"/>
          </w:tcPr>
          <w:p>
            <w:pPr>
              <w:ind w:left="60"/>
              <w:spacing w:after="0"/>
              <w:rPr>
                <w:sz w:val="20"/>
                <w:szCs w:val="20"/>
                <w:color w:val="auto"/>
              </w:rPr>
            </w:pPr>
            <w:r>
              <w:rPr>
                <w:rFonts w:ascii="Arial" w:cs="Arial" w:eastAsia="Arial" w:hAnsi="Arial"/>
                <w:sz w:val="14"/>
                <w:szCs w:val="14"/>
                <w:b w:val="1"/>
                <w:bCs w:val="1"/>
                <w:color w:val="FFFFFF"/>
              </w:rPr>
              <w:t>Owners of more than 5%)</w:t>
            </w:r>
          </w:p>
        </w:tc>
        <w:tc>
          <w:tcPr>
            <w:tcW w:w="240" w:type="dxa"/>
            <w:vAlign w:val="bottom"/>
            <w:shd w:val="clear" w:color="auto" w:fill="434F69"/>
          </w:tcPr>
          <w:p>
            <w:pPr>
              <w:spacing w:after="0"/>
              <w:rPr>
                <w:sz w:val="18"/>
                <w:szCs w:val="18"/>
                <w:color w:val="auto"/>
              </w:rPr>
            </w:pPr>
          </w:p>
        </w:tc>
        <w:tc>
          <w:tcPr>
            <w:tcW w:w="1340" w:type="dxa"/>
            <w:vAlign w:val="bottom"/>
            <w:tcBorders>
              <w:right w:val="single" w:sz="8" w:color="434F69"/>
            </w:tcBorders>
            <w:shd w:val="clear" w:color="auto" w:fill="434F69"/>
          </w:tcPr>
          <w:p>
            <w:pPr>
              <w:jc w:val="right"/>
              <w:ind w:right="621"/>
              <w:spacing w:after="0"/>
              <w:rPr>
                <w:sz w:val="20"/>
                <w:szCs w:val="20"/>
                <w:color w:val="auto"/>
              </w:rPr>
            </w:pPr>
            <w:r>
              <w:rPr>
                <w:rFonts w:ascii="Arial" w:cs="Arial" w:eastAsia="Arial" w:hAnsi="Arial"/>
                <w:sz w:val="14"/>
                <w:szCs w:val="14"/>
                <w:b w:val="1"/>
                <w:bCs w:val="1"/>
                <w:color w:val="FFFFFF"/>
              </w:rPr>
              <w:t>Units</w:t>
            </w: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Units</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Units</w:t>
            </w:r>
            <w:r>
              <w:rPr>
                <w:rFonts w:ascii="Arial" w:cs="Arial" w:eastAsia="Arial" w:hAnsi="Arial"/>
                <w:sz w:val="17"/>
                <w:szCs w:val="17"/>
                <w:b w:val="1"/>
                <w:bCs w:val="1"/>
                <w:color w:val="FFFFFF"/>
                <w:w w:val="94"/>
                <w:vertAlign w:val="superscript"/>
              </w:rPr>
              <w:t>(1)</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Units</w:t>
            </w:r>
          </w:p>
        </w:tc>
        <w:tc>
          <w:tcPr>
            <w:tcW w:w="14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Equivalents**</w:t>
            </w:r>
          </w:p>
        </w:tc>
        <w:tc>
          <w:tcPr>
            <w:tcW w:w="0" w:type="dxa"/>
            <w:vAlign w:val="bottom"/>
          </w:tcPr>
          <w:p>
            <w:pPr>
              <w:spacing w:after="0"/>
              <w:rPr>
                <w:sz w:val="1"/>
                <w:szCs w:val="1"/>
                <w:color w:val="auto"/>
              </w:rPr>
            </w:pPr>
          </w:p>
        </w:tc>
      </w:tr>
      <w:tr>
        <w:trPr>
          <w:trHeight w:val="270"/>
        </w:trPr>
        <w:tc>
          <w:tcPr>
            <w:tcW w:w="214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Plains AAP, L.P.</w:t>
            </w:r>
            <w:r>
              <w:rPr>
                <w:rFonts w:ascii="Arial" w:cs="Arial" w:eastAsia="Arial" w:hAnsi="Arial"/>
                <w:sz w:val="19"/>
                <w:szCs w:val="19"/>
                <w:color w:val="auto"/>
                <w:vertAlign w:val="superscript"/>
              </w:rPr>
              <w:t>(2)</w:t>
            </w:r>
          </w:p>
        </w:tc>
        <w:tc>
          <w:tcPr>
            <w:tcW w:w="1580" w:type="dxa"/>
            <w:vAlign w:val="bottom"/>
            <w:tcBorders>
              <w:bottom w:val="single" w:sz="8" w:color="434F69"/>
              <w:right w:val="single" w:sz="8" w:color="434F69"/>
            </w:tcBorders>
            <w:gridSpan w:val="2"/>
            <w:shd w:val="clear" w:color="auto" w:fill="D9DCE1"/>
          </w:tcPr>
          <w:p>
            <w:pPr>
              <w:jc w:val="right"/>
              <w:ind w:right="341"/>
              <w:spacing w:after="0"/>
              <w:rPr>
                <w:sz w:val="20"/>
                <w:szCs w:val="20"/>
                <w:color w:val="auto"/>
              </w:rPr>
            </w:pPr>
            <w:r>
              <w:rPr>
                <w:rFonts w:ascii="Arial" w:cs="Arial" w:eastAsia="Arial" w:hAnsi="Arial"/>
                <w:sz w:val="16"/>
                <w:szCs w:val="16"/>
                <w:color w:val="auto"/>
              </w:rPr>
              <w:t>241,485,177</w:t>
            </w:r>
          </w:p>
        </w:tc>
        <w:tc>
          <w:tcPr>
            <w:tcW w:w="1300" w:type="dxa"/>
            <w:vAlign w:val="bottom"/>
            <w:tcBorders>
              <w:bottom w:val="single" w:sz="8" w:color="434F69"/>
              <w:right w:val="single" w:sz="8" w:color="434F69"/>
            </w:tcBorders>
            <w:shd w:val="clear" w:color="auto" w:fill="D9DCE1"/>
          </w:tcPr>
          <w:p>
            <w:pPr>
              <w:jc w:val="right"/>
              <w:ind w:right="280"/>
              <w:spacing w:after="0"/>
              <w:rPr>
                <w:sz w:val="20"/>
                <w:szCs w:val="20"/>
                <w:color w:val="auto"/>
              </w:rPr>
            </w:pPr>
            <w:r>
              <w:rPr>
                <w:rFonts w:ascii="Arial" w:cs="Arial" w:eastAsia="Arial" w:hAnsi="Arial"/>
                <w:sz w:val="16"/>
                <w:szCs w:val="16"/>
                <w:color w:val="auto"/>
              </w:rPr>
              <w:t>34.4%</w:t>
            </w:r>
          </w:p>
        </w:tc>
        <w:tc>
          <w:tcPr>
            <w:tcW w:w="1320" w:type="dxa"/>
            <w:vAlign w:val="bottom"/>
            <w:tcBorders>
              <w:bottom w:val="single" w:sz="8" w:color="434F69"/>
              <w:right w:val="single" w:sz="8" w:color="434F69"/>
            </w:tcBorders>
            <w:shd w:val="clear" w:color="auto" w:fill="D9DCE1"/>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34F69"/>
              <w:right w:val="single" w:sz="8" w:color="434F69"/>
            </w:tcBorders>
            <w:shd w:val="clear" w:color="auto" w:fill="D9DCE1"/>
          </w:tcPr>
          <w:p>
            <w:pPr>
              <w:jc w:val="right"/>
              <w:ind w:right="321"/>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64"/>
        </w:trPr>
        <w:tc>
          <w:tcPr>
            <w:tcW w:w="2140" w:type="dxa"/>
            <w:vAlign w:val="bottom"/>
            <w:tcBorders>
              <w:left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ALPS Advisors, Inc.</w:t>
            </w:r>
            <w:r>
              <w:rPr>
                <w:rFonts w:ascii="Arial" w:cs="Arial" w:eastAsia="Arial" w:hAnsi="Arial"/>
                <w:sz w:val="19"/>
                <w:szCs w:val="19"/>
                <w:color w:val="auto"/>
                <w:vertAlign w:val="superscript"/>
              </w:rPr>
              <w:t>(3)</w:t>
            </w:r>
          </w:p>
        </w:tc>
        <w:tc>
          <w:tcPr>
            <w:tcW w:w="1580" w:type="dxa"/>
            <w:vAlign w:val="bottom"/>
            <w:tcBorders>
              <w:bottom w:val="single" w:sz="8" w:color="434F69"/>
              <w:right w:val="single" w:sz="8" w:color="434F69"/>
            </w:tcBorders>
            <w:gridSpan w:val="2"/>
          </w:tcPr>
          <w:p>
            <w:pPr>
              <w:jc w:val="right"/>
              <w:ind w:right="341"/>
              <w:spacing w:after="0"/>
              <w:rPr>
                <w:sz w:val="20"/>
                <w:szCs w:val="20"/>
                <w:color w:val="auto"/>
              </w:rPr>
            </w:pPr>
            <w:r>
              <w:rPr>
                <w:rFonts w:ascii="Arial" w:cs="Arial" w:eastAsia="Arial" w:hAnsi="Arial"/>
                <w:sz w:val="16"/>
                <w:szCs w:val="16"/>
                <w:color w:val="auto"/>
              </w:rPr>
              <w:t>52,508,962</w:t>
            </w:r>
          </w:p>
        </w:tc>
        <w:tc>
          <w:tcPr>
            <w:tcW w:w="1300" w:type="dxa"/>
            <w:vAlign w:val="bottom"/>
            <w:tcBorders>
              <w:bottom w:val="single" w:sz="8" w:color="434F69"/>
              <w:right w:val="single" w:sz="8" w:color="434F69"/>
            </w:tcBorders>
          </w:tcPr>
          <w:p>
            <w:pPr>
              <w:jc w:val="right"/>
              <w:ind w:right="280"/>
              <w:spacing w:after="0"/>
              <w:rPr>
                <w:sz w:val="20"/>
                <w:szCs w:val="20"/>
                <w:color w:val="auto"/>
              </w:rPr>
            </w:pPr>
            <w:r>
              <w:rPr>
                <w:rFonts w:ascii="Arial" w:cs="Arial" w:eastAsia="Arial" w:hAnsi="Arial"/>
                <w:sz w:val="16"/>
                <w:szCs w:val="16"/>
                <w:color w:val="auto"/>
              </w:rPr>
              <w:t>7.5%</w:t>
            </w:r>
          </w:p>
        </w:tc>
        <w:tc>
          <w:tcPr>
            <w:tcW w:w="1320" w:type="dxa"/>
            <w:vAlign w:val="bottom"/>
            <w:tcBorders>
              <w:bottom w:val="single" w:sz="8" w:color="434F69"/>
              <w:right w:val="single" w:sz="8" w:color="434F69"/>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34F69"/>
              <w:right w:val="single" w:sz="8" w:color="434F69"/>
            </w:tcBorders>
          </w:tcPr>
          <w:p>
            <w:pPr>
              <w:jc w:val="right"/>
              <w:ind w:right="321"/>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63"/>
        </w:trPr>
        <w:tc>
          <w:tcPr>
            <w:tcW w:w="214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EnCap Partners LLC</w:t>
            </w:r>
            <w:r>
              <w:rPr>
                <w:rFonts w:ascii="Arial" w:cs="Arial" w:eastAsia="Arial" w:hAnsi="Arial"/>
                <w:sz w:val="19"/>
                <w:szCs w:val="19"/>
                <w:color w:val="auto"/>
                <w:vertAlign w:val="superscript"/>
              </w:rPr>
              <w:t>(4)</w:t>
            </w:r>
          </w:p>
        </w:tc>
        <w:tc>
          <w:tcPr>
            <w:tcW w:w="240" w:type="dxa"/>
            <w:vAlign w:val="bottom"/>
            <w:tcBorders>
              <w:bottom w:val="single" w:sz="8" w:color="434F69"/>
            </w:tcBorders>
            <w:shd w:val="clear" w:color="auto" w:fill="D9DCE1"/>
          </w:tcPr>
          <w:p>
            <w:pPr>
              <w:spacing w:after="0"/>
              <w:rPr>
                <w:sz w:val="22"/>
                <w:szCs w:val="22"/>
                <w:color w:val="auto"/>
              </w:rPr>
            </w:pPr>
          </w:p>
        </w:tc>
        <w:tc>
          <w:tcPr>
            <w:tcW w:w="1340" w:type="dxa"/>
            <w:vAlign w:val="bottom"/>
            <w:tcBorders>
              <w:bottom w:val="single" w:sz="8" w:color="434F69"/>
              <w:right w:val="single" w:sz="8" w:color="434F69"/>
            </w:tcBorders>
            <w:shd w:val="clear" w:color="auto" w:fill="D9DCE1"/>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180"/>
              <w:spacing w:after="0"/>
              <w:rPr>
                <w:sz w:val="20"/>
                <w:szCs w:val="20"/>
                <w:color w:val="auto"/>
              </w:rPr>
            </w:pPr>
            <w:r>
              <w:rPr>
                <w:rFonts w:ascii="Arial" w:cs="Arial" w:eastAsia="Arial" w:hAnsi="Arial"/>
                <w:sz w:val="16"/>
                <w:szCs w:val="16"/>
                <w:color w:val="auto"/>
              </w:rPr>
              <w:t>25,357,120</w:t>
            </w:r>
          </w:p>
        </w:tc>
        <w:tc>
          <w:tcPr>
            <w:tcW w:w="1320" w:type="dxa"/>
            <w:vAlign w:val="bottom"/>
            <w:tcBorders>
              <w:bottom w:val="single" w:sz="8" w:color="434F69"/>
              <w:right w:val="single" w:sz="8" w:color="434F69"/>
            </w:tcBorders>
            <w:shd w:val="clear" w:color="auto" w:fill="D9DCE1"/>
          </w:tcPr>
          <w:p>
            <w:pPr>
              <w:jc w:val="right"/>
              <w:ind w:right="280"/>
              <w:spacing w:after="0"/>
              <w:rPr>
                <w:sz w:val="20"/>
                <w:szCs w:val="20"/>
                <w:color w:val="auto"/>
              </w:rPr>
            </w:pPr>
            <w:r>
              <w:rPr>
                <w:rFonts w:ascii="Arial" w:cs="Arial" w:eastAsia="Arial" w:hAnsi="Arial"/>
                <w:sz w:val="16"/>
                <w:szCs w:val="16"/>
                <w:color w:val="auto"/>
              </w:rPr>
              <w:t>35.7%</w:t>
            </w:r>
          </w:p>
        </w:tc>
        <w:tc>
          <w:tcPr>
            <w:tcW w:w="1420" w:type="dxa"/>
            <w:vAlign w:val="bottom"/>
            <w:tcBorders>
              <w:bottom w:val="single" w:sz="8" w:color="434F69"/>
              <w:right w:val="single" w:sz="8" w:color="434F69"/>
            </w:tcBorders>
            <w:shd w:val="clear" w:color="auto" w:fill="D9DCE1"/>
          </w:tcPr>
          <w:p>
            <w:pPr>
              <w:jc w:val="right"/>
              <w:ind w:right="32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7"/>
        </w:trPr>
        <w:tc>
          <w:tcPr>
            <w:tcW w:w="2140" w:type="dxa"/>
            <w:vAlign w:val="bottom"/>
            <w:tcBorders>
              <w:left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EMG Fund IV PAA</w:t>
            </w:r>
          </w:p>
        </w:tc>
        <w:tc>
          <w:tcPr>
            <w:tcW w:w="240" w:type="dxa"/>
            <w:vAlign w:val="bottom"/>
          </w:tcPr>
          <w:p>
            <w:pPr>
              <w:spacing w:after="0"/>
              <w:rPr>
                <w:sz w:val="16"/>
                <w:szCs w:val="16"/>
                <w:color w:val="auto"/>
              </w:rPr>
            </w:pPr>
          </w:p>
        </w:tc>
        <w:tc>
          <w:tcPr>
            <w:tcW w:w="1340" w:type="dxa"/>
            <w:vAlign w:val="bottom"/>
            <w:tcBorders>
              <w:right w:val="single" w:sz="8" w:color="434F69"/>
            </w:tcBorders>
          </w:tcPr>
          <w:p>
            <w:pPr>
              <w:spacing w:after="0"/>
              <w:rPr>
                <w:sz w:val="16"/>
                <w:szCs w:val="16"/>
                <w:color w:val="auto"/>
              </w:rPr>
            </w:pPr>
          </w:p>
        </w:tc>
        <w:tc>
          <w:tcPr>
            <w:tcW w:w="1300" w:type="dxa"/>
            <w:vAlign w:val="bottom"/>
            <w:tcBorders>
              <w:right w:val="single" w:sz="8" w:color="434F69"/>
            </w:tcBorders>
          </w:tcPr>
          <w:p>
            <w:pPr>
              <w:spacing w:after="0"/>
              <w:rPr>
                <w:sz w:val="16"/>
                <w:szCs w:val="16"/>
                <w:color w:val="auto"/>
              </w:rPr>
            </w:pPr>
          </w:p>
        </w:tc>
        <w:tc>
          <w:tcPr>
            <w:tcW w:w="1320" w:type="dxa"/>
            <w:vAlign w:val="bottom"/>
            <w:tcBorders>
              <w:right w:val="single" w:sz="8" w:color="434F69"/>
            </w:tcBorders>
          </w:tcPr>
          <w:p>
            <w:pPr>
              <w:spacing w:after="0"/>
              <w:rPr>
                <w:sz w:val="16"/>
                <w:szCs w:val="16"/>
                <w:color w:val="auto"/>
              </w:rPr>
            </w:pPr>
          </w:p>
        </w:tc>
        <w:tc>
          <w:tcPr>
            <w:tcW w:w="1320" w:type="dxa"/>
            <w:vAlign w:val="bottom"/>
            <w:tcBorders>
              <w:right w:val="single" w:sz="8" w:color="434F69"/>
            </w:tcBorders>
          </w:tcPr>
          <w:p>
            <w:pPr>
              <w:spacing w:after="0"/>
              <w:rPr>
                <w:sz w:val="16"/>
                <w:szCs w:val="16"/>
                <w:color w:val="auto"/>
              </w:rPr>
            </w:pPr>
          </w:p>
        </w:tc>
        <w:tc>
          <w:tcPr>
            <w:tcW w:w="1420" w:type="dxa"/>
            <w:vAlign w:val="bottom"/>
            <w:tcBorders>
              <w:right w:val="single" w:sz="8" w:color="434F69"/>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140" w:type="dxa"/>
            <w:vAlign w:val="bottom"/>
            <w:tcBorders>
              <w:left w:val="single" w:sz="8" w:color="434F69"/>
              <w:bottom w:val="single" w:sz="8" w:color="434F69"/>
              <w:right w:val="single" w:sz="8" w:color="434F69"/>
            </w:tcBorders>
            <w:gridSpan w:val="2"/>
          </w:tcPr>
          <w:p>
            <w:pPr>
              <w:ind w:left="220"/>
              <w:spacing w:after="0"/>
              <w:rPr>
                <w:sz w:val="20"/>
                <w:szCs w:val="20"/>
                <w:color w:val="auto"/>
              </w:rPr>
            </w:pPr>
            <w:r>
              <w:rPr>
                <w:rFonts w:ascii="Arial" w:cs="Arial" w:eastAsia="Arial" w:hAnsi="Arial"/>
                <w:sz w:val="16"/>
                <w:szCs w:val="16"/>
                <w:color w:val="auto"/>
              </w:rPr>
              <w:t>Holdings, LLC</w:t>
            </w:r>
            <w:r>
              <w:rPr>
                <w:rFonts w:ascii="Arial" w:cs="Arial" w:eastAsia="Arial" w:hAnsi="Arial"/>
                <w:sz w:val="19"/>
                <w:szCs w:val="19"/>
                <w:color w:val="auto"/>
                <w:vertAlign w:val="superscript"/>
              </w:rPr>
              <w:t>(5)</w:t>
            </w:r>
          </w:p>
        </w:tc>
        <w:tc>
          <w:tcPr>
            <w:tcW w:w="240" w:type="dxa"/>
            <w:vAlign w:val="bottom"/>
            <w:tcBorders>
              <w:bottom w:val="single" w:sz="8" w:color="434F69"/>
            </w:tcBorders>
          </w:tcPr>
          <w:p>
            <w:pPr>
              <w:spacing w:after="0"/>
              <w:rPr>
                <w:sz w:val="21"/>
                <w:szCs w:val="21"/>
                <w:color w:val="auto"/>
              </w:rPr>
            </w:pPr>
          </w:p>
        </w:tc>
        <w:tc>
          <w:tcPr>
            <w:tcW w:w="1340" w:type="dxa"/>
            <w:vAlign w:val="bottom"/>
            <w:tcBorders>
              <w:bottom w:val="single" w:sz="8" w:color="434F69"/>
              <w:right w:val="single" w:sz="8" w:color="434F69"/>
            </w:tcBorders>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180"/>
              <w:spacing w:after="0"/>
              <w:rPr>
                <w:sz w:val="20"/>
                <w:szCs w:val="20"/>
                <w:color w:val="auto"/>
              </w:rPr>
            </w:pPr>
            <w:r>
              <w:rPr>
                <w:rFonts w:ascii="Arial" w:cs="Arial" w:eastAsia="Arial" w:hAnsi="Arial"/>
                <w:sz w:val="16"/>
                <w:szCs w:val="16"/>
                <w:color w:val="auto"/>
              </w:rPr>
              <w:t>20,376,259</w:t>
            </w:r>
          </w:p>
        </w:tc>
        <w:tc>
          <w:tcPr>
            <w:tcW w:w="1320" w:type="dxa"/>
            <w:vAlign w:val="bottom"/>
            <w:tcBorders>
              <w:bottom w:val="single" w:sz="8" w:color="434F69"/>
              <w:right w:val="single" w:sz="8" w:color="434F69"/>
            </w:tcBorders>
          </w:tcPr>
          <w:p>
            <w:pPr>
              <w:jc w:val="right"/>
              <w:ind w:right="280"/>
              <w:spacing w:after="0"/>
              <w:rPr>
                <w:sz w:val="20"/>
                <w:szCs w:val="20"/>
                <w:color w:val="auto"/>
              </w:rPr>
            </w:pPr>
            <w:r>
              <w:rPr>
                <w:rFonts w:ascii="Arial" w:cs="Arial" w:eastAsia="Arial" w:hAnsi="Arial"/>
                <w:sz w:val="16"/>
                <w:szCs w:val="16"/>
                <w:color w:val="auto"/>
              </w:rPr>
              <w:t>28.7%</w:t>
            </w:r>
          </w:p>
        </w:tc>
        <w:tc>
          <w:tcPr>
            <w:tcW w:w="1420" w:type="dxa"/>
            <w:vAlign w:val="bottom"/>
            <w:tcBorders>
              <w:bottom w:val="single" w:sz="8" w:color="434F69"/>
              <w:right w:val="single" w:sz="8" w:color="434F69"/>
            </w:tcBorders>
          </w:tcPr>
          <w:p>
            <w:pPr>
              <w:jc w:val="right"/>
              <w:ind w:right="32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7"/>
        </w:trPr>
        <w:tc>
          <w:tcPr>
            <w:tcW w:w="2140" w:type="dxa"/>
            <w:vAlign w:val="bottom"/>
            <w:tcBorders>
              <w:left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FR XIII PAA Holdings</w:t>
            </w:r>
          </w:p>
        </w:tc>
        <w:tc>
          <w:tcPr>
            <w:tcW w:w="240" w:type="dxa"/>
            <w:vAlign w:val="bottom"/>
            <w:shd w:val="clear" w:color="auto" w:fill="D9DCE1"/>
          </w:tcPr>
          <w:p>
            <w:pPr>
              <w:spacing w:after="0"/>
              <w:rPr>
                <w:sz w:val="16"/>
                <w:szCs w:val="16"/>
                <w:color w:val="auto"/>
              </w:rPr>
            </w:pPr>
          </w:p>
        </w:tc>
        <w:tc>
          <w:tcPr>
            <w:tcW w:w="1340" w:type="dxa"/>
            <w:vAlign w:val="bottom"/>
            <w:tcBorders>
              <w:right w:val="single" w:sz="8" w:color="434F69"/>
            </w:tcBorders>
            <w:shd w:val="clear" w:color="auto" w:fill="D9DCE1"/>
          </w:tcPr>
          <w:p>
            <w:pPr>
              <w:spacing w:after="0"/>
              <w:rPr>
                <w:sz w:val="16"/>
                <w:szCs w:val="16"/>
                <w:color w:val="auto"/>
              </w:rPr>
            </w:pPr>
          </w:p>
        </w:tc>
        <w:tc>
          <w:tcPr>
            <w:tcW w:w="1300" w:type="dxa"/>
            <w:vAlign w:val="bottom"/>
            <w:tcBorders>
              <w:right w:val="single" w:sz="8" w:color="434F69"/>
            </w:tcBorders>
            <w:shd w:val="clear" w:color="auto" w:fill="D9DCE1"/>
          </w:tcPr>
          <w:p>
            <w:pPr>
              <w:spacing w:after="0"/>
              <w:rPr>
                <w:sz w:val="16"/>
                <w:szCs w:val="16"/>
                <w:color w:val="auto"/>
              </w:rPr>
            </w:pPr>
          </w:p>
        </w:tc>
        <w:tc>
          <w:tcPr>
            <w:tcW w:w="1320" w:type="dxa"/>
            <w:vAlign w:val="bottom"/>
            <w:tcBorders>
              <w:right w:val="single" w:sz="8" w:color="434F69"/>
            </w:tcBorders>
            <w:shd w:val="clear" w:color="auto" w:fill="D9DCE1"/>
          </w:tcPr>
          <w:p>
            <w:pPr>
              <w:spacing w:after="0"/>
              <w:rPr>
                <w:sz w:val="16"/>
                <w:szCs w:val="16"/>
                <w:color w:val="auto"/>
              </w:rPr>
            </w:pPr>
          </w:p>
        </w:tc>
        <w:tc>
          <w:tcPr>
            <w:tcW w:w="1320" w:type="dxa"/>
            <w:vAlign w:val="bottom"/>
            <w:tcBorders>
              <w:right w:val="single" w:sz="8" w:color="434F69"/>
            </w:tcBorders>
            <w:shd w:val="clear" w:color="auto" w:fill="D9DCE1"/>
          </w:tcPr>
          <w:p>
            <w:pPr>
              <w:spacing w:after="0"/>
              <w:rPr>
                <w:sz w:val="16"/>
                <w:szCs w:val="16"/>
                <w:color w:val="auto"/>
              </w:rPr>
            </w:pPr>
          </w:p>
        </w:tc>
        <w:tc>
          <w:tcPr>
            <w:tcW w:w="1420" w:type="dxa"/>
            <w:vAlign w:val="bottom"/>
            <w:tcBorders>
              <w:right w:val="single" w:sz="8" w:color="434F69"/>
            </w:tcBorders>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140" w:type="dxa"/>
            <w:vAlign w:val="bottom"/>
            <w:tcBorders>
              <w:left w:val="single" w:sz="8" w:color="434F69"/>
              <w:bottom w:val="single" w:sz="8" w:color="434F69"/>
              <w:right w:val="single" w:sz="8" w:color="434F69"/>
            </w:tcBorders>
            <w:gridSpan w:val="2"/>
            <w:shd w:val="clear" w:color="auto" w:fill="D9DCE1"/>
          </w:tcPr>
          <w:p>
            <w:pPr>
              <w:ind w:left="220"/>
              <w:spacing w:after="0"/>
              <w:rPr>
                <w:sz w:val="20"/>
                <w:szCs w:val="20"/>
                <w:color w:val="auto"/>
              </w:rPr>
            </w:pPr>
            <w:r>
              <w:rPr>
                <w:rFonts w:ascii="Arial" w:cs="Arial" w:eastAsia="Arial" w:hAnsi="Arial"/>
                <w:sz w:val="16"/>
                <w:szCs w:val="16"/>
                <w:color w:val="auto"/>
              </w:rPr>
              <w:t>Holdco LLC</w:t>
            </w:r>
            <w:r>
              <w:rPr>
                <w:rFonts w:ascii="Arial" w:cs="Arial" w:eastAsia="Arial" w:hAnsi="Arial"/>
                <w:sz w:val="19"/>
                <w:szCs w:val="19"/>
                <w:color w:val="auto"/>
                <w:vertAlign w:val="superscript"/>
              </w:rPr>
              <w:t>(6)</w:t>
            </w:r>
          </w:p>
        </w:tc>
        <w:tc>
          <w:tcPr>
            <w:tcW w:w="240" w:type="dxa"/>
            <w:vAlign w:val="bottom"/>
            <w:tcBorders>
              <w:bottom w:val="single" w:sz="8" w:color="434F69"/>
            </w:tcBorders>
            <w:shd w:val="clear" w:color="auto" w:fill="D9DCE1"/>
          </w:tcPr>
          <w:p>
            <w:pPr>
              <w:spacing w:after="0"/>
              <w:rPr>
                <w:sz w:val="21"/>
                <w:szCs w:val="21"/>
                <w:color w:val="auto"/>
              </w:rPr>
            </w:pPr>
          </w:p>
        </w:tc>
        <w:tc>
          <w:tcPr>
            <w:tcW w:w="1340" w:type="dxa"/>
            <w:vAlign w:val="bottom"/>
            <w:tcBorders>
              <w:bottom w:val="single" w:sz="8" w:color="434F69"/>
              <w:right w:val="single" w:sz="8" w:color="434F69"/>
            </w:tcBorders>
            <w:shd w:val="clear" w:color="auto" w:fill="D9DCE1"/>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180"/>
              <w:spacing w:after="0"/>
              <w:rPr>
                <w:sz w:val="20"/>
                <w:szCs w:val="20"/>
                <w:color w:val="auto"/>
              </w:rPr>
            </w:pPr>
            <w:r>
              <w:rPr>
                <w:rFonts w:ascii="Arial" w:cs="Arial" w:eastAsia="Arial" w:hAnsi="Arial"/>
                <w:sz w:val="16"/>
                <w:szCs w:val="16"/>
                <w:color w:val="auto"/>
              </w:rPr>
              <w:t>12,678,560</w:t>
            </w:r>
          </w:p>
        </w:tc>
        <w:tc>
          <w:tcPr>
            <w:tcW w:w="1320" w:type="dxa"/>
            <w:vAlign w:val="bottom"/>
            <w:tcBorders>
              <w:bottom w:val="single" w:sz="8" w:color="434F69"/>
              <w:right w:val="single" w:sz="8" w:color="434F69"/>
            </w:tcBorders>
            <w:shd w:val="clear" w:color="auto" w:fill="D9DCE1"/>
          </w:tcPr>
          <w:p>
            <w:pPr>
              <w:jc w:val="right"/>
              <w:ind w:right="280"/>
              <w:spacing w:after="0"/>
              <w:rPr>
                <w:sz w:val="20"/>
                <w:szCs w:val="20"/>
                <w:color w:val="auto"/>
              </w:rPr>
            </w:pPr>
            <w:r>
              <w:rPr>
                <w:rFonts w:ascii="Arial" w:cs="Arial" w:eastAsia="Arial" w:hAnsi="Arial"/>
                <w:sz w:val="16"/>
                <w:szCs w:val="16"/>
                <w:color w:val="auto"/>
              </w:rPr>
              <w:t>17.8%</w:t>
            </w:r>
          </w:p>
        </w:tc>
        <w:tc>
          <w:tcPr>
            <w:tcW w:w="1420" w:type="dxa"/>
            <w:vAlign w:val="bottom"/>
            <w:tcBorders>
              <w:bottom w:val="single" w:sz="8" w:color="434F69"/>
              <w:right w:val="single" w:sz="8" w:color="434F69"/>
            </w:tcBorders>
            <w:shd w:val="clear" w:color="auto" w:fill="D9DCE1"/>
          </w:tcPr>
          <w:p>
            <w:pPr>
              <w:jc w:val="right"/>
              <w:ind w:right="32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63"/>
        </w:trPr>
        <w:tc>
          <w:tcPr>
            <w:tcW w:w="2140" w:type="dxa"/>
            <w:vAlign w:val="bottom"/>
            <w:tcBorders>
              <w:left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Stonepeak Partners LLC</w:t>
            </w:r>
            <w:r>
              <w:rPr>
                <w:rFonts w:ascii="Arial" w:cs="Arial" w:eastAsia="Arial" w:hAnsi="Arial"/>
                <w:sz w:val="19"/>
                <w:szCs w:val="19"/>
                <w:color w:val="auto"/>
                <w:vertAlign w:val="superscript"/>
              </w:rPr>
              <w:t>(7)</w:t>
            </w:r>
          </w:p>
        </w:tc>
        <w:tc>
          <w:tcPr>
            <w:tcW w:w="240" w:type="dxa"/>
            <w:vAlign w:val="bottom"/>
            <w:tcBorders>
              <w:bottom w:val="single" w:sz="8" w:color="434F69"/>
            </w:tcBorders>
          </w:tcPr>
          <w:p>
            <w:pPr>
              <w:spacing w:after="0"/>
              <w:rPr>
                <w:sz w:val="22"/>
                <w:szCs w:val="22"/>
                <w:color w:val="auto"/>
              </w:rPr>
            </w:pPr>
          </w:p>
        </w:tc>
        <w:tc>
          <w:tcPr>
            <w:tcW w:w="1340" w:type="dxa"/>
            <w:vAlign w:val="bottom"/>
            <w:tcBorders>
              <w:bottom w:val="single" w:sz="8" w:color="434F69"/>
              <w:right w:val="single" w:sz="8" w:color="434F69"/>
            </w:tcBorders>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180"/>
              <w:spacing w:after="0"/>
              <w:rPr>
                <w:sz w:val="20"/>
                <w:szCs w:val="20"/>
                <w:color w:val="auto"/>
              </w:rPr>
            </w:pPr>
            <w:r>
              <w:rPr>
                <w:rFonts w:ascii="Arial" w:cs="Arial" w:eastAsia="Arial" w:hAnsi="Arial"/>
                <w:sz w:val="16"/>
                <w:szCs w:val="16"/>
                <w:color w:val="auto"/>
              </w:rPr>
              <w:t>6,339,278</w:t>
            </w:r>
          </w:p>
        </w:tc>
        <w:tc>
          <w:tcPr>
            <w:tcW w:w="1320" w:type="dxa"/>
            <w:vAlign w:val="bottom"/>
            <w:tcBorders>
              <w:bottom w:val="single" w:sz="8" w:color="434F69"/>
              <w:right w:val="single" w:sz="8" w:color="434F69"/>
            </w:tcBorders>
          </w:tcPr>
          <w:p>
            <w:pPr>
              <w:jc w:val="right"/>
              <w:ind w:right="280"/>
              <w:spacing w:after="0"/>
              <w:rPr>
                <w:sz w:val="20"/>
                <w:szCs w:val="20"/>
                <w:color w:val="auto"/>
              </w:rPr>
            </w:pPr>
            <w:r>
              <w:rPr>
                <w:rFonts w:ascii="Arial" w:cs="Arial" w:eastAsia="Arial" w:hAnsi="Arial"/>
                <w:sz w:val="16"/>
                <w:szCs w:val="16"/>
                <w:color w:val="auto"/>
              </w:rPr>
              <w:t>8.9%</w:t>
            </w:r>
          </w:p>
        </w:tc>
        <w:tc>
          <w:tcPr>
            <w:tcW w:w="1420" w:type="dxa"/>
            <w:vAlign w:val="bottom"/>
            <w:tcBorders>
              <w:bottom w:val="single" w:sz="8" w:color="434F69"/>
              <w:right w:val="single" w:sz="8" w:color="434F69"/>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140" w:type="dxa"/>
            <w:vAlign w:val="bottom"/>
            <w:tcBorders>
              <w:left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Kaiser Foundation</w:t>
            </w:r>
          </w:p>
        </w:tc>
        <w:tc>
          <w:tcPr>
            <w:tcW w:w="240" w:type="dxa"/>
            <w:vAlign w:val="bottom"/>
            <w:shd w:val="clear" w:color="auto" w:fill="D9DCE1"/>
          </w:tcPr>
          <w:p>
            <w:pPr>
              <w:spacing w:after="0"/>
              <w:rPr>
                <w:sz w:val="16"/>
                <w:szCs w:val="16"/>
                <w:color w:val="auto"/>
              </w:rPr>
            </w:pPr>
          </w:p>
        </w:tc>
        <w:tc>
          <w:tcPr>
            <w:tcW w:w="1340" w:type="dxa"/>
            <w:vAlign w:val="bottom"/>
            <w:tcBorders>
              <w:right w:val="single" w:sz="8" w:color="434F69"/>
            </w:tcBorders>
            <w:shd w:val="clear" w:color="auto" w:fill="D9DCE1"/>
          </w:tcPr>
          <w:p>
            <w:pPr>
              <w:spacing w:after="0"/>
              <w:rPr>
                <w:sz w:val="16"/>
                <w:szCs w:val="16"/>
                <w:color w:val="auto"/>
              </w:rPr>
            </w:pPr>
          </w:p>
        </w:tc>
        <w:tc>
          <w:tcPr>
            <w:tcW w:w="1300" w:type="dxa"/>
            <w:vAlign w:val="bottom"/>
            <w:tcBorders>
              <w:right w:val="single" w:sz="8" w:color="434F69"/>
            </w:tcBorders>
            <w:shd w:val="clear" w:color="auto" w:fill="D9DCE1"/>
          </w:tcPr>
          <w:p>
            <w:pPr>
              <w:spacing w:after="0"/>
              <w:rPr>
                <w:sz w:val="16"/>
                <w:szCs w:val="16"/>
                <w:color w:val="auto"/>
              </w:rPr>
            </w:pPr>
          </w:p>
        </w:tc>
        <w:tc>
          <w:tcPr>
            <w:tcW w:w="1320" w:type="dxa"/>
            <w:vAlign w:val="bottom"/>
            <w:tcBorders>
              <w:right w:val="single" w:sz="8" w:color="434F69"/>
            </w:tcBorders>
            <w:shd w:val="clear" w:color="auto" w:fill="D9DCE1"/>
          </w:tcPr>
          <w:p>
            <w:pPr>
              <w:spacing w:after="0"/>
              <w:rPr>
                <w:sz w:val="16"/>
                <w:szCs w:val="16"/>
                <w:color w:val="auto"/>
              </w:rPr>
            </w:pPr>
          </w:p>
        </w:tc>
        <w:tc>
          <w:tcPr>
            <w:tcW w:w="1320" w:type="dxa"/>
            <w:vAlign w:val="bottom"/>
            <w:tcBorders>
              <w:right w:val="single" w:sz="8" w:color="434F69"/>
            </w:tcBorders>
            <w:shd w:val="clear" w:color="auto" w:fill="D9DCE1"/>
          </w:tcPr>
          <w:p>
            <w:pPr>
              <w:spacing w:after="0"/>
              <w:rPr>
                <w:sz w:val="16"/>
                <w:szCs w:val="16"/>
                <w:color w:val="auto"/>
              </w:rPr>
            </w:pPr>
          </w:p>
        </w:tc>
        <w:tc>
          <w:tcPr>
            <w:tcW w:w="1420" w:type="dxa"/>
            <w:vAlign w:val="bottom"/>
            <w:tcBorders>
              <w:right w:val="single" w:sz="8" w:color="434F69"/>
            </w:tcBorders>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140" w:type="dxa"/>
            <w:vAlign w:val="bottom"/>
            <w:tcBorders>
              <w:left w:val="single" w:sz="8" w:color="434F69"/>
              <w:bottom w:val="single" w:sz="8" w:color="434F69"/>
              <w:right w:val="single" w:sz="8" w:color="434F69"/>
            </w:tcBorders>
            <w:gridSpan w:val="2"/>
            <w:shd w:val="clear" w:color="auto" w:fill="D9DCE1"/>
          </w:tcPr>
          <w:p>
            <w:pPr>
              <w:ind w:left="220"/>
              <w:spacing w:after="0"/>
              <w:rPr>
                <w:sz w:val="20"/>
                <w:szCs w:val="20"/>
                <w:color w:val="auto"/>
              </w:rPr>
            </w:pPr>
            <w:r>
              <w:rPr>
                <w:rFonts w:ascii="Arial" w:cs="Arial" w:eastAsia="Arial" w:hAnsi="Arial"/>
                <w:sz w:val="16"/>
                <w:szCs w:val="16"/>
                <w:color w:val="auto"/>
              </w:rPr>
              <w:t>Hospitals</w:t>
            </w:r>
            <w:r>
              <w:rPr>
                <w:rFonts w:ascii="Arial" w:cs="Arial" w:eastAsia="Arial" w:hAnsi="Arial"/>
                <w:sz w:val="19"/>
                <w:szCs w:val="19"/>
                <w:color w:val="auto"/>
                <w:vertAlign w:val="superscript"/>
              </w:rPr>
              <w:t>(8)</w:t>
            </w:r>
          </w:p>
        </w:tc>
        <w:tc>
          <w:tcPr>
            <w:tcW w:w="240" w:type="dxa"/>
            <w:vAlign w:val="bottom"/>
            <w:tcBorders>
              <w:bottom w:val="single" w:sz="8" w:color="434F69"/>
            </w:tcBorders>
            <w:shd w:val="clear" w:color="auto" w:fill="D9DCE1"/>
          </w:tcPr>
          <w:p>
            <w:pPr>
              <w:spacing w:after="0"/>
              <w:rPr>
                <w:sz w:val="21"/>
                <w:szCs w:val="21"/>
                <w:color w:val="auto"/>
              </w:rPr>
            </w:pPr>
          </w:p>
        </w:tc>
        <w:tc>
          <w:tcPr>
            <w:tcW w:w="1340" w:type="dxa"/>
            <w:vAlign w:val="bottom"/>
            <w:tcBorders>
              <w:bottom w:val="single" w:sz="8" w:color="434F69"/>
              <w:right w:val="single" w:sz="8" w:color="434F69"/>
            </w:tcBorders>
            <w:shd w:val="clear" w:color="auto" w:fill="D9DCE1"/>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180"/>
              <w:spacing w:after="0"/>
              <w:rPr>
                <w:sz w:val="20"/>
                <w:szCs w:val="20"/>
                <w:color w:val="auto"/>
              </w:rPr>
            </w:pPr>
            <w:r>
              <w:rPr>
                <w:rFonts w:ascii="Arial" w:cs="Arial" w:eastAsia="Arial" w:hAnsi="Arial"/>
                <w:sz w:val="16"/>
                <w:szCs w:val="16"/>
                <w:color w:val="auto"/>
              </w:rPr>
              <w:t>4,528,054</w:t>
            </w:r>
          </w:p>
        </w:tc>
        <w:tc>
          <w:tcPr>
            <w:tcW w:w="1320" w:type="dxa"/>
            <w:vAlign w:val="bottom"/>
            <w:tcBorders>
              <w:bottom w:val="single" w:sz="8" w:color="434F69"/>
              <w:right w:val="single" w:sz="8" w:color="434F69"/>
            </w:tcBorders>
            <w:shd w:val="clear" w:color="auto" w:fill="D9DCE1"/>
          </w:tcPr>
          <w:p>
            <w:pPr>
              <w:jc w:val="right"/>
              <w:ind w:right="280"/>
              <w:spacing w:after="0"/>
              <w:rPr>
                <w:sz w:val="20"/>
                <w:szCs w:val="20"/>
                <w:color w:val="auto"/>
              </w:rPr>
            </w:pPr>
            <w:r>
              <w:rPr>
                <w:rFonts w:ascii="Arial" w:cs="Arial" w:eastAsia="Arial" w:hAnsi="Arial"/>
                <w:sz w:val="16"/>
                <w:szCs w:val="16"/>
                <w:color w:val="auto"/>
              </w:rPr>
              <w:t>6.4%</w:t>
            </w:r>
          </w:p>
        </w:tc>
        <w:tc>
          <w:tcPr>
            <w:tcW w:w="1420" w:type="dxa"/>
            <w:vAlign w:val="bottom"/>
            <w:tcBorders>
              <w:bottom w:val="single" w:sz="8" w:color="434F69"/>
              <w:right w:val="single" w:sz="8" w:color="434F69"/>
            </w:tcBorders>
            <w:shd w:val="clear" w:color="auto" w:fill="D9DCE1"/>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40" w:type="dxa"/>
            <w:vAlign w:val="bottom"/>
            <w:tcBorders>
              <w:left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Willie Chiang</w:t>
            </w:r>
          </w:p>
        </w:tc>
        <w:tc>
          <w:tcPr>
            <w:tcW w:w="1580" w:type="dxa"/>
            <w:vAlign w:val="bottom"/>
            <w:tcBorders>
              <w:bottom w:val="single" w:sz="8" w:color="434F69"/>
              <w:right w:val="single" w:sz="8" w:color="434F69"/>
            </w:tcBorders>
            <w:gridSpan w:val="2"/>
          </w:tcPr>
          <w:p>
            <w:pPr>
              <w:jc w:val="right"/>
              <w:ind w:right="221"/>
              <w:spacing w:after="0"/>
              <w:rPr>
                <w:sz w:val="20"/>
                <w:szCs w:val="20"/>
                <w:color w:val="auto"/>
              </w:rPr>
            </w:pPr>
            <w:r>
              <w:rPr>
                <w:rFonts w:ascii="Arial" w:cs="Arial" w:eastAsia="Arial" w:hAnsi="Arial"/>
                <w:sz w:val="16"/>
                <w:szCs w:val="16"/>
                <w:color w:val="auto"/>
              </w:rPr>
              <w:t>293,654</w:t>
            </w:r>
            <w:r>
              <w:rPr>
                <w:rFonts w:ascii="Arial" w:cs="Arial" w:eastAsia="Arial" w:hAnsi="Arial"/>
                <w:sz w:val="19"/>
                <w:szCs w:val="19"/>
                <w:color w:val="auto"/>
                <w:vertAlign w:val="superscript"/>
              </w:rPr>
              <w:t>(9)</w:t>
            </w:r>
          </w:p>
        </w:tc>
        <w:tc>
          <w:tcPr>
            <w:tcW w:w="130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34F69"/>
              <w:right w:val="single" w:sz="8" w:color="434F69"/>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14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Harry N. Pefanis</w:t>
            </w:r>
          </w:p>
        </w:tc>
        <w:tc>
          <w:tcPr>
            <w:tcW w:w="1580" w:type="dxa"/>
            <w:vAlign w:val="bottom"/>
            <w:tcBorders>
              <w:bottom w:val="single" w:sz="8" w:color="434F69"/>
              <w:right w:val="single" w:sz="8" w:color="434F69"/>
            </w:tcBorders>
            <w:gridSpan w:val="2"/>
            <w:shd w:val="clear" w:color="auto" w:fill="D9DCE1"/>
          </w:tcPr>
          <w:p>
            <w:pPr>
              <w:jc w:val="right"/>
              <w:ind w:right="341"/>
              <w:spacing w:after="0"/>
              <w:rPr>
                <w:sz w:val="20"/>
                <w:szCs w:val="20"/>
                <w:color w:val="auto"/>
              </w:rPr>
            </w:pPr>
            <w:r>
              <w:rPr>
                <w:rFonts w:ascii="Arial" w:cs="Arial" w:eastAsia="Arial" w:hAnsi="Arial"/>
                <w:sz w:val="16"/>
                <w:szCs w:val="16"/>
                <w:color w:val="auto"/>
              </w:rPr>
              <w:t>420,194</w:t>
            </w:r>
          </w:p>
        </w:tc>
        <w:tc>
          <w:tcPr>
            <w:tcW w:w="130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34F69"/>
              <w:right w:val="single" w:sz="8" w:color="434F69"/>
            </w:tcBorders>
            <w:shd w:val="clear" w:color="auto" w:fill="D9DCE1"/>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140" w:type="dxa"/>
            <w:vAlign w:val="bottom"/>
            <w:tcBorders>
              <w:left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Al Swanson</w:t>
            </w:r>
          </w:p>
        </w:tc>
        <w:tc>
          <w:tcPr>
            <w:tcW w:w="1580" w:type="dxa"/>
            <w:vAlign w:val="bottom"/>
            <w:tcBorders>
              <w:bottom w:val="single" w:sz="8" w:color="434F69"/>
              <w:right w:val="single" w:sz="8" w:color="434F69"/>
            </w:tcBorders>
            <w:gridSpan w:val="2"/>
          </w:tcPr>
          <w:p>
            <w:pPr>
              <w:jc w:val="right"/>
              <w:ind w:right="221"/>
              <w:spacing w:after="0"/>
              <w:rPr>
                <w:sz w:val="20"/>
                <w:szCs w:val="20"/>
                <w:color w:val="auto"/>
              </w:rPr>
            </w:pPr>
            <w:r>
              <w:rPr>
                <w:rFonts w:ascii="Arial" w:cs="Arial" w:eastAsia="Arial" w:hAnsi="Arial"/>
                <w:sz w:val="16"/>
                <w:szCs w:val="16"/>
                <w:color w:val="auto"/>
              </w:rPr>
              <w:t>273,602</w:t>
            </w:r>
            <w:r>
              <w:rPr>
                <w:rFonts w:ascii="Arial" w:cs="Arial" w:eastAsia="Arial" w:hAnsi="Arial"/>
                <w:sz w:val="19"/>
                <w:szCs w:val="19"/>
                <w:color w:val="auto"/>
                <w:vertAlign w:val="superscript"/>
              </w:rPr>
              <w:t>(9)</w:t>
            </w:r>
          </w:p>
        </w:tc>
        <w:tc>
          <w:tcPr>
            <w:tcW w:w="130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34F69"/>
              <w:right w:val="single" w:sz="8" w:color="434F69"/>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4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Richard McGee</w:t>
            </w:r>
          </w:p>
        </w:tc>
        <w:tc>
          <w:tcPr>
            <w:tcW w:w="1580" w:type="dxa"/>
            <w:vAlign w:val="bottom"/>
            <w:tcBorders>
              <w:bottom w:val="single" w:sz="8" w:color="434F69"/>
              <w:right w:val="single" w:sz="8" w:color="434F69"/>
            </w:tcBorders>
            <w:gridSpan w:val="2"/>
            <w:shd w:val="clear" w:color="auto" w:fill="D9DCE1"/>
          </w:tcPr>
          <w:p>
            <w:pPr>
              <w:jc w:val="right"/>
              <w:ind w:right="221"/>
              <w:spacing w:after="0"/>
              <w:rPr>
                <w:sz w:val="20"/>
                <w:szCs w:val="20"/>
                <w:color w:val="auto"/>
              </w:rPr>
            </w:pPr>
            <w:r>
              <w:rPr>
                <w:rFonts w:ascii="Arial" w:cs="Arial" w:eastAsia="Arial" w:hAnsi="Arial"/>
                <w:sz w:val="16"/>
                <w:szCs w:val="16"/>
                <w:color w:val="auto"/>
              </w:rPr>
              <w:t>278,054</w:t>
            </w:r>
            <w:r>
              <w:rPr>
                <w:rFonts w:ascii="Arial" w:cs="Arial" w:eastAsia="Arial" w:hAnsi="Arial"/>
                <w:sz w:val="19"/>
                <w:szCs w:val="19"/>
                <w:color w:val="auto"/>
                <w:vertAlign w:val="superscript"/>
              </w:rPr>
              <w:t>(9)</w:t>
            </w:r>
          </w:p>
        </w:tc>
        <w:tc>
          <w:tcPr>
            <w:tcW w:w="130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34F69"/>
              <w:right w:val="single" w:sz="8" w:color="434F69"/>
            </w:tcBorders>
            <w:shd w:val="clear" w:color="auto" w:fill="D9DCE1"/>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40" w:type="dxa"/>
            <w:vAlign w:val="bottom"/>
            <w:tcBorders>
              <w:left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Chris Chandler</w:t>
            </w:r>
          </w:p>
        </w:tc>
        <w:tc>
          <w:tcPr>
            <w:tcW w:w="1580" w:type="dxa"/>
            <w:vAlign w:val="bottom"/>
            <w:tcBorders>
              <w:bottom w:val="single" w:sz="8" w:color="434F69"/>
              <w:right w:val="single" w:sz="8" w:color="434F69"/>
            </w:tcBorders>
            <w:gridSpan w:val="2"/>
          </w:tcPr>
          <w:p>
            <w:pPr>
              <w:jc w:val="right"/>
              <w:ind w:right="221"/>
              <w:spacing w:after="0"/>
              <w:rPr>
                <w:sz w:val="20"/>
                <w:szCs w:val="20"/>
                <w:color w:val="auto"/>
              </w:rPr>
            </w:pPr>
            <w:r>
              <w:rPr>
                <w:rFonts w:ascii="Arial" w:cs="Arial" w:eastAsia="Arial" w:hAnsi="Arial"/>
                <w:sz w:val="16"/>
                <w:szCs w:val="16"/>
                <w:color w:val="auto"/>
              </w:rPr>
              <w:t>107,301</w:t>
            </w:r>
            <w:r>
              <w:rPr>
                <w:rFonts w:ascii="Arial" w:cs="Arial" w:eastAsia="Arial" w:hAnsi="Arial"/>
                <w:sz w:val="19"/>
                <w:szCs w:val="19"/>
                <w:color w:val="auto"/>
                <w:vertAlign w:val="superscript"/>
              </w:rPr>
              <w:t>(9)</w:t>
            </w:r>
          </w:p>
        </w:tc>
        <w:tc>
          <w:tcPr>
            <w:tcW w:w="130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34F69"/>
              <w:right w:val="single" w:sz="8" w:color="434F69"/>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4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Jeremy Goebel</w:t>
            </w:r>
          </w:p>
        </w:tc>
        <w:tc>
          <w:tcPr>
            <w:tcW w:w="1580" w:type="dxa"/>
            <w:vAlign w:val="bottom"/>
            <w:tcBorders>
              <w:bottom w:val="single" w:sz="8" w:color="434F69"/>
              <w:right w:val="single" w:sz="8" w:color="434F69"/>
            </w:tcBorders>
            <w:gridSpan w:val="2"/>
            <w:shd w:val="clear" w:color="auto" w:fill="D9DCE1"/>
          </w:tcPr>
          <w:p>
            <w:pPr>
              <w:jc w:val="right"/>
              <w:ind w:right="221"/>
              <w:spacing w:after="0"/>
              <w:rPr>
                <w:sz w:val="20"/>
                <w:szCs w:val="20"/>
                <w:color w:val="auto"/>
              </w:rPr>
            </w:pPr>
            <w:r>
              <w:rPr>
                <w:rFonts w:ascii="Arial" w:cs="Arial" w:eastAsia="Arial" w:hAnsi="Arial"/>
                <w:sz w:val="16"/>
                <w:szCs w:val="16"/>
                <w:color w:val="auto"/>
              </w:rPr>
              <w:t>172,622</w:t>
            </w:r>
            <w:r>
              <w:rPr>
                <w:rFonts w:ascii="Arial" w:cs="Arial" w:eastAsia="Arial" w:hAnsi="Arial"/>
                <w:sz w:val="19"/>
                <w:szCs w:val="19"/>
                <w:color w:val="auto"/>
                <w:vertAlign w:val="superscript"/>
              </w:rPr>
              <w:t>(9)</w:t>
            </w:r>
          </w:p>
        </w:tc>
        <w:tc>
          <w:tcPr>
            <w:tcW w:w="130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34F69"/>
              <w:right w:val="single" w:sz="8" w:color="434F69"/>
            </w:tcBorders>
            <w:shd w:val="clear" w:color="auto" w:fill="D9DCE1"/>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140" w:type="dxa"/>
            <w:vAlign w:val="bottom"/>
            <w:tcBorders>
              <w:left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Greg L. Armstrong</w:t>
            </w:r>
          </w:p>
        </w:tc>
        <w:tc>
          <w:tcPr>
            <w:tcW w:w="1580" w:type="dxa"/>
            <w:vAlign w:val="bottom"/>
            <w:tcBorders>
              <w:bottom w:val="single" w:sz="8" w:color="434F69"/>
              <w:right w:val="single" w:sz="8" w:color="434F69"/>
            </w:tcBorders>
            <w:gridSpan w:val="2"/>
          </w:tcPr>
          <w:p>
            <w:pPr>
              <w:jc w:val="right"/>
              <w:ind w:right="341"/>
              <w:spacing w:after="0"/>
              <w:rPr>
                <w:sz w:val="20"/>
                <w:szCs w:val="20"/>
                <w:color w:val="auto"/>
              </w:rPr>
            </w:pPr>
            <w:r>
              <w:rPr>
                <w:rFonts w:ascii="Arial" w:cs="Arial" w:eastAsia="Arial" w:hAnsi="Arial"/>
                <w:sz w:val="16"/>
                <w:szCs w:val="16"/>
                <w:color w:val="auto"/>
              </w:rPr>
              <w:t>1,508,418</w:t>
            </w:r>
          </w:p>
        </w:tc>
        <w:tc>
          <w:tcPr>
            <w:tcW w:w="130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34F69"/>
              <w:right w:val="single" w:sz="8" w:color="434F69"/>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4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Victor Burk</w:t>
            </w:r>
          </w:p>
        </w:tc>
        <w:tc>
          <w:tcPr>
            <w:tcW w:w="1580" w:type="dxa"/>
            <w:vAlign w:val="bottom"/>
            <w:tcBorders>
              <w:bottom w:val="single" w:sz="8" w:color="434F69"/>
              <w:right w:val="single" w:sz="8" w:color="434F69"/>
            </w:tcBorders>
            <w:gridSpan w:val="2"/>
            <w:shd w:val="clear" w:color="auto" w:fill="D9DCE1"/>
          </w:tcPr>
          <w:p>
            <w:pPr>
              <w:jc w:val="right"/>
              <w:ind w:right="341"/>
              <w:spacing w:after="0"/>
              <w:rPr>
                <w:sz w:val="20"/>
                <w:szCs w:val="20"/>
                <w:color w:val="auto"/>
              </w:rPr>
            </w:pPr>
            <w:r>
              <w:rPr>
                <w:rFonts w:ascii="Arial" w:cs="Arial" w:eastAsia="Arial" w:hAnsi="Arial"/>
                <w:sz w:val="16"/>
                <w:szCs w:val="16"/>
                <w:color w:val="auto"/>
              </w:rPr>
              <w:t>37,043</w:t>
            </w:r>
          </w:p>
        </w:tc>
        <w:tc>
          <w:tcPr>
            <w:tcW w:w="130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34F69"/>
              <w:right w:val="single" w:sz="8" w:color="434F69"/>
            </w:tcBorders>
            <w:shd w:val="clear" w:color="auto" w:fill="D9DCE1"/>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40" w:type="dxa"/>
            <w:vAlign w:val="bottom"/>
            <w:tcBorders>
              <w:left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Kevin S. McCarthy</w:t>
            </w:r>
          </w:p>
        </w:tc>
        <w:tc>
          <w:tcPr>
            <w:tcW w:w="240" w:type="dxa"/>
            <w:vAlign w:val="bottom"/>
            <w:tcBorders>
              <w:bottom w:val="single" w:sz="8" w:color="434F69"/>
            </w:tcBorders>
          </w:tcPr>
          <w:p>
            <w:pPr>
              <w:spacing w:after="0"/>
              <w:rPr>
                <w:sz w:val="20"/>
                <w:szCs w:val="20"/>
                <w:color w:val="auto"/>
              </w:rPr>
            </w:pPr>
          </w:p>
        </w:tc>
        <w:tc>
          <w:tcPr>
            <w:tcW w:w="1340" w:type="dxa"/>
            <w:vAlign w:val="bottom"/>
            <w:tcBorders>
              <w:bottom w:val="single" w:sz="8" w:color="434F69"/>
              <w:right w:val="single" w:sz="8" w:color="434F69"/>
            </w:tcBorders>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34F69"/>
              <w:right w:val="single" w:sz="8" w:color="434F69"/>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14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Gary R. Petersen</w:t>
            </w:r>
            <w:r>
              <w:rPr>
                <w:rFonts w:ascii="Arial" w:cs="Arial" w:eastAsia="Arial" w:hAnsi="Arial"/>
                <w:sz w:val="19"/>
                <w:szCs w:val="19"/>
                <w:color w:val="auto"/>
                <w:vertAlign w:val="superscript"/>
              </w:rPr>
              <w:t>(4)</w:t>
            </w:r>
          </w:p>
        </w:tc>
        <w:tc>
          <w:tcPr>
            <w:tcW w:w="1580" w:type="dxa"/>
            <w:vAlign w:val="bottom"/>
            <w:tcBorders>
              <w:bottom w:val="single" w:sz="8" w:color="434F69"/>
              <w:right w:val="single" w:sz="8" w:color="434F69"/>
            </w:tcBorders>
            <w:gridSpan w:val="2"/>
            <w:shd w:val="clear" w:color="auto" w:fill="D9DCE1"/>
          </w:tcPr>
          <w:p>
            <w:pPr>
              <w:jc w:val="right"/>
              <w:ind w:right="341"/>
              <w:spacing w:after="0"/>
              <w:rPr>
                <w:sz w:val="20"/>
                <w:szCs w:val="20"/>
                <w:color w:val="auto"/>
              </w:rPr>
            </w:pPr>
            <w:r>
              <w:rPr>
                <w:rFonts w:ascii="Arial" w:cs="Arial" w:eastAsia="Arial" w:hAnsi="Arial"/>
                <w:sz w:val="16"/>
                <w:szCs w:val="16"/>
                <w:color w:val="auto"/>
              </w:rPr>
              <w:t>68,200</w:t>
            </w:r>
          </w:p>
        </w:tc>
        <w:tc>
          <w:tcPr>
            <w:tcW w:w="130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180"/>
              <w:spacing w:after="0"/>
              <w:rPr>
                <w:sz w:val="20"/>
                <w:szCs w:val="20"/>
                <w:color w:val="auto"/>
              </w:rPr>
            </w:pPr>
            <w:r>
              <w:rPr>
                <w:rFonts w:ascii="Arial" w:cs="Arial" w:eastAsia="Arial" w:hAnsi="Arial"/>
                <w:sz w:val="16"/>
                <w:szCs w:val="16"/>
                <w:color w:val="auto"/>
              </w:rPr>
              <w:t>25,357,120</w:t>
            </w:r>
          </w:p>
        </w:tc>
        <w:tc>
          <w:tcPr>
            <w:tcW w:w="1320" w:type="dxa"/>
            <w:vAlign w:val="bottom"/>
            <w:tcBorders>
              <w:bottom w:val="single" w:sz="8" w:color="434F69"/>
              <w:right w:val="single" w:sz="8" w:color="434F69"/>
            </w:tcBorders>
            <w:shd w:val="clear" w:color="auto" w:fill="D9DCE1"/>
          </w:tcPr>
          <w:p>
            <w:pPr>
              <w:jc w:val="right"/>
              <w:ind w:right="280"/>
              <w:spacing w:after="0"/>
              <w:rPr>
                <w:sz w:val="20"/>
                <w:szCs w:val="20"/>
                <w:color w:val="auto"/>
              </w:rPr>
            </w:pPr>
            <w:r>
              <w:rPr>
                <w:rFonts w:ascii="Arial" w:cs="Arial" w:eastAsia="Arial" w:hAnsi="Arial"/>
                <w:sz w:val="16"/>
                <w:szCs w:val="16"/>
                <w:color w:val="auto"/>
              </w:rPr>
              <w:t>35.7%</w:t>
            </w:r>
          </w:p>
        </w:tc>
        <w:tc>
          <w:tcPr>
            <w:tcW w:w="1420" w:type="dxa"/>
            <w:vAlign w:val="bottom"/>
            <w:tcBorders>
              <w:bottom w:val="single" w:sz="8" w:color="434F69"/>
              <w:right w:val="single" w:sz="8" w:color="434F69"/>
            </w:tcBorders>
            <w:shd w:val="clear" w:color="auto" w:fill="D9DCE1"/>
          </w:tcPr>
          <w:p>
            <w:pPr>
              <w:jc w:val="right"/>
              <w:ind w:right="32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0"/>
        </w:trPr>
        <w:tc>
          <w:tcPr>
            <w:tcW w:w="2140" w:type="dxa"/>
            <w:vAlign w:val="bottom"/>
            <w:tcBorders>
              <w:left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Alexandra D. Pruner</w:t>
            </w:r>
          </w:p>
        </w:tc>
        <w:tc>
          <w:tcPr>
            <w:tcW w:w="240" w:type="dxa"/>
            <w:vAlign w:val="bottom"/>
            <w:tcBorders>
              <w:bottom w:val="single" w:sz="8" w:color="434F69"/>
            </w:tcBorders>
          </w:tcPr>
          <w:p>
            <w:pPr>
              <w:spacing w:after="0"/>
              <w:rPr>
                <w:sz w:val="20"/>
                <w:szCs w:val="20"/>
                <w:color w:val="auto"/>
              </w:rPr>
            </w:pPr>
          </w:p>
        </w:tc>
        <w:tc>
          <w:tcPr>
            <w:tcW w:w="1340" w:type="dxa"/>
            <w:vAlign w:val="bottom"/>
            <w:tcBorders>
              <w:bottom w:val="single" w:sz="8" w:color="434F69"/>
              <w:right w:val="single" w:sz="8" w:color="434F69"/>
            </w:tcBorders>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34F69"/>
              <w:right w:val="single" w:sz="8" w:color="434F69"/>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14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John T. Raymond</w:t>
            </w:r>
            <w:r>
              <w:rPr>
                <w:rFonts w:ascii="Arial" w:cs="Arial" w:eastAsia="Arial" w:hAnsi="Arial"/>
                <w:sz w:val="19"/>
                <w:szCs w:val="19"/>
                <w:color w:val="auto"/>
                <w:vertAlign w:val="superscript"/>
              </w:rPr>
              <w:t>(5)</w:t>
            </w:r>
          </w:p>
        </w:tc>
        <w:tc>
          <w:tcPr>
            <w:tcW w:w="1580" w:type="dxa"/>
            <w:vAlign w:val="bottom"/>
            <w:tcBorders>
              <w:bottom w:val="single" w:sz="8" w:color="434F69"/>
              <w:right w:val="single" w:sz="8" w:color="434F69"/>
            </w:tcBorders>
            <w:gridSpan w:val="2"/>
            <w:shd w:val="clear" w:color="auto" w:fill="D9DCE1"/>
          </w:tcPr>
          <w:p>
            <w:pPr>
              <w:jc w:val="right"/>
              <w:ind w:right="341"/>
              <w:spacing w:after="0"/>
              <w:rPr>
                <w:sz w:val="20"/>
                <w:szCs w:val="20"/>
                <w:color w:val="auto"/>
              </w:rPr>
            </w:pPr>
            <w:r>
              <w:rPr>
                <w:rFonts w:ascii="Arial" w:cs="Arial" w:eastAsia="Arial" w:hAnsi="Arial"/>
                <w:sz w:val="16"/>
                <w:szCs w:val="16"/>
                <w:color w:val="auto"/>
              </w:rPr>
              <w:t>1,602,616</w:t>
            </w:r>
          </w:p>
        </w:tc>
        <w:tc>
          <w:tcPr>
            <w:tcW w:w="130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180"/>
              <w:spacing w:after="0"/>
              <w:rPr>
                <w:sz w:val="20"/>
                <w:szCs w:val="20"/>
                <w:color w:val="auto"/>
              </w:rPr>
            </w:pPr>
            <w:r>
              <w:rPr>
                <w:rFonts w:ascii="Arial" w:cs="Arial" w:eastAsia="Arial" w:hAnsi="Arial"/>
                <w:sz w:val="16"/>
                <w:szCs w:val="16"/>
                <w:color w:val="auto"/>
              </w:rPr>
              <w:t>20,376,259</w:t>
            </w:r>
          </w:p>
        </w:tc>
        <w:tc>
          <w:tcPr>
            <w:tcW w:w="1320" w:type="dxa"/>
            <w:vAlign w:val="bottom"/>
            <w:tcBorders>
              <w:bottom w:val="single" w:sz="8" w:color="434F69"/>
              <w:right w:val="single" w:sz="8" w:color="434F69"/>
            </w:tcBorders>
            <w:shd w:val="clear" w:color="auto" w:fill="D9DCE1"/>
          </w:tcPr>
          <w:p>
            <w:pPr>
              <w:jc w:val="right"/>
              <w:ind w:right="280"/>
              <w:spacing w:after="0"/>
              <w:rPr>
                <w:sz w:val="20"/>
                <w:szCs w:val="20"/>
                <w:color w:val="auto"/>
              </w:rPr>
            </w:pPr>
            <w:r>
              <w:rPr>
                <w:rFonts w:ascii="Arial" w:cs="Arial" w:eastAsia="Arial" w:hAnsi="Arial"/>
                <w:sz w:val="16"/>
                <w:szCs w:val="16"/>
                <w:color w:val="auto"/>
              </w:rPr>
              <w:t>28.7%</w:t>
            </w:r>
          </w:p>
        </w:tc>
        <w:tc>
          <w:tcPr>
            <w:tcW w:w="1420" w:type="dxa"/>
            <w:vAlign w:val="bottom"/>
            <w:tcBorders>
              <w:bottom w:val="single" w:sz="8" w:color="434F69"/>
              <w:right w:val="single" w:sz="8" w:color="434F69"/>
            </w:tcBorders>
            <w:shd w:val="clear" w:color="auto" w:fill="D9DCE1"/>
          </w:tcPr>
          <w:p>
            <w:pPr>
              <w:jc w:val="right"/>
              <w:ind w:right="32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0"/>
        </w:trPr>
        <w:tc>
          <w:tcPr>
            <w:tcW w:w="2140" w:type="dxa"/>
            <w:vAlign w:val="bottom"/>
            <w:tcBorders>
              <w:left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Bobby S. Shackouls</w:t>
            </w:r>
          </w:p>
        </w:tc>
        <w:tc>
          <w:tcPr>
            <w:tcW w:w="1580" w:type="dxa"/>
            <w:vAlign w:val="bottom"/>
            <w:tcBorders>
              <w:bottom w:val="single" w:sz="8" w:color="434F69"/>
              <w:right w:val="single" w:sz="8" w:color="434F69"/>
            </w:tcBorders>
            <w:gridSpan w:val="2"/>
          </w:tcPr>
          <w:p>
            <w:pPr>
              <w:jc w:val="right"/>
              <w:ind w:right="341"/>
              <w:spacing w:after="0"/>
              <w:rPr>
                <w:sz w:val="20"/>
                <w:szCs w:val="20"/>
                <w:color w:val="auto"/>
              </w:rPr>
            </w:pPr>
            <w:r>
              <w:rPr>
                <w:rFonts w:ascii="Arial" w:cs="Arial" w:eastAsia="Arial" w:hAnsi="Arial"/>
                <w:sz w:val="16"/>
                <w:szCs w:val="16"/>
                <w:color w:val="auto"/>
              </w:rPr>
              <w:t>35,033</w:t>
            </w:r>
          </w:p>
        </w:tc>
        <w:tc>
          <w:tcPr>
            <w:tcW w:w="130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34F69"/>
              <w:right w:val="single" w:sz="8" w:color="434F69"/>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4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Christopher M. Temple</w:t>
            </w:r>
          </w:p>
        </w:tc>
        <w:tc>
          <w:tcPr>
            <w:tcW w:w="240" w:type="dxa"/>
            <w:vAlign w:val="bottom"/>
            <w:tcBorders>
              <w:bottom w:val="single" w:sz="8" w:color="434F69"/>
            </w:tcBorders>
            <w:shd w:val="clear" w:color="auto" w:fill="D9DCE1"/>
          </w:tcPr>
          <w:p>
            <w:pPr>
              <w:spacing w:after="0"/>
              <w:rPr>
                <w:sz w:val="20"/>
                <w:szCs w:val="20"/>
                <w:color w:val="auto"/>
              </w:rPr>
            </w:pPr>
          </w:p>
        </w:tc>
        <w:tc>
          <w:tcPr>
            <w:tcW w:w="1340" w:type="dxa"/>
            <w:vAlign w:val="bottom"/>
            <w:tcBorders>
              <w:bottom w:val="single" w:sz="8" w:color="434F69"/>
              <w:right w:val="single" w:sz="8" w:color="434F69"/>
            </w:tcBorders>
            <w:shd w:val="clear" w:color="auto" w:fill="D9DCE1"/>
          </w:tcPr>
          <w:p>
            <w:pPr>
              <w:jc w:val="right"/>
              <w:ind w:right="3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shd w:val="clear" w:color="auto" w:fill="D9DCE1"/>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34F69"/>
              <w:right w:val="single" w:sz="8" w:color="434F69"/>
            </w:tcBorders>
            <w:shd w:val="clear" w:color="auto" w:fill="D9DCE1"/>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40" w:type="dxa"/>
            <w:vAlign w:val="bottom"/>
            <w:tcBorders>
              <w:left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6"/>
                <w:szCs w:val="16"/>
                <w:color w:val="auto"/>
              </w:rPr>
              <w:t>Lawrence M. Ziemba</w:t>
            </w:r>
          </w:p>
        </w:tc>
        <w:tc>
          <w:tcPr>
            <w:tcW w:w="1580" w:type="dxa"/>
            <w:vAlign w:val="bottom"/>
            <w:tcBorders>
              <w:bottom w:val="single" w:sz="8" w:color="434F69"/>
              <w:right w:val="single" w:sz="8" w:color="434F69"/>
            </w:tcBorders>
            <w:gridSpan w:val="2"/>
          </w:tcPr>
          <w:p>
            <w:pPr>
              <w:jc w:val="right"/>
              <w:ind w:right="341"/>
              <w:spacing w:after="0"/>
              <w:rPr>
                <w:sz w:val="20"/>
                <w:szCs w:val="20"/>
                <w:color w:val="auto"/>
              </w:rPr>
            </w:pPr>
            <w:r>
              <w:rPr>
                <w:rFonts w:ascii="Arial" w:cs="Arial" w:eastAsia="Arial" w:hAnsi="Arial"/>
                <w:sz w:val="16"/>
                <w:szCs w:val="16"/>
                <w:color w:val="auto"/>
              </w:rPr>
              <w:t>2,346</w:t>
            </w:r>
          </w:p>
        </w:tc>
        <w:tc>
          <w:tcPr>
            <w:tcW w:w="1300" w:type="dxa"/>
            <w:vAlign w:val="bottom"/>
            <w:tcBorders>
              <w:bottom w:val="single" w:sz="8" w:color="434F69"/>
              <w:right w:val="single" w:sz="8" w:color="434F69"/>
            </w:tcBorders>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34F69"/>
              <w:right w:val="single" w:sz="8" w:color="434F69"/>
            </w:tcBorders>
          </w:tcPr>
          <w:p>
            <w:pPr>
              <w:jc w:val="right"/>
              <w:ind w:right="4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140" w:type="dxa"/>
            <w:vAlign w:val="bottom"/>
            <w:tcBorders>
              <w:left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6"/>
                <w:szCs w:val="16"/>
                <w:color w:val="auto"/>
              </w:rPr>
              <w:t>All directors and executive</w:t>
            </w:r>
          </w:p>
        </w:tc>
        <w:tc>
          <w:tcPr>
            <w:tcW w:w="240" w:type="dxa"/>
            <w:vAlign w:val="bottom"/>
            <w:shd w:val="clear" w:color="auto" w:fill="D9DCE1"/>
          </w:tcPr>
          <w:p>
            <w:pPr>
              <w:spacing w:after="0"/>
              <w:rPr>
                <w:sz w:val="17"/>
                <w:szCs w:val="17"/>
                <w:color w:val="auto"/>
              </w:rPr>
            </w:pPr>
          </w:p>
        </w:tc>
        <w:tc>
          <w:tcPr>
            <w:tcW w:w="1340" w:type="dxa"/>
            <w:vAlign w:val="bottom"/>
            <w:tcBorders>
              <w:right w:val="single" w:sz="8" w:color="434F69"/>
            </w:tcBorders>
            <w:shd w:val="clear" w:color="auto" w:fill="D9DCE1"/>
          </w:tcPr>
          <w:p>
            <w:pPr>
              <w:spacing w:after="0"/>
              <w:rPr>
                <w:sz w:val="17"/>
                <w:szCs w:val="17"/>
                <w:color w:val="auto"/>
              </w:rPr>
            </w:pPr>
          </w:p>
        </w:tc>
        <w:tc>
          <w:tcPr>
            <w:tcW w:w="1300" w:type="dxa"/>
            <w:vAlign w:val="bottom"/>
            <w:tcBorders>
              <w:right w:val="single" w:sz="8" w:color="434F69"/>
            </w:tcBorders>
            <w:shd w:val="clear" w:color="auto" w:fill="D9DCE1"/>
          </w:tcPr>
          <w:p>
            <w:pPr>
              <w:spacing w:after="0"/>
              <w:rPr>
                <w:sz w:val="17"/>
                <w:szCs w:val="17"/>
                <w:color w:val="auto"/>
              </w:rPr>
            </w:pPr>
          </w:p>
        </w:tc>
        <w:tc>
          <w:tcPr>
            <w:tcW w:w="1320" w:type="dxa"/>
            <w:vAlign w:val="bottom"/>
            <w:tcBorders>
              <w:right w:val="single" w:sz="8" w:color="434F69"/>
            </w:tcBorders>
            <w:shd w:val="clear" w:color="auto" w:fill="D9DCE1"/>
          </w:tcPr>
          <w:p>
            <w:pPr>
              <w:spacing w:after="0"/>
              <w:rPr>
                <w:sz w:val="17"/>
                <w:szCs w:val="17"/>
                <w:color w:val="auto"/>
              </w:rPr>
            </w:pPr>
          </w:p>
        </w:tc>
        <w:tc>
          <w:tcPr>
            <w:tcW w:w="1320" w:type="dxa"/>
            <w:vAlign w:val="bottom"/>
            <w:tcBorders>
              <w:right w:val="single" w:sz="8" w:color="434F69"/>
            </w:tcBorders>
            <w:shd w:val="clear" w:color="auto" w:fill="D9DCE1"/>
          </w:tcPr>
          <w:p>
            <w:pPr>
              <w:spacing w:after="0"/>
              <w:rPr>
                <w:sz w:val="17"/>
                <w:szCs w:val="17"/>
                <w:color w:val="auto"/>
              </w:rPr>
            </w:pPr>
          </w:p>
        </w:tc>
        <w:tc>
          <w:tcPr>
            <w:tcW w:w="1420" w:type="dxa"/>
            <w:vAlign w:val="bottom"/>
            <w:tcBorders>
              <w:right w:val="single" w:sz="8" w:color="434F69"/>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40" w:type="dxa"/>
            <w:vAlign w:val="bottom"/>
            <w:tcBorders>
              <w:left w:val="single" w:sz="8" w:color="434F69"/>
              <w:right w:val="single" w:sz="8" w:color="434F69"/>
            </w:tcBorders>
            <w:gridSpan w:val="2"/>
            <w:shd w:val="clear" w:color="auto" w:fill="D9DCE1"/>
          </w:tcPr>
          <w:p>
            <w:pPr>
              <w:ind w:left="220"/>
              <w:spacing w:after="0"/>
              <w:rPr>
                <w:sz w:val="20"/>
                <w:szCs w:val="20"/>
                <w:color w:val="auto"/>
              </w:rPr>
            </w:pPr>
            <w:r>
              <w:rPr>
                <w:rFonts w:ascii="Arial" w:cs="Arial" w:eastAsia="Arial" w:hAnsi="Arial"/>
                <w:sz w:val="16"/>
                <w:szCs w:val="16"/>
                <w:color w:val="auto"/>
              </w:rPr>
              <w:t>officers as a group</w:t>
            </w:r>
          </w:p>
        </w:tc>
        <w:tc>
          <w:tcPr>
            <w:tcW w:w="1580" w:type="dxa"/>
            <w:vAlign w:val="bottom"/>
            <w:tcBorders>
              <w:right w:val="single" w:sz="8" w:color="434F69"/>
            </w:tcBorders>
            <w:gridSpan w:val="2"/>
            <w:vMerge w:val="restart"/>
            <w:shd w:val="clear" w:color="auto" w:fill="D9DCE1"/>
          </w:tcPr>
          <w:p>
            <w:pPr>
              <w:jc w:val="right"/>
              <w:ind w:right="41"/>
              <w:spacing w:after="0"/>
              <w:rPr>
                <w:sz w:val="20"/>
                <w:szCs w:val="20"/>
                <w:color w:val="auto"/>
              </w:rPr>
            </w:pPr>
            <w:r>
              <w:rPr>
                <w:rFonts w:ascii="Arial" w:cs="Arial" w:eastAsia="Arial" w:hAnsi="Arial"/>
                <w:sz w:val="16"/>
                <w:szCs w:val="16"/>
                <w:color w:val="auto"/>
              </w:rPr>
              <w:t>4,873,055</w:t>
            </w:r>
            <w:r>
              <w:rPr>
                <w:rFonts w:ascii="Arial" w:cs="Arial" w:eastAsia="Arial" w:hAnsi="Arial"/>
                <w:sz w:val="19"/>
                <w:szCs w:val="19"/>
                <w:color w:val="auto"/>
                <w:vertAlign w:val="superscript"/>
              </w:rPr>
              <w:t>(9)(10)</w:t>
            </w:r>
          </w:p>
        </w:tc>
        <w:tc>
          <w:tcPr>
            <w:tcW w:w="1300" w:type="dxa"/>
            <w:vAlign w:val="bottom"/>
            <w:tcBorders>
              <w:right w:val="single" w:sz="8" w:color="434F69"/>
            </w:tcBorders>
            <w:shd w:val="clear" w:color="auto" w:fill="D9DCE1"/>
          </w:tcPr>
          <w:p>
            <w:pPr>
              <w:spacing w:after="0"/>
              <w:rPr>
                <w:sz w:val="16"/>
                <w:szCs w:val="16"/>
                <w:color w:val="auto"/>
              </w:rPr>
            </w:pPr>
          </w:p>
        </w:tc>
        <w:tc>
          <w:tcPr>
            <w:tcW w:w="1320" w:type="dxa"/>
            <w:vAlign w:val="bottom"/>
            <w:tcBorders>
              <w:right w:val="single" w:sz="8" w:color="434F69"/>
            </w:tcBorders>
            <w:vMerge w:val="restart"/>
            <w:shd w:val="clear" w:color="auto" w:fill="D9DCE1"/>
          </w:tcPr>
          <w:p>
            <w:pPr>
              <w:jc w:val="right"/>
              <w:spacing w:after="0"/>
              <w:rPr>
                <w:sz w:val="20"/>
                <w:szCs w:val="20"/>
                <w:color w:val="auto"/>
              </w:rPr>
            </w:pPr>
            <w:r>
              <w:rPr>
                <w:rFonts w:ascii="Arial" w:cs="Arial" w:eastAsia="Arial" w:hAnsi="Arial"/>
                <w:sz w:val="16"/>
                <w:szCs w:val="16"/>
                <w:color w:val="auto"/>
              </w:rPr>
              <w:t>45,733,379</w:t>
            </w:r>
            <w:r>
              <w:rPr>
                <w:rFonts w:ascii="Arial" w:cs="Arial" w:eastAsia="Arial" w:hAnsi="Arial"/>
                <w:sz w:val="19"/>
                <w:szCs w:val="19"/>
                <w:color w:val="auto"/>
                <w:vertAlign w:val="superscript"/>
              </w:rPr>
              <w:t>(10)</w:t>
            </w:r>
          </w:p>
        </w:tc>
        <w:tc>
          <w:tcPr>
            <w:tcW w:w="1320" w:type="dxa"/>
            <w:vAlign w:val="bottom"/>
            <w:tcBorders>
              <w:right w:val="single" w:sz="8" w:color="434F69"/>
            </w:tcBorders>
            <w:shd w:val="clear" w:color="auto" w:fill="D9DCE1"/>
          </w:tcPr>
          <w:p>
            <w:pPr>
              <w:spacing w:after="0"/>
              <w:rPr>
                <w:sz w:val="16"/>
                <w:szCs w:val="16"/>
                <w:color w:val="auto"/>
              </w:rPr>
            </w:pPr>
          </w:p>
        </w:tc>
        <w:tc>
          <w:tcPr>
            <w:tcW w:w="1420" w:type="dxa"/>
            <w:vAlign w:val="bottom"/>
            <w:tcBorders>
              <w:right w:val="single" w:sz="8" w:color="434F69"/>
            </w:tcBorders>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140" w:type="dxa"/>
            <w:vAlign w:val="bottom"/>
            <w:tcBorders>
              <w:left w:val="single" w:sz="8" w:color="434F69"/>
              <w:bottom w:val="single" w:sz="8" w:color="434F69"/>
              <w:right w:val="single" w:sz="8" w:color="434F69"/>
            </w:tcBorders>
            <w:gridSpan w:val="2"/>
            <w:shd w:val="clear" w:color="auto" w:fill="D9DCE1"/>
          </w:tcPr>
          <w:p>
            <w:pPr>
              <w:ind w:left="220"/>
              <w:spacing w:after="0"/>
              <w:rPr>
                <w:sz w:val="20"/>
                <w:szCs w:val="20"/>
                <w:color w:val="auto"/>
              </w:rPr>
            </w:pPr>
            <w:r>
              <w:rPr>
                <w:rFonts w:ascii="Arial" w:cs="Arial" w:eastAsia="Arial" w:hAnsi="Arial"/>
                <w:sz w:val="16"/>
                <w:szCs w:val="16"/>
                <w:color w:val="auto"/>
              </w:rPr>
              <w:t>(16 persons)</w:t>
            </w:r>
          </w:p>
        </w:tc>
        <w:tc>
          <w:tcPr>
            <w:tcW w:w="1580" w:type="dxa"/>
            <w:vAlign w:val="bottom"/>
            <w:tcBorders>
              <w:bottom w:val="single" w:sz="8" w:color="434F69"/>
              <w:right w:val="single" w:sz="8" w:color="434F69"/>
            </w:tcBorders>
            <w:gridSpan w:val="2"/>
            <w:vMerge w:val="continue"/>
            <w:shd w:val="clear" w:color="auto" w:fill="D9DCE1"/>
          </w:tcPr>
          <w:p>
            <w:pPr>
              <w:spacing w:after="0"/>
              <w:rPr>
                <w:sz w:val="19"/>
                <w:szCs w:val="19"/>
                <w:color w:val="auto"/>
              </w:rPr>
            </w:pPr>
          </w:p>
        </w:tc>
        <w:tc>
          <w:tcPr>
            <w:tcW w:w="1300" w:type="dxa"/>
            <w:vAlign w:val="bottom"/>
            <w:tcBorders>
              <w:bottom w:val="single" w:sz="8" w:color="434F69"/>
              <w:right w:val="single" w:sz="8" w:color="434F69"/>
            </w:tcBorders>
            <w:shd w:val="clear" w:color="auto" w:fill="D9DCE1"/>
          </w:tcPr>
          <w:p>
            <w:pPr>
              <w:jc w:val="right"/>
              <w:ind w:right="4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vMerge w:val="continue"/>
            <w:shd w:val="clear" w:color="auto" w:fill="D9DCE1"/>
          </w:tcPr>
          <w:p>
            <w:pPr>
              <w:spacing w:after="0"/>
              <w:rPr>
                <w:sz w:val="19"/>
                <w:szCs w:val="19"/>
                <w:color w:val="auto"/>
              </w:rPr>
            </w:pPr>
          </w:p>
        </w:tc>
        <w:tc>
          <w:tcPr>
            <w:tcW w:w="1320" w:type="dxa"/>
            <w:vAlign w:val="bottom"/>
            <w:tcBorders>
              <w:bottom w:val="single" w:sz="8" w:color="434F69"/>
              <w:right w:val="single" w:sz="8" w:color="434F69"/>
            </w:tcBorders>
            <w:shd w:val="clear" w:color="auto" w:fill="D9DCE1"/>
          </w:tcPr>
          <w:p>
            <w:pPr>
              <w:jc w:val="right"/>
              <w:ind w:right="280"/>
              <w:spacing w:after="0"/>
              <w:rPr>
                <w:sz w:val="20"/>
                <w:szCs w:val="20"/>
                <w:color w:val="auto"/>
              </w:rPr>
            </w:pPr>
            <w:r>
              <w:rPr>
                <w:rFonts w:ascii="Arial" w:cs="Arial" w:eastAsia="Arial" w:hAnsi="Arial"/>
                <w:sz w:val="16"/>
                <w:szCs w:val="16"/>
                <w:color w:val="auto"/>
              </w:rPr>
              <w:t>64.3%</w:t>
            </w:r>
          </w:p>
        </w:tc>
        <w:tc>
          <w:tcPr>
            <w:tcW w:w="1420" w:type="dxa"/>
            <w:vAlign w:val="bottom"/>
            <w:tcBorders>
              <w:bottom w:val="single" w:sz="8" w:color="434F69"/>
              <w:right w:val="single" w:sz="8" w:color="434F69"/>
            </w:tcBorders>
            <w:shd w:val="clear" w:color="auto" w:fill="D9DCE1"/>
          </w:tcPr>
          <w:p>
            <w:pPr>
              <w:jc w:val="right"/>
              <w:ind w:right="321"/>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620" w:hanging="360"/>
        <w:spacing w:after="0"/>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1620" w:right="1180" w:hanging="360"/>
        <w:spacing w:after="0" w:line="261"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Common Unit Equivalents include outstanding common units and Series A preferred units combined.</w:t>
      </w:r>
    </w:p>
    <w:p>
      <w:pPr>
        <w:sectPr>
          <w:pgSz w:w="11900" w:h="16838" w:orient="portrait"/>
          <w:cols w:equalWidth="0" w:num="1">
            <w:col w:w="9900"/>
          </w:cols>
          <w:pgMar w:left="580" w:top="132" w:right="1419"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132" w:right="1419"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59" w:hanging="360"/>
        <w:spacing w:after="0" w:line="227" w:lineRule="auto"/>
        <w:tabs>
          <w:tab w:leader="none" w:pos="162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vote on an as-converted basis with the common units and have certain other class voting rights with respect to any amendment to our partnership agreement that would adversely affect any rights, preferences or privileges of the Series A preferred units. The Series A preferred units are convertible, generally on a one-for-one basis and subject to customary anti-dilution adjustments, at any time by the holders or by us.</w:t>
      </w:r>
    </w:p>
    <w:p>
      <w:pPr>
        <w:spacing w:after="0" w:line="70" w:lineRule="exact"/>
        <w:rPr>
          <w:rFonts w:ascii="Arial" w:cs="Arial" w:eastAsia="Arial" w:hAnsi="Arial"/>
          <w:sz w:val="27"/>
          <w:szCs w:val="27"/>
          <w:color w:val="auto"/>
          <w:vertAlign w:val="superscript"/>
        </w:rPr>
      </w:pPr>
    </w:p>
    <w:p>
      <w:pPr>
        <w:ind w:left="1620" w:right="579" w:hanging="360"/>
        <w:spacing w:after="0" w:line="222" w:lineRule="auto"/>
        <w:tabs>
          <w:tab w:leader="none" w:pos="162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333 Clay Street, Suite 1600, Houston, Texas 77002. The number of common units owned by AAP equals the number of outstanding Class A and Class B shares of PAGP (241,043,315) plus the number of earned but unvested Class B units of Plains AAP, L.P. (441,862 on an as-converted basis).</w:t>
      </w:r>
    </w:p>
    <w:p>
      <w:pPr>
        <w:spacing w:after="0" w:line="69" w:lineRule="exact"/>
        <w:rPr>
          <w:rFonts w:ascii="Arial" w:cs="Arial" w:eastAsia="Arial" w:hAnsi="Arial"/>
          <w:sz w:val="27"/>
          <w:szCs w:val="27"/>
          <w:color w:val="auto"/>
          <w:vertAlign w:val="superscript"/>
        </w:rPr>
      </w:pPr>
    </w:p>
    <w:p>
      <w:pPr>
        <w:jc w:val="both"/>
        <w:ind w:left="1620" w:right="639" w:hanging="360"/>
        <w:spacing w:after="0" w:line="214" w:lineRule="auto"/>
        <w:tabs>
          <w:tab w:leader="none" w:pos="162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Reflects beneficial ownership as of December 31, 2021 as reported in a Schedule 13G filed with the SEC on February 3, 2022. The address of this holder is 1290 Broadway, Suite 1000, Denver, Colorado 80203.</w:t>
      </w:r>
    </w:p>
    <w:p>
      <w:pPr>
        <w:spacing w:after="0" w:line="83" w:lineRule="exact"/>
        <w:rPr>
          <w:rFonts w:ascii="Arial" w:cs="Arial" w:eastAsia="Arial" w:hAnsi="Arial"/>
          <w:sz w:val="27"/>
          <w:szCs w:val="27"/>
          <w:color w:val="auto"/>
          <w:vertAlign w:val="superscript"/>
        </w:rPr>
      </w:pPr>
    </w:p>
    <w:p>
      <w:pPr>
        <w:ind w:left="1620" w:right="439" w:hanging="360"/>
        <w:spacing w:after="0" w:line="231" w:lineRule="auto"/>
        <w:tabs>
          <w:tab w:leader="none" w:pos="162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are owned by funds managed by EnCap Partners, LLC, whose address is 9651 Katy Freeway, 6th Floor, Houston, Texas 77024. Gary R. Petersen may be deemed to be the beneficial owner of the Series A preferred units owned by these holders by virtue of being a member of EnCap Partners, LLC, the managing member of each holder’s general partner. Mr. Petersen disclaims beneficial ownership of the Series A preferred units except to the extent of his pecuniary interest therein.</w:t>
      </w:r>
    </w:p>
    <w:p>
      <w:pPr>
        <w:spacing w:after="0" w:line="1" w:lineRule="exact"/>
        <w:rPr>
          <w:rFonts w:ascii="Arial" w:cs="Arial" w:eastAsia="Arial" w:hAnsi="Arial"/>
          <w:sz w:val="27"/>
          <w:szCs w:val="27"/>
          <w:color w:val="auto"/>
          <w:vertAlign w:val="superscript"/>
        </w:rPr>
      </w:pPr>
    </w:p>
    <w:p>
      <w:pPr>
        <w:ind w:left="1620" w:hanging="360"/>
        <w:spacing w:after="0" w:line="218" w:lineRule="auto"/>
        <w:tabs>
          <w:tab w:leader="none" w:pos="162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2229 San Felipe, Suite 1300, Houston, Texas 77019. John</w:t>
      </w:r>
    </w:p>
    <w:p>
      <w:pPr>
        <w:ind w:left="1620" w:right="519"/>
        <w:spacing w:after="0" w:line="253" w:lineRule="auto"/>
        <w:rPr>
          <w:rFonts w:ascii="Arial" w:cs="Arial" w:eastAsia="Arial" w:hAnsi="Arial"/>
          <w:sz w:val="27"/>
          <w:szCs w:val="27"/>
          <w:color w:val="auto"/>
          <w:vertAlign w:val="superscript"/>
        </w:rPr>
      </w:pPr>
      <w:r>
        <w:rPr>
          <w:rFonts w:ascii="Arial" w:cs="Arial" w:eastAsia="Arial" w:hAnsi="Arial"/>
          <w:sz w:val="18"/>
          <w:szCs w:val="18"/>
          <w:color w:val="auto"/>
        </w:rPr>
        <w:t>T. Raymond has sole voting and dispositive power over the Series A preferred units and may be deemed to be the beneficial owner of the Series A preferred units owned by the holder by virtue of being the sole member of the general partner of the holder’s manager. Mr. Raymond disclaims beneficial ownership of the Series A preferred units except to the extent of his pecuniary interest therein.</w:t>
      </w:r>
    </w:p>
    <w:p>
      <w:pPr>
        <w:ind w:left="1620" w:hanging="360"/>
        <w:spacing w:after="0" w:line="219" w:lineRule="auto"/>
        <w:tabs>
          <w:tab w:leader="none" w:pos="162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600 Travis, Suite 6000, Houston, Texas 77002.</w:t>
      </w:r>
    </w:p>
    <w:p>
      <w:pPr>
        <w:spacing w:after="0" w:line="93" w:lineRule="exact"/>
        <w:rPr>
          <w:rFonts w:ascii="Arial" w:cs="Arial" w:eastAsia="Arial" w:hAnsi="Arial"/>
          <w:sz w:val="27"/>
          <w:szCs w:val="27"/>
          <w:color w:val="auto"/>
          <w:vertAlign w:val="superscript"/>
        </w:rPr>
      </w:pPr>
    </w:p>
    <w:p>
      <w:pPr>
        <w:ind w:left="1620" w:right="759" w:hanging="360"/>
        <w:spacing w:after="0" w:line="200" w:lineRule="auto"/>
        <w:tabs>
          <w:tab w:leader="none" w:pos="162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are owned by funds managed by Stonepeak Partners LLC, whose address is 550 W. 34th Street, 48th Floor, New York, New York 10001.</w:t>
      </w:r>
    </w:p>
    <w:p>
      <w:pPr>
        <w:spacing w:after="0" w:line="1" w:lineRule="exact"/>
        <w:rPr>
          <w:rFonts w:ascii="Arial" w:cs="Arial" w:eastAsia="Arial" w:hAnsi="Arial"/>
          <w:sz w:val="27"/>
          <w:szCs w:val="27"/>
          <w:color w:val="auto"/>
          <w:vertAlign w:val="superscript"/>
        </w:rPr>
      </w:pPr>
    </w:p>
    <w:p>
      <w:pPr>
        <w:ind w:left="1620" w:hanging="360"/>
        <w:spacing w:after="0" w:line="219" w:lineRule="auto"/>
        <w:tabs>
          <w:tab w:leader="none" w:pos="162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One Kaiser Plaza, Oakland, CA 94612.</w:t>
      </w:r>
    </w:p>
    <w:p>
      <w:pPr>
        <w:spacing w:after="0" w:line="80" w:lineRule="exact"/>
        <w:rPr>
          <w:rFonts w:ascii="Arial" w:cs="Arial" w:eastAsia="Arial" w:hAnsi="Arial"/>
          <w:sz w:val="27"/>
          <w:szCs w:val="27"/>
          <w:color w:val="auto"/>
          <w:vertAlign w:val="superscript"/>
        </w:rPr>
      </w:pPr>
    </w:p>
    <w:p>
      <w:pPr>
        <w:jc w:val="both"/>
        <w:ind w:left="1620" w:right="919" w:hanging="360"/>
        <w:spacing w:after="0" w:line="214" w:lineRule="auto"/>
        <w:tabs>
          <w:tab w:leader="none" w:pos="162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Does not include unvested phantom units granted under our Long-Term Incentive Plans. See “Executive Compensation — Outstanding Equity Awards at Fiscal Year-End” and “— Director Compensation.”</w:t>
      </w:r>
    </w:p>
    <w:p>
      <w:pPr>
        <w:spacing w:after="0" w:line="83" w:lineRule="exact"/>
        <w:rPr>
          <w:rFonts w:ascii="Arial" w:cs="Arial" w:eastAsia="Arial" w:hAnsi="Arial"/>
          <w:sz w:val="27"/>
          <w:szCs w:val="27"/>
          <w:color w:val="auto"/>
          <w:vertAlign w:val="superscript"/>
        </w:rPr>
      </w:pPr>
    </w:p>
    <w:p>
      <w:pPr>
        <w:ind w:left="1620" w:right="419" w:hanging="360"/>
        <w:spacing w:after="0" w:line="200" w:lineRule="auto"/>
        <w:tabs>
          <w:tab w:leader="none" w:pos="162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Consistent with our policies that prohibit pledging of company securities, to our knowledge, no units were pledged by directors or Named Executive Officers as of March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Beneficial Ownership of General Partner Interest</w:t>
      </w:r>
    </w:p>
    <w:p>
      <w:pPr>
        <w:spacing w:after="0" w:line="166"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AAP owns a significant limited partner interest in us and, through its 100% member interest in PAA GP LLC, our non-economic general partner interest. GP LLC owns a limited partner interest and non-economic general partner interest in AAP. The Class A limited partners of AAP, together with the holders of the AAP Management Units, collectively own 100% of the economic interests in AAP. The following table sets forth the percentage ownership of the Class A limited partners of AAP, including our directors and Named Executive Officers, and the resulting economic interest of such limited partners and the holders of the AAP Management Units as a group, in each case as of March 28, 2022:</w:t>
      </w:r>
    </w:p>
    <w:p>
      <w:pPr>
        <w:spacing w:after="0" w:line="168"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5860" w:type="dxa"/>
            <w:vAlign w:val="bottom"/>
            <w:tcBorders>
              <w:left w:val="single" w:sz="8" w:color="434F69"/>
              <w:right w:val="single" w:sz="8" w:color="434F69"/>
            </w:tcBorders>
            <w:shd w:val="clear" w:color="auto" w:fill="434F69"/>
          </w:tcPr>
          <w:p>
            <w:pPr>
              <w:spacing w:after="0"/>
              <w:rPr>
                <w:sz w:val="21"/>
                <w:szCs w:val="21"/>
                <w:color w:val="auto"/>
              </w:rPr>
            </w:pPr>
          </w:p>
        </w:tc>
        <w:tc>
          <w:tcPr>
            <w:tcW w:w="1160" w:type="dxa"/>
            <w:vAlign w:val="bottom"/>
            <w:tcBorders>
              <w:right w:val="single" w:sz="8" w:color="434F69"/>
            </w:tcBorders>
            <w:shd w:val="clear" w:color="auto" w:fill="434F69"/>
          </w:tcPr>
          <w:p>
            <w:pPr>
              <w:jc w:val="center"/>
              <w:ind w:right="98"/>
              <w:spacing w:after="0"/>
              <w:rPr>
                <w:sz w:val="20"/>
                <w:szCs w:val="20"/>
                <w:color w:val="auto"/>
              </w:rPr>
            </w:pPr>
            <w:r>
              <w:rPr>
                <w:rFonts w:ascii="Arial" w:cs="Arial" w:eastAsia="Arial" w:hAnsi="Arial"/>
                <w:sz w:val="14"/>
                <w:szCs w:val="14"/>
                <w:b w:val="1"/>
                <w:bCs w:val="1"/>
                <w:color w:val="FFFFFF"/>
              </w:rPr>
              <w:t>Percentage</w:t>
            </w:r>
          </w:p>
        </w:tc>
        <w:tc>
          <w:tcPr>
            <w:tcW w:w="1200" w:type="dxa"/>
            <w:vAlign w:val="bottom"/>
            <w:tcBorders>
              <w:right w:val="single" w:sz="8" w:color="434F69"/>
            </w:tcBorders>
            <w:shd w:val="clear" w:color="auto" w:fill="434F69"/>
          </w:tcPr>
          <w:p>
            <w:pPr>
              <w:spacing w:after="0"/>
              <w:rPr>
                <w:sz w:val="21"/>
                <w:szCs w:val="21"/>
                <w:color w:val="auto"/>
              </w:rPr>
            </w:pPr>
          </w:p>
        </w:tc>
      </w:tr>
      <w:tr>
        <w:trPr>
          <w:trHeight w:val="162"/>
        </w:trPr>
        <w:tc>
          <w:tcPr>
            <w:tcW w:w="5860" w:type="dxa"/>
            <w:vAlign w:val="bottom"/>
            <w:tcBorders>
              <w:left w:val="single" w:sz="8" w:color="434F69"/>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jc w:val="center"/>
              <w:ind w:right="98"/>
              <w:spacing w:after="0"/>
              <w:rPr>
                <w:sz w:val="20"/>
                <w:szCs w:val="20"/>
                <w:color w:val="auto"/>
              </w:rPr>
            </w:pPr>
            <w:r>
              <w:rPr>
                <w:rFonts w:ascii="Arial" w:cs="Arial" w:eastAsia="Arial" w:hAnsi="Arial"/>
                <w:sz w:val="14"/>
                <w:szCs w:val="14"/>
                <w:b w:val="1"/>
                <w:bCs w:val="1"/>
                <w:color w:val="FFFFFF"/>
              </w:rPr>
              <w:t>Ownership</w:t>
            </w:r>
          </w:p>
        </w:tc>
        <w:tc>
          <w:tcPr>
            <w:tcW w:w="1200" w:type="dxa"/>
            <w:vAlign w:val="bottom"/>
            <w:tcBorders>
              <w:right w:val="single" w:sz="8" w:color="434F69"/>
            </w:tcBorders>
            <w:shd w:val="clear" w:color="auto" w:fill="434F69"/>
          </w:tcPr>
          <w:p>
            <w:pPr>
              <w:spacing w:after="0"/>
              <w:rPr>
                <w:sz w:val="14"/>
                <w:szCs w:val="14"/>
                <w:color w:val="auto"/>
              </w:rPr>
            </w:pPr>
          </w:p>
        </w:tc>
      </w:tr>
      <w:tr>
        <w:trPr>
          <w:trHeight w:val="162"/>
        </w:trPr>
        <w:tc>
          <w:tcPr>
            <w:tcW w:w="5860" w:type="dxa"/>
            <w:vAlign w:val="bottom"/>
            <w:tcBorders>
              <w:left w:val="single" w:sz="8" w:color="434F69"/>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jc w:val="center"/>
              <w:ind w:right="98"/>
              <w:spacing w:after="0"/>
              <w:rPr>
                <w:sz w:val="20"/>
                <w:szCs w:val="20"/>
                <w:color w:val="auto"/>
              </w:rPr>
            </w:pPr>
            <w:r>
              <w:rPr>
                <w:rFonts w:ascii="Arial" w:cs="Arial" w:eastAsia="Arial" w:hAnsi="Arial"/>
                <w:sz w:val="14"/>
                <w:szCs w:val="14"/>
                <w:b w:val="1"/>
                <w:bCs w:val="1"/>
                <w:color w:val="FFFFFF"/>
              </w:rPr>
              <w:t>of</w:t>
            </w:r>
          </w:p>
        </w:tc>
        <w:tc>
          <w:tcPr>
            <w:tcW w:w="1200" w:type="dxa"/>
            <w:vAlign w:val="bottom"/>
            <w:tcBorders>
              <w:right w:val="single" w:sz="8" w:color="434F69"/>
            </w:tcBorders>
            <w:shd w:val="clear" w:color="auto" w:fill="434F69"/>
          </w:tcPr>
          <w:p>
            <w:pPr>
              <w:spacing w:after="0"/>
              <w:rPr>
                <w:sz w:val="14"/>
                <w:szCs w:val="14"/>
                <w:color w:val="auto"/>
              </w:rPr>
            </w:pPr>
          </w:p>
        </w:tc>
      </w:tr>
      <w:tr>
        <w:trPr>
          <w:trHeight w:val="162"/>
        </w:trPr>
        <w:tc>
          <w:tcPr>
            <w:tcW w:w="5860" w:type="dxa"/>
            <w:vAlign w:val="bottom"/>
            <w:tcBorders>
              <w:left w:val="single" w:sz="8" w:color="434F69"/>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jc w:val="center"/>
              <w:ind w:right="98"/>
              <w:spacing w:after="0"/>
              <w:rPr>
                <w:sz w:val="20"/>
                <w:szCs w:val="20"/>
                <w:color w:val="auto"/>
              </w:rPr>
            </w:pPr>
            <w:r>
              <w:rPr>
                <w:rFonts w:ascii="Arial" w:cs="Arial" w:eastAsia="Arial" w:hAnsi="Arial"/>
                <w:sz w:val="14"/>
                <w:szCs w:val="14"/>
                <w:b w:val="1"/>
                <w:bCs w:val="1"/>
                <w:color w:val="FFFFFF"/>
              </w:rPr>
              <w:t>Plains</w:t>
            </w: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Economic</w:t>
            </w:r>
          </w:p>
        </w:tc>
      </w:tr>
      <w:tr>
        <w:trPr>
          <w:trHeight w:val="162"/>
        </w:trPr>
        <w:tc>
          <w:tcPr>
            <w:tcW w:w="5860" w:type="dxa"/>
            <w:vAlign w:val="bottom"/>
            <w:tcBorders>
              <w:left w:val="single" w:sz="8" w:color="434F69"/>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jc w:val="center"/>
              <w:ind w:right="118"/>
              <w:spacing w:after="0"/>
              <w:rPr>
                <w:sz w:val="20"/>
                <w:szCs w:val="20"/>
                <w:color w:val="auto"/>
              </w:rPr>
            </w:pPr>
            <w:r>
              <w:rPr>
                <w:rFonts w:ascii="Arial" w:cs="Arial" w:eastAsia="Arial" w:hAnsi="Arial"/>
                <w:sz w:val="14"/>
                <w:szCs w:val="14"/>
                <w:b w:val="1"/>
                <w:bCs w:val="1"/>
                <w:color w:val="FFFFFF"/>
                <w:w w:val="95"/>
              </w:rPr>
              <w:t>AAP, L.P.</w:t>
            </w: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Interest in</w:t>
            </w:r>
          </w:p>
        </w:tc>
      </w:tr>
      <w:tr>
        <w:trPr>
          <w:trHeight w:val="151"/>
        </w:trPr>
        <w:tc>
          <w:tcPr>
            <w:tcW w:w="5860" w:type="dxa"/>
            <w:vAlign w:val="bottom"/>
            <w:tcBorders>
              <w:left w:val="single" w:sz="8" w:color="434F69"/>
              <w:right w:val="single" w:sz="8" w:color="434F69"/>
            </w:tcBorders>
            <w:shd w:val="clear" w:color="auto" w:fill="434F69"/>
          </w:tcPr>
          <w:p>
            <w:pPr>
              <w:ind w:left="60"/>
              <w:spacing w:after="0" w:line="151" w:lineRule="exact"/>
              <w:rPr>
                <w:sz w:val="20"/>
                <w:szCs w:val="20"/>
                <w:color w:val="auto"/>
              </w:rPr>
            </w:pPr>
            <w:r>
              <w:rPr>
                <w:rFonts w:ascii="Arial" w:cs="Arial" w:eastAsia="Arial" w:hAnsi="Arial"/>
                <w:sz w:val="14"/>
                <w:szCs w:val="14"/>
                <w:b w:val="1"/>
                <w:bCs w:val="1"/>
                <w:color w:val="FFFFFF"/>
              </w:rPr>
              <w:t>Name of Owner and Address</w:t>
            </w:r>
          </w:p>
        </w:tc>
        <w:tc>
          <w:tcPr>
            <w:tcW w:w="1160" w:type="dxa"/>
            <w:vAlign w:val="bottom"/>
            <w:tcBorders>
              <w:right w:val="single" w:sz="8" w:color="434F69"/>
            </w:tcBorders>
            <w:shd w:val="clear" w:color="auto" w:fill="434F69"/>
          </w:tcPr>
          <w:p>
            <w:pPr>
              <w:jc w:val="center"/>
              <w:ind w:right="98"/>
              <w:spacing w:after="0" w:line="151" w:lineRule="exact"/>
              <w:rPr>
                <w:sz w:val="20"/>
                <w:szCs w:val="20"/>
                <w:color w:val="auto"/>
              </w:rPr>
            </w:pPr>
            <w:r>
              <w:rPr>
                <w:rFonts w:ascii="Arial" w:cs="Arial" w:eastAsia="Arial" w:hAnsi="Arial"/>
                <w:sz w:val="14"/>
                <w:szCs w:val="14"/>
                <w:b w:val="1"/>
                <w:bCs w:val="1"/>
                <w:color w:val="FFFFFF"/>
              </w:rPr>
              <w:t>Class A LP</w:t>
            </w:r>
          </w:p>
        </w:tc>
        <w:tc>
          <w:tcPr>
            <w:tcW w:w="120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Plains</w:t>
            </w:r>
          </w:p>
        </w:tc>
      </w:tr>
      <w:tr>
        <w:trPr>
          <w:trHeight w:val="226"/>
        </w:trPr>
        <w:tc>
          <w:tcPr>
            <w:tcW w:w="586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(in the case of Owners of more than 5%)</w:t>
            </w:r>
          </w:p>
        </w:tc>
        <w:tc>
          <w:tcPr>
            <w:tcW w:w="1160" w:type="dxa"/>
            <w:vAlign w:val="bottom"/>
            <w:tcBorders>
              <w:right w:val="single" w:sz="8" w:color="434F69"/>
            </w:tcBorders>
            <w:shd w:val="clear" w:color="auto" w:fill="434F69"/>
          </w:tcPr>
          <w:p>
            <w:pPr>
              <w:jc w:val="center"/>
              <w:ind w:right="78"/>
              <w:spacing w:after="0"/>
              <w:rPr>
                <w:sz w:val="20"/>
                <w:szCs w:val="20"/>
                <w:color w:val="auto"/>
              </w:rPr>
            </w:pPr>
            <w:r>
              <w:rPr>
                <w:rFonts w:ascii="Arial" w:cs="Arial" w:eastAsia="Arial" w:hAnsi="Arial"/>
                <w:sz w:val="14"/>
                <w:szCs w:val="14"/>
                <w:b w:val="1"/>
                <w:bCs w:val="1"/>
                <w:color w:val="FFFFFF"/>
              </w:rPr>
              <w:t>Interest</w:t>
            </w: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AAP, L.P.</w:t>
            </w:r>
            <w:r>
              <w:rPr>
                <w:rFonts w:ascii="Arial" w:cs="Arial" w:eastAsia="Arial" w:hAnsi="Arial"/>
                <w:sz w:val="17"/>
                <w:szCs w:val="17"/>
                <w:b w:val="1"/>
                <w:bCs w:val="1"/>
                <w:color w:val="FFFFFF"/>
                <w:w w:val="93"/>
                <w:vertAlign w:val="superscript"/>
              </w:rPr>
              <w:t>(1)</w:t>
            </w:r>
          </w:p>
        </w:tc>
      </w:tr>
      <w:tr>
        <w:trPr>
          <w:trHeight w:val="250"/>
        </w:trPr>
        <w:tc>
          <w:tcPr>
            <w:tcW w:w="58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Plains GP Holdings, L.P. and Plains All American GP LLC</w:t>
            </w:r>
          </w:p>
        </w:tc>
        <w:tc>
          <w:tcPr>
            <w:tcW w:w="1160" w:type="dxa"/>
            <w:vAlign w:val="bottom"/>
            <w:tcBorders>
              <w:bottom w:val="single" w:sz="8" w:color="434F69"/>
              <w:right w:val="single" w:sz="8" w:color="434F69"/>
            </w:tcBorders>
            <w:shd w:val="clear" w:color="auto" w:fill="D9DCE1"/>
          </w:tcPr>
          <w:p>
            <w:pPr>
              <w:jc w:val="right"/>
              <w:ind w:right="238"/>
              <w:spacing w:after="0"/>
              <w:rPr>
                <w:sz w:val="20"/>
                <w:szCs w:val="20"/>
                <w:color w:val="auto"/>
              </w:rPr>
            </w:pPr>
            <w:r>
              <w:rPr>
                <w:rFonts w:ascii="Arial" w:cs="Arial" w:eastAsia="Arial" w:hAnsi="Arial"/>
                <w:sz w:val="18"/>
                <w:szCs w:val="18"/>
                <w:color w:val="auto"/>
              </w:rPr>
              <w:t>80.6%</w:t>
            </w:r>
          </w:p>
        </w:tc>
        <w:tc>
          <w:tcPr>
            <w:tcW w:w="1200" w:type="dxa"/>
            <w:vAlign w:val="bottom"/>
            <w:tcBorders>
              <w:bottom w:val="single" w:sz="8" w:color="434F69"/>
              <w:right w:val="single" w:sz="8" w:color="434F69"/>
            </w:tcBorders>
            <w:shd w:val="clear" w:color="auto" w:fill="D9DCE1"/>
          </w:tcPr>
          <w:p>
            <w:pPr>
              <w:jc w:val="right"/>
              <w:ind w:right="176"/>
              <w:spacing w:after="0"/>
              <w:rPr>
                <w:sz w:val="20"/>
                <w:szCs w:val="20"/>
                <w:color w:val="auto"/>
              </w:rPr>
            </w:pPr>
            <w:r>
              <w:rPr>
                <w:rFonts w:ascii="Arial" w:cs="Arial" w:eastAsia="Arial" w:hAnsi="Arial"/>
                <w:sz w:val="18"/>
                <w:szCs w:val="18"/>
                <w:color w:val="auto"/>
              </w:rPr>
              <w:t>80.4%</w:t>
            </w:r>
          </w:p>
        </w:tc>
      </w:tr>
      <w:tr>
        <w:trPr>
          <w:trHeight w:val="250"/>
        </w:trPr>
        <w:tc>
          <w:tcPr>
            <w:tcW w:w="586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333 Clay Street, Suite 1600</w:t>
            </w:r>
          </w:p>
        </w:tc>
        <w:tc>
          <w:tcPr>
            <w:tcW w:w="1160" w:type="dxa"/>
            <w:vAlign w:val="bottom"/>
            <w:tcBorders>
              <w:bottom w:val="single" w:sz="8" w:color="434F69"/>
              <w:right w:val="single" w:sz="8" w:color="434F69"/>
            </w:tcBorders>
          </w:tcPr>
          <w:p>
            <w:pPr>
              <w:spacing w:after="0"/>
              <w:rPr>
                <w:sz w:val="21"/>
                <w:szCs w:val="21"/>
                <w:color w:val="auto"/>
              </w:rPr>
            </w:pPr>
          </w:p>
        </w:tc>
        <w:tc>
          <w:tcPr>
            <w:tcW w:w="1200" w:type="dxa"/>
            <w:vAlign w:val="bottom"/>
            <w:tcBorders>
              <w:bottom w:val="single" w:sz="8" w:color="434F69"/>
              <w:right w:val="single" w:sz="8" w:color="434F69"/>
            </w:tcBorders>
          </w:tcPr>
          <w:p>
            <w:pPr>
              <w:spacing w:after="0"/>
              <w:rPr>
                <w:sz w:val="21"/>
                <w:szCs w:val="21"/>
                <w:color w:val="auto"/>
              </w:rPr>
            </w:pPr>
          </w:p>
        </w:tc>
      </w:tr>
      <w:tr>
        <w:trPr>
          <w:trHeight w:val="250"/>
        </w:trPr>
        <w:tc>
          <w:tcPr>
            <w:tcW w:w="586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Houston, TX 77002</w:t>
            </w:r>
          </w:p>
        </w:tc>
        <w:tc>
          <w:tcPr>
            <w:tcW w:w="1160" w:type="dxa"/>
            <w:vAlign w:val="bottom"/>
            <w:tcBorders>
              <w:bottom w:val="single" w:sz="8" w:color="434F69"/>
              <w:right w:val="single" w:sz="8" w:color="434F69"/>
            </w:tcBorders>
          </w:tcPr>
          <w:p>
            <w:pPr>
              <w:spacing w:after="0"/>
              <w:rPr>
                <w:sz w:val="21"/>
                <w:szCs w:val="21"/>
                <w:color w:val="auto"/>
              </w:rPr>
            </w:pPr>
          </w:p>
        </w:tc>
        <w:tc>
          <w:tcPr>
            <w:tcW w:w="1200" w:type="dxa"/>
            <w:vAlign w:val="bottom"/>
            <w:tcBorders>
              <w:bottom w:val="single" w:sz="8" w:color="434F69"/>
              <w:right w:val="single" w:sz="8" w:color="434F69"/>
            </w:tcBorders>
          </w:tcPr>
          <w:p>
            <w:pPr>
              <w:spacing w:after="0"/>
              <w:rPr>
                <w:sz w:val="21"/>
                <w:szCs w:val="21"/>
                <w:color w:val="auto"/>
              </w:rPr>
            </w:pPr>
          </w:p>
        </w:tc>
      </w:tr>
      <w:tr>
        <w:trPr>
          <w:trHeight w:val="250"/>
        </w:trPr>
        <w:tc>
          <w:tcPr>
            <w:tcW w:w="58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KAFU Holdings (QP), L.P. and Affiliates</w:t>
            </w:r>
          </w:p>
        </w:tc>
        <w:tc>
          <w:tcPr>
            <w:tcW w:w="1160" w:type="dxa"/>
            <w:vAlign w:val="bottom"/>
            <w:tcBorders>
              <w:bottom w:val="single" w:sz="8" w:color="434F69"/>
              <w:right w:val="single" w:sz="8" w:color="434F69"/>
            </w:tcBorders>
            <w:shd w:val="clear" w:color="auto" w:fill="D9DCE1"/>
          </w:tcPr>
          <w:p>
            <w:pPr>
              <w:jc w:val="right"/>
              <w:ind w:right="238"/>
              <w:spacing w:after="0"/>
              <w:rPr>
                <w:sz w:val="20"/>
                <w:szCs w:val="20"/>
                <w:color w:val="auto"/>
              </w:rPr>
            </w:pPr>
            <w:r>
              <w:rPr>
                <w:rFonts w:ascii="Arial" w:cs="Arial" w:eastAsia="Arial" w:hAnsi="Arial"/>
                <w:sz w:val="18"/>
                <w:szCs w:val="18"/>
                <w:color w:val="auto"/>
              </w:rPr>
              <w:t>5.8%</w:t>
            </w:r>
          </w:p>
        </w:tc>
        <w:tc>
          <w:tcPr>
            <w:tcW w:w="1200" w:type="dxa"/>
            <w:vAlign w:val="bottom"/>
            <w:tcBorders>
              <w:bottom w:val="single" w:sz="8" w:color="434F69"/>
              <w:right w:val="single" w:sz="8" w:color="434F69"/>
            </w:tcBorders>
            <w:shd w:val="clear" w:color="auto" w:fill="D9DCE1"/>
          </w:tcPr>
          <w:p>
            <w:pPr>
              <w:jc w:val="right"/>
              <w:ind w:right="176"/>
              <w:spacing w:after="0"/>
              <w:rPr>
                <w:sz w:val="20"/>
                <w:szCs w:val="20"/>
                <w:color w:val="auto"/>
              </w:rPr>
            </w:pPr>
            <w:r>
              <w:rPr>
                <w:rFonts w:ascii="Arial" w:cs="Arial" w:eastAsia="Arial" w:hAnsi="Arial"/>
                <w:sz w:val="18"/>
                <w:szCs w:val="18"/>
                <w:color w:val="auto"/>
              </w:rPr>
              <w:t>5.8%</w:t>
            </w:r>
          </w:p>
        </w:tc>
      </w:tr>
      <w:tr>
        <w:trPr>
          <w:trHeight w:val="250"/>
        </w:trPr>
        <w:tc>
          <w:tcPr>
            <w:tcW w:w="586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1800 Avenue of the Stars, 3rd Floor</w:t>
            </w:r>
          </w:p>
        </w:tc>
        <w:tc>
          <w:tcPr>
            <w:tcW w:w="1160" w:type="dxa"/>
            <w:vAlign w:val="bottom"/>
            <w:tcBorders>
              <w:bottom w:val="single" w:sz="8" w:color="434F69"/>
              <w:right w:val="single" w:sz="8" w:color="434F69"/>
            </w:tcBorders>
          </w:tcPr>
          <w:p>
            <w:pPr>
              <w:spacing w:after="0"/>
              <w:rPr>
                <w:sz w:val="21"/>
                <w:szCs w:val="21"/>
                <w:color w:val="auto"/>
              </w:rPr>
            </w:pPr>
          </w:p>
        </w:tc>
        <w:tc>
          <w:tcPr>
            <w:tcW w:w="1200" w:type="dxa"/>
            <w:vAlign w:val="bottom"/>
            <w:tcBorders>
              <w:bottom w:val="single" w:sz="8" w:color="434F69"/>
              <w:right w:val="single" w:sz="8" w:color="434F69"/>
            </w:tcBorders>
          </w:tcPr>
          <w:p>
            <w:pPr>
              <w:spacing w:after="0"/>
              <w:rPr>
                <w:sz w:val="21"/>
                <w:szCs w:val="21"/>
                <w:color w:val="auto"/>
              </w:rPr>
            </w:pPr>
          </w:p>
        </w:tc>
      </w:tr>
      <w:tr>
        <w:trPr>
          <w:trHeight w:val="250"/>
        </w:trPr>
        <w:tc>
          <w:tcPr>
            <w:tcW w:w="586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Los Angeles, CA 90067</w:t>
            </w:r>
          </w:p>
        </w:tc>
        <w:tc>
          <w:tcPr>
            <w:tcW w:w="1160" w:type="dxa"/>
            <w:vAlign w:val="bottom"/>
            <w:tcBorders>
              <w:bottom w:val="single" w:sz="8" w:color="434F69"/>
              <w:right w:val="single" w:sz="8" w:color="434F69"/>
            </w:tcBorders>
          </w:tcPr>
          <w:p>
            <w:pPr>
              <w:spacing w:after="0"/>
              <w:rPr>
                <w:sz w:val="21"/>
                <w:szCs w:val="21"/>
                <w:color w:val="auto"/>
              </w:rPr>
            </w:pPr>
          </w:p>
        </w:tc>
        <w:tc>
          <w:tcPr>
            <w:tcW w:w="1200" w:type="dxa"/>
            <w:vAlign w:val="bottom"/>
            <w:tcBorders>
              <w:bottom w:val="single" w:sz="8" w:color="434F69"/>
              <w:right w:val="single" w:sz="8" w:color="434F69"/>
            </w:tcBorders>
          </w:tcPr>
          <w:p>
            <w:pPr>
              <w:spacing w:after="0"/>
              <w:rPr>
                <w:sz w:val="21"/>
                <w:szCs w:val="21"/>
                <w:color w:val="auto"/>
              </w:rPr>
            </w:pPr>
          </w:p>
        </w:tc>
      </w:tr>
      <w:tr>
        <w:trPr>
          <w:trHeight w:val="250"/>
        </w:trPr>
        <w:tc>
          <w:tcPr>
            <w:tcW w:w="58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Lynx Holdings I, LLC</w:t>
            </w:r>
          </w:p>
        </w:tc>
        <w:tc>
          <w:tcPr>
            <w:tcW w:w="1160" w:type="dxa"/>
            <w:vAlign w:val="bottom"/>
            <w:tcBorders>
              <w:bottom w:val="single" w:sz="8" w:color="434F69"/>
              <w:right w:val="single" w:sz="8" w:color="434F69"/>
            </w:tcBorders>
            <w:shd w:val="clear" w:color="auto" w:fill="D9DCE1"/>
          </w:tcPr>
          <w:p>
            <w:pPr>
              <w:jc w:val="right"/>
              <w:ind w:right="238"/>
              <w:spacing w:after="0"/>
              <w:rPr>
                <w:sz w:val="20"/>
                <w:szCs w:val="20"/>
                <w:color w:val="auto"/>
              </w:rPr>
            </w:pPr>
            <w:r>
              <w:rPr>
                <w:rFonts w:ascii="Arial" w:cs="Arial" w:eastAsia="Arial" w:hAnsi="Arial"/>
                <w:sz w:val="18"/>
                <w:szCs w:val="18"/>
                <w:color w:val="auto"/>
              </w:rPr>
              <w:t>1.3%</w:t>
            </w:r>
          </w:p>
        </w:tc>
        <w:tc>
          <w:tcPr>
            <w:tcW w:w="1200" w:type="dxa"/>
            <w:vAlign w:val="bottom"/>
            <w:tcBorders>
              <w:bottom w:val="single" w:sz="8" w:color="434F69"/>
              <w:right w:val="single" w:sz="8" w:color="434F69"/>
            </w:tcBorders>
            <w:shd w:val="clear" w:color="auto" w:fill="D9DCE1"/>
          </w:tcPr>
          <w:p>
            <w:pPr>
              <w:jc w:val="right"/>
              <w:ind w:right="176"/>
              <w:spacing w:after="0"/>
              <w:rPr>
                <w:sz w:val="20"/>
                <w:szCs w:val="20"/>
                <w:color w:val="auto"/>
              </w:rPr>
            </w:pPr>
            <w:r>
              <w:rPr>
                <w:rFonts w:ascii="Arial" w:cs="Arial" w:eastAsia="Arial" w:hAnsi="Arial"/>
                <w:sz w:val="18"/>
                <w:szCs w:val="18"/>
                <w:color w:val="auto"/>
              </w:rPr>
              <w:t>1.3%</w:t>
            </w:r>
          </w:p>
        </w:tc>
      </w:tr>
      <w:tr>
        <w:trPr>
          <w:trHeight w:val="250"/>
        </w:trPr>
        <w:tc>
          <w:tcPr>
            <w:tcW w:w="58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John T. Raymond</w:t>
            </w:r>
          </w:p>
        </w:tc>
        <w:tc>
          <w:tcPr>
            <w:tcW w:w="1160" w:type="dxa"/>
            <w:vAlign w:val="bottom"/>
            <w:tcBorders>
              <w:bottom w:val="single" w:sz="8" w:color="434F69"/>
              <w:right w:val="single" w:sz="8" w:color="434F69"/>
            </w:tcBorders>
          </w:tcPr>
          <w:p>
            <w:pPr>
              <w:jc w:val="right"/>
              <w:ind w:right="238"/>
              <w:spacing w:after="0"/>
              <w:rPr>
                <w:sz w:val="20"/>
                <w:szCs w:val="20"/>
                <w:color w:val="auto"/>
              </w:rPr>
            </w:pPr>
            <w:r>
              <w:rPr>
                <w:rFonts w:ascii="Arial" w:cs="Arial" w:eastAsia="Arial" w:hAnsi="Arial"/>
                <w:sz w:val="18"/>
                <w:szCs w:val="18"/>
                <w:color w:val="auto"/>
              </w:rPr>
              <w:t>3.4%</w:t>
            </w:r>
          </w:p>
        </w:tc>
        <w:tc>
          <w:tcPr>
            <w:tcW w:w="1200" w:type="dxa"/>
            <w:vAlign w:val="bottom"/>
            <w:tcBorders>
              <w:bottom w:val="single" w:sz="8" w:color="434F69"/>
              <w:right w:val="single" w:sz="8" w:color="434F69"/>
            </w:tcBorders>
          </w:tcPr>
          <w:p>
            <w:pPr>
              <w:jc w:val="right"/>
              <w:ind w:right="176"/>
              <w:spacing w:after="0"/>
              <w:rPr>
                <w:sz w:val="20"/>
                <w:szCs w:val="20"/>
                <w:color w:val="auto"/>
              </w:rPr>
            </w:pPr>
            <w:r>
              <w:rPr>
                <w:rFonts w:ascii="Arial" w:cs="Arial" w:eastAsia="Arial" w:hAnsi="Arial"/>
                <w:sz w:val="18"/>
                <w:szCs w:val="18"/>
                <w:color w:val="auto"/>
              </w:rPr>
              <w:t>3.4%</w:t>
            </w:r>
          </w:p>
        </w:tc>
      </w:tr>
      <w:tr>
        <w:trPr>
          <w:trHeight w:val="250"/>
        </w:trPr>
        <w:tc>
          <w:tcPr>
            <w:tcW w:w="58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Greg L. Armstrong</w:t>
            </w:r>
          </w:p>
        </w:tc>
        <w:tc>
          <w:tcPr>
            <w:tcW w:w="1160" w:type="dxa"/>
            <w:vAlign w:val="bottom"/>
            <w:tcBorders>
              <w:bottom w:val="single" w:sz="8" w:color="434F69"/>
              <w:right w:val="single" w:sz="8" w:color="434F69"/>
            </w:tcBorders>
            <w:shd w:val="clear" w:color="auto" w:fill="D9DCE1"/>
          </w:tcPr>
          <w:p>
            <w:pPr>
              <w:jc w:val="right"/>
              <w:ind w:right="238"/>
              <w:spacing w:after="0"/>
              <w:rPr>
                <w:sz w:val="20"/>
                <w:szCs w:val="20"/>
                <w:color w:val="auto"/>
              </w:rPr>
            </w:pPr>
            <w:r>
              <w:rPr>
                <w:rFonts w:ascii="Arial" w:cs="Arial" w:eastAsia="Arial" w:hAnsi="Arial"/>
                <w:sz w:val="18"/>
                <w:szCs w:val="18"/>
                <w:color w:val="auto"/>
              </w:rPr>
              <w:t>1.9%</w:t>
            </w:r>
          </w:p>
        </w:tc>
        <w:tc>
          <w:tcPr>
            <w:tcW w:w="1200" w:type="dxa"/>
            <w:vAlign w:val="bottom"/>
            <w:tcBorders>
              <w:bottom w:val="single" w:sz="8" w:color="434F69"/>
              <w:right w:val="single" w:sz="8" w:color="434F69"/>
            </w:tcBorders>
            <w:shd w:val="clear" w:color="auto" w:fill="D9DCE1"/>
          </w:tcPr>
          <w:p>
            <w:pPr>
              <w:jc w:val="right"/>
              <w:ind w:right="176"/>
              <w:spacing w:after="0"/>
              <w:rPr>
                <w:sz w:val="20"/>
                <w:szCs w:val="20"/>
                <w:color w:val="auto"/>
              </w:rPr>
            </w:pPr>
            <w:r>
              <w:rPr>
                <w:rFonts w:ascii="Arial" w:cs="Arial" w:eastAsia="Arial" w:hAnsi="Arial"/>
                <w:sz w:val="18"/>
                <w:szCs w:val="18"/>
                <w:color w:val="auto"/>
              </w:rPr>
              <w:t>1.9%</w:t>
            </w:r>
          </w:p>
        </w:tc>
      </w:tr>
      <w:tr>
        <w:trPr>
          <w:trHeight w:val="250"/>
        </w:trPr>
        <w:tc>
          <w:tcPr>
            <w:tcW w:w="58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N. Pefanis</w:t>
            </w:r>
          </w:p>
        </w:tc>
        <w:tc>
          <w:tcPr>
            <w:tcW w:w="1160" w:type="dxa"/>
            <w:vAlign w:val="bottom"/>
            <w:tcBorders>
              <w:bottom w:val="single" w:sz="8" w:color="434F69"/>
              <w:right w:val="single" w:sz="8" w:color="434F69"/>
            </w:tcBorders>
          </w:tcPr>
          <w:p>
            <w:pPr>
              <w:jc w:val="right"/>
              <w:ind w:right="238"/>
              <w:spacing w:after="0"/>
              <w:rPr>
                <w:sz w:val="20"/>
                <w:szCs w:val="20"/>
                <w:color w:val="auto"/>
              </w:rPr>
            </w:pPr>
            <w:r>
              <w:rPr>
                <w:rFonts w:ascii="Arial" w:cs="Arial" w:eastAsia="Arial" w:hAnsi="Arial"/>
                <w:sz w:val="18"/>
                <w:szCs w:val="18"/>
                <w:color w:val="auto"/>
              </w:rPr>
              <w:t>0.9%</w:t>
            </w:r>
          </w:p>
        </w:tc>
        <w:tc>
          <w:tcPr>
            <w:tcW w:w="1200" w:type="dxa"/>
            <w:vAlign w:val="bottom"/>
            <w:tcBorders>
              <w:bottom w:val="single" w:sz="8" w:color="434F69"/>
              <w:right w:val="single" w:sz="8" w:color="434F69"/>
            </w:tcBorders>
          </w:tcPr>
          <w:p>
            <w:pPr>
              <w:jc w:val="right"/>
              <w:ind w:right="176"/>
              <w:spacing w:after="0"/>
              <w:rPr>
                <w:sz w:val="20"/>
                <w:szCs w:val="20"/>
                <w:color w:val="auto"/>
              </w:rPr>
            </w:pPr>
            <w:r>
              <w:rPr>
                <w:rFonts w:ascii="Arial" w:cs="Arial" w:eastAsia="Arial" w:hAnsi="Arial"/>
                <w:sz w:val="18"/>
                <w:szCs w:val="18"/>
                <w:color w:val="auto"/>
              </w:rPr>
              <w:t>0.9%</w:t>
            </w:r>
          </w:p>
        </w:tc>
      </w:tr>
      <w:tr>
        <w:trPr>
          <w:trHeight w:val="250"/>
        </w:trPr>
        <w:tc>
          <w:tcPr>
            <w:tcW w:w="58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Richard McGee</w:t>
            </w:r>
          </w:p>
        </w:tc>
        <w:tc>
          <w:tcPr>
            <w:tcW w:w="1160" w:type="dxa"/>
            <w:vAlign w:val="bottom"/>
            <w:tcBorders>
              <w:bottom w:val="single" w:sz="8" w:color="434F69"/>
              <w:right w:val="single" w:sz="8" w:color="434F69"/>
            </w:tcBorders>
            <w:shd w:val="clear" w:color="auto" w:fill="D9DCE1"/>
          </w:tcPr>
          <w:p>
            <w:pPr>
              <w:jc w:val="right"/>
              <w:ind w:right="238"/>
              <w:spacing w:after="0"/>
              <w:rPr>
                <w:sz w:val="20"/>
                <w:szCs w:val="20"/>
                <w:color w:val="auto"/>
              </w:rPr>
            </w:pPr>
            <w:r>
              <w:rPr>
                <w:rFonts w:ascii="Arial" w:cs="Arial" w:eastAsia="Arial" w:hAnsi="Arial"/>
                <w:sz w:val="18"/>
                <w:szCs w:val="18"/>
                <w:color w:val="auto"/>
              </w:rPr>
              <w:t>0.2%</w:t>
            </w:r>
          </w:p>
        </w:tc>
        <w:tc>
          <w:tcPr>
            <w:tcW w:w="1200" w:type="dxa"/>
            <w:vAlign w:val="bottom"/>
            <w:tcBorders>
              <w:bottom w:val="single" w:sz="8" w:color="434F69"/>
              <w:right w:val="single" w:sz="8" w:color="434F69"/>
            </w:tcBorders>
            <w:shd w:val="clear" w:color="auto" w:fill="D9DCE1"/>
          </w:tcPr>
          <w:p>
            <w:pPr>
              <w:jc w:val="right"/>
              <w:ind w:right="176"/>
              <w:spacing w:after="0"/>
              <w:rPr>
                <w:sz w:val="20"/>
                <w:szCs w:val="20"/>
                <w:color w:val="auto"/>
              </w:rPr>
            </w:pPr>
            <w:r>
              <w:rPr>
                <w:rFonts w:ascii="Arial" w:cs="Arial" w:eastAsia="Arial" w:hAnsi="Arial"/>
                <w:sz w:val="18"/>
                <w:szCs w:val="18"/>
                <w:color w:val="auto"/>
              </w:rPr>
              <w:t>0.2%</w:t>
            </w:r>
          </w:p>
        </w:tc>
      </w:tr>
      <w:tr>
        <w:trPr>
          <w:trHeight w:val="250"/>
        </w:trPr>
        <w:tc>
          <w:tcPr>
            <w:tcW w:w="58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Various Individual Investors</w:t>
            </w:r>
          </w:p>
        </w:tc>
        <w:tc>
          <w:tcPr>
            <w:tcW w:w="1160" w:type="dxa"/>
            <w:vAlign w:val="bottom"/>
            <w:tcBorders>
              <w:bottom w:val="single" w:sz="8" w:color="434F69"/>
              <w:right w:val="single" w:sz="8" w:color="434F69"/>
            </w:tcBorders>
          </w:tcPr>
          <w:p>
            <w:pPr>
              <w:jc w:val="right"/>
              <w:ind w:right="238"/>
              <w:spacing w:after="0"/>
              <w:rPr>
                <w:sz w:val="20"/>
                <w:szCs w:val="20"/>
                <w:color w:val="auto"/>
              </w:rPr>
            </w:pPr>
            <w:r>
              <w:rPr>
                <w:rFonts w:ascii="Arial" w:cs="Arial" w:eastAsia="Arial" w:hAnsi="Arial"/>
                <w:sz w:val="18"/>
                <w:szCs w:val="18"/>
                <w:color w:val="auto"/>
              </w:rPr>
              <w:t>5.9%</w:t>
            </w:r>
          </w:p>
        </w:tc>
        <w:tc>
          <w:tcPr>
            <w:tcW w:w="1200" w:type="dxa"/>
            <w:vAlign w:val="bottom"/>
            <w:tcBorders>
              <w:bottom w:val="single" w:sz="8" w:color="434F69"/>
              <w:right w:val="single" w:sz="8" w:color="434F69"/>
            </w:tcBorders>
          </w:tcPr>
          <w:p>
            <w:pPr>
              <w:jc w:val="right"/>
              <w:ind w:right="176"/>
              <w:spacing w:after="0"/>
              <w:rPr>
                <w:sz w:val="20"/>
                <w:szCs w:val="20"/>
                <w:color w:val="auto"/>
              </w:rPr>
            </w:pPr>
            <w:r>
              <w:rPr>
                <w:rFonts w:ascii="Arial" w:cs="Arial" w:eastAsia="Arial" w:hAnsi="Arial"/>
                <w:sz w:val="18"/>
                <w:szCs w:val="18"/>
                <w:color w:val="auto"/>
              </w:rPr>
              <w:t>5.9%</w:t>
            </w:r>
          </w:p>
        </w:tc>
      </w:tr>
      <w:tr>
        <w:trPr>
          <w:trHeight w:val="284"/>
        </w:trPr>
        <w:tc>
          <w:tcPr>
            <w:tcW w:w="58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AAP Management Unitholders</w:t>
            </w:r>
            <w:r>
              <w:rPr>
                <w:rFonts w:ascii="Arial" w:cs="Arial" w:eastAsia="Arial" w:hAnsi="Arial"/>
                <w:sz w:val="23"/>
                <w:szCs w:val="23"/>
                <w:color w:val="auto"/>
                <w:vertAlign w:val="superscript"/>
              </w:rPr>
              <w:t>(2)</w:t>
            </w:r>
          </w:p>
        </w:tc>
        <w:tc>
          <w:tcPr>
            <w:tcW w:w="1160" w:type="dxa"/>
            <w:vAlign w:val="bottom"/>
            <w:tcBorders>
              <w:bottom w:val="single" w:sz="8" w:color="434F69"/>
              <w:right w:val="single" w:sz="8" w:color="434F69"/>
            </w:tcBorders>
            <w:shd w:val="clear" w:color="auto" w:fill="D9DCE1"/>
          </w:tcPr>
          <w:p>
            <w:pPr>
              <w:jc w:val="right"/>
              <w:ind w:right="398"/>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shd w:val="clear" w:color="auto" w:fill="D9DCE1"/>
          </w:tcPr>
          <w:p>
            <w:pPr>
              <w:jc w:val="right"/>
              <w:ind w:right="176"/>
              <w:spacing w:after="0"/>
              <w:rPr>
                <w:sz w:val="20"/>
                <w:szCs w:val="20"/>
                <w:color w:val="auto"/>
              </w:rPr>
            </w:pPr>
            <w:r>
              <w:rPr>
                <w:rFonts w:ascii="Arial" w:cs="Arial" w:eastAsia="Arial" w:hAnsi="Arial"/>
                <w:sz w:val="18"/>
                <w:szCs w:val="18"/>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12344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20" w:right="419" w:hanging="360"/>
        <w:spacing w:after="0" w:line="200" w:lineRule="auto"/>
        <w:tabs>
          <w:tab w:leader="none" w:pos="1620"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AAP owns approximately 241.5 million PAA common units and a 100% member interest in PAA GP LLC, which owns our non-economic general partner interest.</w:t>
      </w:r>
    </w:p>
    <w:p>
      <w:pPr>
        <w:spacing w:after="0" w:line="81" w:lineRule="exact"/>
        <w:rPr>
          <w:rFonts w:ascii="Arial" w:cs="Arial" w:eastAsia="Arial" w:hAnsi="Arial"/>
          <w:sz w:val="27"/>
          <w:szCs w:val="27"/>
          <w:color w:val="auto"/>
          <w:vertAlign w:val="superscript"/>
        </w:rPr>
      </w:pPr>
    </w:p>
    <w:p>
      <w:pPr>
        <w:ind w:left="1620" w:right="959" w:hanging="360"/>
        <w:spacing w:after="0" w:line="200" w:lineRule="auto"/>
        <w:tabs>
          <w:tab w:leader="none" w:pos="1620"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Represents a profits interest in AAP in the form of AAP Management Units owned by certain members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166"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The following table sets forth certain information with respect to our equity compensation plans as of December 31, 2021. For a description of these plans, see “Certain Relationships and Related Transactions — Equity-Based Long-Term Incentive Plans.”</w:t>
      </w:r>
    </w:p>
    <w:p>
      <w:pPr>
        <w:spacing w:after="0" w:line="176" w:lineRule="exact"/>
        <w:rPr>
          <w:sz w:val="20"/>
          <w:szCs w:val="20"/>
          <w:color w:val="auto"/>
        </w:rPr>
      </w:pPr>
    </w:p>
    <w:tbl>
      <w:tblPr>
        <w:tblLayout w:type="fixed"/>
        <w:tblInd w:w="1270" w:type="dxa"/>
        <w:tblCellMar>
          <w:top w:w="0" w:type="dxa"/>
          <w:left w:w="0" w:type="dxa"/>
          <w:bottom w:w="0" w:type="dxa"/>
          <w:right w:w="0" w:type="dxa"/>
        </w:tblCellMar>
      </w:tblPr>
      <w:tr>
        <w:trPr>
          <w:trHeight w:val="351"/>
        </w:trPr>
        <w:tc>
          <w:tcPr>
            <w:tcW w:w="3280" w:type="dxa"/>
            <w:vAlign w:val="bottom"/>
            <w:tcBorders>
              <w:left w:val="single" w:sz="8" w:color="434F69"/>
              <w:right w:val="single" w:sz="8" w:color="434F69"/>
            </w:tcBorders>
            <w:shd w:val="clear" w:color="auto" w:fill="434F69"/>
          </w:tcPr>
          <w:p>
            <w:pPr>
              <w:spacing w:after="0"/>
              <w:rPr>
                <w:sz w:val="24"/>
                <w:szCs w:val="24"/>
                <w:color w:val="auto"/>
              </w:rPr>
            </w:pPr>
          </w:p>
        </w:tc>
        <w:tc>
          <w:tcPr>
            <w:tcW w:w="1600" w:type="dxa"/>
            <w:vAlign w:val="bottom"/>
            <w:tcBorders>
              <w:right w:val="single" w:sz="8" w:color="434F69"/>
            </w:tcBorders>
            <w:shd w:val="clear" w:color="auto" w:fill="434F69"/>
          </w:tcPr>
          <w:p>
            <w:pPr>
              <w:jc w:val="center"/>
              <w:ind w:right="104"/>
              <w:spacing w:after="0"/>
              <w:rPr>
                <w:sz w:val="20"/>
                <w:szCs w:val="20"/>
                <w:color w:val="auto"/>
              </w:rPr>
            </w:pPr>
            <w:r>
              <w:rPr>
                <w:rFonts w:ascii="Arial" w:cs="Arial" w:eastAsia="Arial" w:hAnsi="Arial"/>
                <w:sz w:val="14"/>
                <w:szCs w:val="14"/>
                <w:b w:val="1"/>
                <w:bCs w:val="1"/>
                <w:color w:val="FFFFFF"/>
              </w:rPr>
              <w:t>Number of Units</w:t>
            </w:r>
          </w:p>
        </w:tc>
        <w:tc>
          <w:tcPr>
            <w:tcW w:w="1720" w:type="dxa"/>
            <w:vAlign w:val="bottom"/>
            <w:tcBorders>
              <w:right w:val="single" w:sz="8" w:color="434F69"/>
            </w:tcBorders>
            <w:shd w:val="clear" w:color="auto" w:fill="434F69"/>
          </w:tcPr>
          <w:p>
            <w:pPr>
              <w:spacing w:after="0"/>
              <w:rPr>
                <w:sz w:val="24"/>
                <w:szCs w:val="24"/>
                <w:color w:val="auto"/>
              </w:rPr>
            </w:pPr>
          </w:p>
        </w:tc>
        <w:tc>
          <w:tcPr>
            <w:tcW w:w="16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Number of Units</w:t>
            </w:r>
          </w:p>
        </w:tc>
      </w:tr>
      <w:tr>
        <w:trPr>
          <w:trHeight w:val="162"/>
        </w:trPr>
        <w:tc>
          <w:tcPr>
            <w:tcW w:w="3280" w:type="dxa"/>
            <w:vAlign w:val="bottom"/>
            <w:tcBorders>
              <w:left w:val="single" w:sz="8" w:color="434F69"/>
              <w:right w:val="single" w:sz="8" w:color="434F69"/>
            </w:tcBorders>
            <w:shd w:val="clear" w:color="auto" w:fill="434F69"/>
          </w:tcPr>
          <w:p>
            <w:pPr>
              <w:spacing w:after="0"/>
              <w:rPr>
                <w:sz w:val="14"/>
                <w:szCs w:val="14"/>
                <w:color w:val="auto"/>
              </w:rPr>
            </w:pPr>
          </w:p>
        </w:tc>
        <w:tc>
          <w:tcPr>
            <w:tcW w:w="1600" w:type="dxa"/>
            <w:vAlign w:val="bottom"/>
            <w:tcBorders>
              <w:right w:val="single" w:sz="8" w:color="434F69"/>
            </w:tcBorders>
            <w:shd w:val="clear" w:color="auto" w:fill="434F69"/>
          </w:tcPr>
          <w:p>
            <w:pPr>
              <w:jc w:val="center"/>
              <w:ind w:right="104"/>
              <w:spacing w:after="0"/>
              <w:rPr>
                <w:sz w:val="20"/>
                <w:szCs w:val="20"/>
                <w:color w:val="auto"/>
              </w:rPr>
            </w:pPr>
            <w:r>
              <w:rPr>
                <w:rFonts w:ascii="Arial" w:cs="Arial" w:eastAsia="Arial" w:hAnsi="Arial"/>
                <w:sz w:val="14"/>
                <w:szCs w:val="14"/>
                <w:b w:val="1"/>
                <w:bCs w:val="1"/>
                <w:color w:val="FFFFFF"/>
              </w:rPr>
              <w:t>to be Issued upon</w:t>
            </w:r>
          </w:p>
        </w:tc>
        <w:tc>
          <w:tcPr>
            <w:tcW w:w="17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16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Remaining</w:t>
            </w:r>
          </w:p>
        </w:tc>
      </w:tr>
      <w:tr>
        <w:trPr>
          <w:trHeight w:val="162"/>
        </w:trPr>
        <w:tc>
          <w:tcPr>
            <w:tcW w:w="3280" w:type="dxa"/>
            <w:vAlign w:val="bottom"/>
            <w:tcBorders>
              <w:left w:val="single" w:sz="8" w:color="434F69"/>
              <w:right w:val="single" w:sz="8" w:color="434F69"/>
            </w:tcBorders>
            <w:shd w:val="clear" w:color="auto" w:fill="434F69"/>
          </w:tcPr>
          <w:p>
            <w:pPr>
              <w:spacing w:after="0"/>
              <w:rPr>
                <w:sz w:val="14"/>
                <w:szCs w:val="14"/>
                <w:color w:val="auto"/>
              </w:rPr>
            </w:pPr>
          </w:p>
        </w:tc>
        <w:tc>
          <w:tcPr>
            <w:tcW w:w="1600" w:type="dxa"/>
            <w:vAlign w:val="bottom"/>
            <w:tcBorders>
              <w:right w:val="single" w:sz="8" w:color="434F69"/>
            </w:tcBorders>
            <w:shd w:val="clear" w:color="auto" w:fill="434F69"/>
          </w:tcPr>
          <w:p>
            <w:pPr>
              <w:jc w:val="center"/>
              <w:ind w:right="104"/>
              <w:spacing w:after="0"/>
              <w:rPr>
                <w:sz w:val="20"/>
                <w:szCs w:val="20"/>
                <w:color w:val="auto"/>
              </w:rPr>
            </w:pPr>
            <w:r>
              <w:rPr>
                <w:rFonts w:ascii="Arial" w:cs="Arial" w:eastAsia="Arial" w:hAnsi="Arial"/>
                <w:sz w:val="14"/>
                <w:szCs w:val="14"/>
                <w:b w:val="1"/>
                <w:bCs w:val="1"/>
                <w:color w:val="FFFFFF"/>
              </w:rPr>
              <w:t>Exercise/Vesting</w:t>
            </w:r>
          </w:p>
        </w:tc>
        <w:tc>
          <w:tcPr>
            <w:tcW w:w="17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16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9"/>
              </w:rPr>
              <w:t>Available for</w:t>
            </w:r>
          </w:p>
        </w:tc>
      </w:tr>
      <w:tr>
        <w:trPr>
          <w:trHeight w:val="162"/>
        </w:trPr>
        <w:tc>
          <w:tcPr>
            <w:tcW w:w="3280" w:type="dxa"/>
            <w:vAlign w:val="bottom"/>
            <w:tcBorders>
              <w:left w:val="single" w:sz="8" w:color="434F69"/>
              <w:right w:val="single" w:sz="8" w:color="434F69"/>
            </w:tcBorders>
            <w:shd w:val="clear" w:color="auto" w:fill="434F69"/>
          </w:tcPr>
          <w:p>
            <w:pPr>
              <w:spacing w:after="0"/>
              <w:rPr>
                <w:sz w:val="14"/>
                <w:szCs w:val="14"/>
                <w:color w:val="auto"/>
              </w:rPr>
            </w:pPr>
          </w:p>
        </w:tc>
        <w:tc>
          <w:tcPr>
            <w:tcW w:w="1600" w:type="dxa"/>
            <w:vAlign w:val="bottom"/>
            <w:tcBorders>
              <w:right w:val="single" w:sz="8" w:color="434F69"/>
            </w:tcBorders>
            <w:shd w:val="clear" w:color="auto" w:fill="434F69"/>
          </w:tcPr>
          <w:p>
            <w:pPr>
              <w:jc w:val="center"/>
              <w:ind w:right="104"/>
              <w:spacing w:after="0"/>
              <w:rPr>
                <w:sz w:val="20"/>
                <w:szCs w:val="20"/>
                <w:color w:val="auto"/>
              </w:rPr>
            </w:pPr>
            <w:r>
              <w:rPr>
                <w:rFonts w:ascii="Arial" w:cs="Arial" w:eastAsia="Arial" w:hAnsi="Arial"/>
                <w:sz w:val="14"/>
                <w:szCs w:val="14"/>
                <w:b w:val="1"/>
                <w:bCs w:val="1"/>
                <w:color w:val="FFFFFF"/>
              </w:rPr>
              <w:t>of Outstanding</w:t>
            </w:r>
          </w:p>
        </w:tc>
        <w:tc>
          <w:tcPr>
            <w:tcW w:w="17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Outstanding</w:t>
            </w:r>
          </w:p>
        </w:tc>
        <w:tc>
          <w:tcPr>
            <w:tcW w:w="1620" w:type="dxa"/>
            <w:vAlign w:val="bottom"/>
            <w:tcBorders>
              <w:right w:val="single" w:sz="8" w:color="434F69"/>
            </w:tcBorders>
            <w:shd w:val="clear" w:color="auto" w:fill="434F69"/>
          </w:tcPr>
          <w:p>
            <w:pPr>
              <w:jc w:val="center"/>
              <w:ind w:right="7"/>
              <w:spacing w:after="0"/>
              <w:rPr>
                <w:sz w:val="20"/>
                <w:szCs w:val="20"/>
                <w:color w:val="auto"/>
              </w:rPr>
            </w:pPr>
            <w:r>
              <w:rPr>
                <w:rFonts w:ascii="Arial" w:cs="Arial" w:eastAsia="Arial" w:hAnsi="Arial"/>
                <w:sz w:val="14"/>
                <w:szCs w:val="14"/>
                <w:b w:val="1"/>
                <w:bCs w:val="1"/>
                <w:color w:val="FFFFFF"/>
              </w:rPr>
              <w:t>Future Issuance</w:t>
            </w:r>
          </w:p>
        </w:tc>
      </w:tr>
      <w:tr>
        <w:trPr>
          <w:trHeight w:val="162"/>
        </w:trPr>
        <w:tc>
          <w:tcPr>
            <w:tcW w:w="3280" w:type="dxa"/>
            <w:vAlign w:val="bottom"/>
            <w:tcBorders>
              <w:left w:val="single" w:sz="8" w:color="434F69"/>
              <w:right w:val="single" w:sz="8" w:color="434F69"/>
            </w:tcBorders>
            <w:shd w:val="clear" w:color="auto" w:fill="434F69"/>
          </w:tcPr>
          <w:p>
            <w:pPr>
              <w:spacing w:after="0"/>
              <w:rPr>
                <w:sz w:val="14"/>
                <w:szCs w:val="14"/>
                <w:color w:val="auto"/>
              </w:rPr>
            </w:pPr>
          </w:p>
        </w:tc>
        <w:tc>
          <w:tcPr>
            <w:tcW w:w="1600" w:type="dxa"/>
            <w:vAlign w:val="bottom"/>
            <w:tcBorders>
              <w:right w:val="single" w:sz="8" w:color="434F69"/>
            </w:tcBorders>
            <w:shd w:val="clear" w:color="auto" w:fill="434F69"/>
          </w:tcPr>
          <w:p>
            <w:pPr>
              <w:jc w:val="center"/>
              <w:ind w:right="104"/>
              <w:spacing w:after="0"/>
              <w:rPr>
                <w:sz w:val="20"/>
                <w:szCs w:val="20"/>
                <w:color w:val="auto"/>
              </w:rPr>
            </w:pPr>
            <w:r>
              <w:rPr>
                <w:rFonts w:ascii="Arial" w:cs="Arial" w:eastAsia="Arial" w:hAnsi="Arial"/>
                <w:sz w:val="14"/>
                <w:szCs w:val="14"/>
                <w:b w:val="1"/>
                <w:bCs w:val="1"/>
                <w:color w:val="FFFFFF"/>
              </w:rPr>
              <w:t>Options,</w:t>
            </w:r>
          </w:p>
        </w:tc>
        <w:tc>
          <w:tcPr>
            <w:tcW w:w="17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Options,</w:t>
            </w:r>
          </w:p>
        </w:tc>
        <w:tc>
          <w:tcPr>
            <w:tcW w:w="16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3280" w:type="dxa"/>
            <w:vAlign w:val="bottom"/>
            <w:tcBorders>
              <w:left w:val="single" w:sz="8" w:color="434F69"/>
              <w:right w:val="single" w:sz="8" w:color="434F69"/>
            </w:tcBorders>
            <w:shd w:val="clear" w:color="auto" w:fill="434F69"/>
          </w:tcPr>
          <w:p>
            <w:pPr>
              <w:spacing w:after="0"/>
              <w:rPr>
                <w:sz w:val="14"/>
                <w:szCs w:val="14"/>
                <w:color w:val="auto"/>
              </w:rPr>
            </w:pPr>
          </w:p>
        </w:tc>
        <w:tc>
          <w:tcPr>
            <w:tcW w:w="1600" w:type="dxa"/>
            <w:vAlign w:val="bottom"/>
            <w:tcBorders>
              <w:right w:val="single" w:sz="8" w:color="434F69"/>
            </w:tcBorders>
            <w:shd w:val="clear" w:color="auto" w:fill="434F69"/>
          </w:tcPr>
          <w:p>
            <w:pPr>
              <w:jc w:val="center"/>
              <w:ind w:right="104"/>
              <w:spacing w:after="0"/>
              <w:rPr>
                <w:sz w:val="20"/>
                <w:szCs w:val="20"/>
                <w:color w:val="auto"/>
              </w:rPr>
            </w:pPr>
            <w:r>
              <w:rPr>
                <w:rFonts w:ascii="Arial" w:cs="Arial" w:eastAsia="Arial" w:hAnsi="Arial"/>
                <w:sz w:val="14"/>
                <w:szCs w:val="14"/>
                <w:b w:val="1"/>
                <w:bCs w:val="1"/>
                <w:color w:val="FFFFFF"/>
              </w:rPr>
              <w:t>Warrants and</w:t>
            </w:r>
          </w:p>
        </w:tc>
        <w:tc>
          <w:tcPr>
            <w:tcW w:w="17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Warrants and</w:t>
            </w:r>
          </w:p>
        </w:tc>
        <w:tc>
          <w:tcPr>
            <w:tcW w:w="16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3280" w:type="dxa"/>
            <w:vAlign w:val="bottom"/>
            <w:tcBorders>
              <w:left w:val="single" w:sz="8" w:color="434F69"/>
              <w:right w:val="single" w:sz="8" w:color="434F69"/>
            </w:tcBorders>
            <w:shd w:val="clear" w:color="auto" w:fill="434F69"/>
          </w:tcPr>
          <w:p>
            <w:pPr>
              <w:spacing w:after="0"/>
              <w:rPr>
                <w:sz w:val="14"/>
                <w:szCs w:val="14"/>
                <w:color w:val="auto"/>
              </w:rPr>
            </w:pPr>
          </w:p>
        </w:tc>
        <w:tc>
          <w:tcPr>
            <w:tcW w:w="1600" w:type="dxa"/>
            <w:vAlign w:val="bottom"/>
            <w:tcBorders>
              <w:right w:val="single" w:sz="8" w:color="434F69"/>
            </w:tcBorders>
            <w:shd w:val="clear" w:color="auto" w:fill="434F69"/>
          </w:tcPr>
          <w:p>
            <w:pPr>
              <w:jc w:val="center"/>
              <w:ind w:right="104"/>
              <w:spacing w:after="0"/>
              <w:rPr>
                <w:sz w:val="20"/>
                <w:szCs w:val="20"/>
                <w:color w:val="auto"/>
              </w:rPr>
            </w:pPr>
            <w:r>
              <w:rPr>
                <w:rFonts w:ascii="Arial" w:cs="Arial" w:eastAsia="Arial" w:hAnsi="Arial"/>
                <w:sz w:val="14"/>
                <w:szCs w:val="14"/>
                <w:b w:val="1"/>
                <w:bCs w:val="1"/>
                <w:color w:val="FFFFFF"/>
              </w:rPr>
              <w:t>Rights</w:t>
            </w:r>
          </w:p>
        </w:tc>
        <w:tc>
          <w:tcPr>
            <w:tcW w:w="17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Rights</w:t>
            </w:r>
          </w:p>
        </w:tc>
        <w:tc>
          <w:tcPr>
            <w:tcW w:w="1620" w:type="dxa"/>
            <w:vAlign w:val="bottom"/>
            <w:tcBorders>
              <w:right w:val="single" w:sz="8" w:color="434F69"/>
            </w:tcBorders>
            <w:shd w:val="clear" w:color="auto" w:fill="434F69"/>
          </w:tcPr>
          <w:p>
            <w:pPr>
              <w:jc w:val="center"/>
              <w:ind w:right="7"/>
              <w:spacing w:after="0"/>
              <w:rPr>
                <w:sz w:val="20"/>
                <w:szCs w:val="20"/>
                <w:color w:val="auto"/>
              </w:rPr>
            </w:pPr>
            <w:r>
              <w:rPr>
                <w:rFonts w:ascii="Arial" w:cs="Arial" w:eastAsia="Arial" w:hAnsi="Arial"/>
                <w:sz w:val="14"/>
                <w:szCs w:val="14"/>
                <w:b w:val="1"/>
                <w:bCs w:val="1"/>
                <w:color w:val="FFFFFF"/>
              </w:rPr>
              <w:t>Plans</w:t>
            </w:r>
          </w:p>
        </w:tc>
      </w:tr>
      <w:tr>
        <w:trPr>
          <w:trHeight w:val="196"/>
        </w:trPr>
        <w:tc>
          <w:tcPr>
            <w:tcW w:w="3280" w:type="dxa"/>
            <w:vAlign w:val="bottom"/>
            <w:tcBorders>
              <w:left w:val="single" w:sz="8" w:color="434F69"/>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Plan Category</w:t>
            </w:r>
          </w:p>
        </w:tc>
        <w:tc>
          <w:tcPr>
            <w:tcW w:w="1600" w:type="dxa"/>
            <w:vAlign w:val="bottom"/>
            <w:tcBorders>
              <w:bottom w:val="single" w:sz="8" w:color="434F69"/>
              <w:right w:val="single" w:sz="8" w:color="434F69"/>
            </w:tcBorders>
            <w:shd w:val="clear" w:color="auto" w:fill="434F69"/>
          </w:tcPr>
          <w:p>
            <w:pPr>
              <w:jc w:val="center"/>
              <w:ind w:right="64"/>
              <w:spacing w:after="0"/>
              <w:rPr>
                <w:sz w:val="20"/>
                <w:szCs w:val="20"/>
                <w:color w:val="auto"/>
              </w:rPr>
            </w:pPr>
            <w:r>
              <w:rPr>
                <w:rFonts w:ascii="Arial" w:cs="Arial" w:eastAsia="Arial" w:hAnsi="Arial"/>
                <w:sz w:val="14"/>
                <w:szCs w:val="14"/>
                <w:b w:val="1"/>
                <w:bCs w:val="1"/>
                <w:color w:val="FFFFFF"/>
              </w:rPr>
              <w:t>(a)</w:t>
            </w:r>
          </w:p>
        </w:tc>
        <w:tc>
          <w:tcPr>
            <w:tcW w:w="172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(b)</w:t>
            </w:r>
          </w:p>
        </w:tc>
        <w:tc>
          <w:tcPr>
            <w:tcW w:w="162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(c)</w:t>
            </w:r>
          </w:p>
        </w:tc>
      </w:tr>
      <w:tr>
        <w:trPr>
          <w:trHeight w:val="229"/>
        </w:trPr>
        <w:tc>
          <w:tcPr>
            <w:tcW w:w="3280" w:type="dxa"/>
            <w:vAlign w:val="bottom"/>
            <w:tcBorders>
              <w:left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Equity compensation plans approved</w:t>
            </w:r>
          </w:p>
        </w:tc>
        <w:tc>
          <w:tcPr>
            <w:tcW w:w="1600" w:type="dxa"/>
            <w:vAlign w:val="bottom"/>
            <w:tcBorders>
              <w:right w:val="single" w:sz="8" w:color="434F69"/>
            </w:tcBorders>
            <w:shd w:val="clear" w:color="auto" w:fill="D9DCE1"/>
          </w:tcPr>
          <w:p>
            <w:pPr>
              <w:spacing w:after="0"/>
              <w:rPr>
                <w:sz w:val="19"/>
                <w:szCs w:val="19"/>
                <w:color w:val="auto"/>
              </w:rPr>
            </w:pPr>
          </w:p>
        </w:tc>
        <w:tc>
          <w:tcPr>
            <w:tcW w:w="1720" w:type="dxa"/>
            <w:vAlign w:val="bottom"/>
            <w:tcBorders>
              <w:right w:val="single" w:sz="8" w:color="434F69"/>
            </w:tcBorders>
            <w:shd w:val="clear" w:color="auto" w:fill="D9DCE1"/>
          </w:tcPr>
          <w:p>
            <w:pPr>
              <w:spacing w:after="0"/>
              <w:rPr>
                <w:sz w:val="19"/>
                <w:szCs w:val="19"/>
                <w:color w:val="auto"/>
              </w:rPr>
            </w:pPr>
          </w:p>
        </w:tc>
        <w:tc>
          <w:tcPr>
            <w:tcW w:w="1620" w:type="dxa"/>
            <w:vAlign w:val="bottom"/>
            <w:tcBorders>
              <w:right w:val="single" w:sz="8" w:color="434F69"/>
            </w:tcBorders>
            <w:shd w:val="clear" w:color="auto" w:fill="D9DCE1"/>
          </w:tcPr>
          <w:p>
            <w:pPr>
              <w:spacing w:after="0"/>
              <w:rPr>
                <w:sz w:val="19"/>
                <w:szCs w:val="19"/>
                <w:color w:val="auto"/>
              </w:rPr>
            </w:pPr>
          </w:p>
        </w:tc>
      </w:tr>
      <w:tr>
        <w:trPr>
          <w:trHeight w:val="249"/>
        </w:trPr>
        <w:tc>
          <w:tcPr>
            <w:tcW w:w="3280" w:type="dxa"/>
            <w:vAlign w:val="bottom"/>
            <w:tcBorders>
              <w:left w:val="single" w:sz="8" w:color="434F69"/>
              <w:bottom w:val="single" w:sz="8" w:color="D9DCE1"/>
              <w:right w:val="single" w:sz="8" w:color="434F69"/>
            </w:tcBorders>
            <w:shd w:val="clear" w:color="auto" w:fill="D9DCE1"/>
          </w:tcPr>
          <w:p>
            <w:pPr>
              <w:ind w:left="240"/>
              <w:spacing w:after="0"/>
              <w:rPr>
                <w:sz w:val="20"/>
                <w:szCs w:val="20"/>
                <w:color w:val="auto"/>
              </w:rPr>
            </w:pPr>
            <w:r>
              <w:rPr>
                <w:rFonts w:ascii="Arial" w:cs="Arial" w:eastAsia="Arial" w:hAnsi="Arial"/>
                <w:sz w:val="18"/>
                <w:szCs w:val="18"/>
                <w:color w:val="auto"/>
              </w:rPr>
              <w:t>by unitholders:</w:t>
            </w:r>
          </w:p>
        </w:tc>
        <w:tc>
          <w:tcPr>
            <w:tcW w:w="1600" w:type="dxa"/>
            <w:vAlign w:val="bottom"/>
            <w:tcBorders>
              <w:bottom w:val="single" w:sz="8" w:color="D9DCE1"/>
              <w:right w:val="single" w:sz="8" w:color="434F69"/>
            </w:tcBorders>
            <w:shd w:val="clear" w:color="auto" w:fill="D9DCE1"/>
          </w:tcPr>
          <w:p>
            <w:pPr>
              <w:spacing w:after="0"/>
              <w:rPr>
                <w:sz w:val="21"/>
                <w:szCs w:val="21"/>
                <w:color w:val="auto"/>
              </w:rPr>
            </w:pPr>
          </w:p>
        </w:tc>
        <w:tc>
          <w:tcPr>
            <w:tcW w:w="1720" w:type="dxa"/>
            <w:vAlign w:val="bottom"/>
            <w:tcBorders>
              <w:bottom w:val="single" w:sz="8" w:color="D9DCE1"/>
              <w:right w:val="single" w:sz="8" w:color="434F69"/>
            </w:tcBorders>
            <w:shd w:val="clear" w:color="auto" w:fill="D9DCE1"/>
          </w:tcPr>
          <w:p>
            <w:pPr>
              <w:spacing w:after="0"/>
              <w:rPr>
                <w:sz w:val="21"/>
                <w:szCs w:val="21"/>
                <w:color w:val="auto"/>
              </w:rPr>
            </w:pPr>
          </w:p>
        </w:tc>
        <w:tc>
          <w:tcPr>
            <w:tcW w:w="1620" w:type="dxa"/>
            <w:vAlign w:val="bottom"/>
            <w:tcBorders>
              <w:bottom w:val="single" w:sz="8" w:color="D9DCE1"/>
              <w:right w:val="single" w:sz="8" w:color="434F69"/>
            </w:tcBorders>
            <w:shd w:val="clear" w:color="auto" w:fill="D9DCE1"/>
          </w:tcPr>
          <w:p>
            <w:pPr>
              <w:spacing w:after="0"/>
              <w:rPr>
                <w:sz w:val="21"/>
                <w:szCs w:val="21"/>
                <w:color w:val="auto"/>
              </w:rPr>
            </w:pPr>
          </w:p>
        </w:tc>
      </w:tr>
      <w:tr>
        <w:trPr>
          <w:trHeight w:val="263"/>
        </w:trPr>
        <w:tc>
          <w:tcPr>
            <w:tcW w:w="3280" w:type="dxa"/>
            <w:vAlign w:val="bottom"/>
            <w:tcBorders>
              <w:top w:val="single" w:sz="8" w:color="434F69"/>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2021 Long Term Incentive Plan</w:t>
            </w:r>
          </w:p>
        </w:tc>
        <w:tc>
          <w:tcPr>
            <w:tcW w:w="1600" w:type="dxa"/>
            <w:vAlign w:val="bottom"/>
            <w:tcBorders>
              <w:top w:val="single" w:sz="8" w:color="434F69"/>
              <w:bottom w:val="single" w:sz="8" w:color="434F69"/>
              <w:right w:val="single" w:sz="8" w:color="434F69"/>
            </w:tcBorders>
          </w:tcPr>
          <w:p>
            <w:pPr>
              <w:jc w:val="right"/>
              <w:ind w:right="284"/>
              <w:spacing w:after="0" w:line="263" w:lineRule="exact"/>
              <w:rPr>
                <w:sz w:val="20"/>
                <w:szCs w:val="20"/>
                <w:color w:val="auto"/>
              </w:rPr>
            </w:pPr>
            <w:r>
              <w:rPr>
                <w:rFonts w:ascii="Arial" w:cs="Arial" w:eastAsia="Arial" w:hAnsi="Arial"/>
                <w:sz w:val="18"/>
                <w:szCs w:val="18"/>
                <w:color w:val="auto"/>
              </w:rPr>
              <w:t>8,812,211</w:t>
            </w:r>
            <w:r>
              <w:rPr>
                <w:rFonts w:ascii="Arial" w:cs="Arial" w:eastAsia="Arial" w:hAnsi="Arial"/>
                <w:sz w:val="26"/>
                <w:szCs w:val="26"/>
                <w:color w:val="auto"/>
                <w:vertAlign w:val="superscript"/>
              </w:rPr>
              <w:t>(1)</w:t>
            </w:r>
          </w:p>
        </w:tc>
        <w:tc>
          <w:tcPr>
            <w:tcW w:w="1720" w:type="dxa"/>
            <w:vAlign w:val="bottom"/>
            <w:tcBorders>
              <w:top w:val="single" w:sz="8" w:color="434F69"/>
              <w:bottom w:val="single" w:sz="8" w:color="434F69"/>
              <w:right w:val="single" w:sz="8" w:color="434F69"/>
            </w:tcBorders>
          </w:tcPr>
          <w:p>
            <w:pPr>
              <w:ind w:left="640"/>
              <w:spacing w:after="0" w:line="263" w:lineRule="exact"/>
              <w:rPr>
                <w:sz w:val="20"/>
                <w:szCs w:val="20"/>
                <w:color w:val="auto"/>
              </w:rPr>
            </w:pPr>
            <w:r>
              <w:rPr>
                <w:rFonts w:ascii="Arial" w:cs="Arial" w:eastAsia="Arial" w:hAnsi="Arial"/>
                <w:sz w:val="18"/>
                <w:szCs w:val="18"/>
                <w:color w:val="auto"/>
              </w:rPr>
              <w:t>N/A</w:t>
            </w:r>
            <w:r>
              <w:rPr>
                <w:rFonts w:ascii="Arial" w:cs="Arial" w:eastAsia="Arial" w:hAnsi="Arial"/>
                <w:sz w:val="26"/>
                <w:szCs w:val="26"/>
                <w:color w:val="auto"/>
                <w:vertAlign w:val="superscript"/>
              </w:rPr>
              <w:t>(2)</w:t>
            </w:r>
          </w:p>
        </w:tc>
        <w:tc>
          <w:tcPr>
            <w:tcW w:w="1620" w:type="dxa"/>
            <w:vAlign w:val="bottom"/>
            <w:tcBorders>
              <w:top w:val="single" w:sz="8" w:color="434F69"/>
              <w:bottom w:val="single" w:sz="8" w:color="434F69"/>
              <w:right w:val="single" w:sz="8" w:color="434F69"/>
            </w:tcBorders>
          </w:tcPr>
          <w:p>
            <w:pPr>
              <w:jc w:val="right"/>
              <w:ind w:right="27"/>
              <w:spacing w:after="0" w:line="263" w:lineRule="exact"/>
              <w:rPr>
                <w:sz w:val="20"/>
                <w:szCs w:val="20"/>
                <w:color w:val="auto"/>
              </w:rPr>
            </w:pPr>
            <w:r>
              <w:rPr>
                <w:rFonts w:ascii="Arial" w:cs="Arial" w:eastAsia="Arial" w:hAnsi="Arial"/>
                <w:sz w:val="18"/>
                <w:szCs w:val="18"/>
                <w:color w:val="auto"/>
              </w:rPr>
              <w:t>19,677,219</w:t>
            </w:r>
            <w:r>
              <w:rPr>
                <w:rFonts w:ascii="Arial" w:cs="Arial" w:eastAsia="Arial" w:hAnsi="Arial"/>
                <w:sz w:val="26"/>
                <w:szCs w:val="26"/>
                <w:color w:val="auto"/>
                <w:vertAlign w:val="superscript"/>
              </w:rPr>
              <w:t>(3)(4)</w:t>
            </w:r>
          </w:p>
        </w:tc>
      </w:tr>
      <w:tr>
        <w:trPr>
          <w:trHeight w:val="222"/>
        </w:trPr>
        <w:tc>
          <w:tcPr>
            <w:tcW w:w="3280" w:type="dxa"/>
            <w:vAlign w:val="bottom"/>
            <w:tcBorders>
              <w:left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Equity compensation plans not</w:t>
            </w:r>
          </w:p>
        </w:tc>
        <w:tc>
          <w:tcPr>
            <w:tcW w:w="1600" w:type="dxa"/>
            <w:vAlign w:val="bottom"/>
            <w:tcBorders>
              <w:right w:val="single" w:sz="8" w:color="434F69"/>
            </w:tcBorders>
            <w:shd w:val="clear" w:color="auto" w:fill="D9DCE1"/>
          </w:tcPr>
          <w:p>
            <w:pPr>
              <w:spacing w:after="0"/>
              <w:rPr>
                <w:sz w:val="19"/>
                <w:szCs w:val="19"/>
                <w:color w:val="auto"/>
              </w:rPr>
            </w:pPr>
          </w:p>
        </w:tc>
        <w:tc>
          <w:tcPr>
            <w:tcW w:w="1720" w:type="dxa"/>
            <w:vAlign w:val="bottom"/>
            <w:tcBorders>
              <w:right w:val="single" w:sz="8" w:color="434F69"/>
            </w:tcBorders>
            <w:shd w:val="clear" w:color="auto" w:fill="D9DCE1"/>
          </w:tcPr>
          <w:p>
            <w:pPr>
              <w:spacing w:after="0"/>
              <w:rPr>
                <w:sz w:val="19"/>
                <w:szCs w:val="19"/>
                <w:color w:val="auto"/>
              </w:rPr>
            </w:pPr>
          </w:p>
        </w:tc>
        <w:tc>
          <w:tcPr>
            <w:tcW w:w="1620" w:type="dxa"/>
            <w:vAlign w:val="bottom"/>
            <w:tcBorders>
              <w:right w:val="single" w:sz="8" w:color="434F69"/>
            </w:tcBorders>
            <w:shd w:val="clear" w:color="auto" w:fill="D9DCE1"/>
          </w:tcPr>
          <w:p>
            <w:pPr>
              <w:spacing w:after="0"/>
              <w:rPr>
                <w:sz w:val="19"/>
                <w:szCs w:val="19"/>
                <w:color w:val="auto"/>
              </w:rPr>
            </w:pPr>
          </w:p>
        </w:tc>
      </w:tr>
      <w:tr>
        <w:trPr>
          <w:trHeight w:val="249"/>
        </w:trPr>
        <w:tc>
          <w:tcPr>
            <w:tcW w:w="3280" w:type="dxa"/>
            <w:vAlign w:val="bottom"/>
            <w:tcBorders>
              <w:left w:val="single" w:sz="8" w:color="434F69"/>
              <w:bottom w:val="single" w:sz="8" w:color="D9DCE1"/>
              <w:right w:val="single" w:sz="8" w:color="434F69"/>
            </w:tcBorders>
            <w:shd w:val="clear" w:color="auto" w:fill="D9DCE1"/>
          </w:tcPr>
          <w:p>
            <w:pPr>
              <w:ind w:left="240"/>
              <w:spacing w:after="0"/>
              <w:rPr>
                <w:sz w:val="20"/>
                <w:szCs w:val="20"/>
                <w:color w:val="auto"/>
              </w:rPr>
            </w:pPr>
            <w:r>
              <w:rPr>
                <w:rFonts w:ascii="Arial" w:cs="Arial" w:eastAsia="Arial" w:hAnsi="Arial"/>
                <w:sz w:val="18"/>
                <w:szCs w:val="18"/>
                <w:color w:val="auto"/>
              </w:rPr>
              <w:t>approved by unitholders:</w:t>
            </w:r>
          </w:p>
        </w:tc>
        <w:tc>
          <w:tcPr>
            <w:tcW w:w="1600" w:type="dxa"/>
            <w:vAlign w:val="bottom"/>
            <w:tcBorders>
              <w:bottom w:val="single" w:sz="8" w:color="D9DCE1"/>
              <w:right w:val="single" w:sz="8" w:color="434F69"/>
            </w:tcBorders>
            <w:shd w:val="clear" w:color="auto" w:fill="D9DCE1"/>
          </w:tcPr>
          <w:p>
            <w:pPr>
              <w:spacing w:after="0"/>
              <w:rPr>
                <w:sz w:val="21"/>
                <w:szCs w:val="21"/>
                <w:color w:val="auto"/>
              </w:rPr>
            </w:pPr>
          </w:p>
        </w:tc>
        <w:tc>
          <w:tcPr>
            <w:tcW w:w="1720" w:type="dxa"/>
            <w:vAlign w:val="bottom"/>
            <w:tcBorders>
              <w:bottom w:val="single" w:sz="8" w:color="D9DCE1"/>
              <w:right w:val="single" w:sz="8" w:color="434F69"/>
            </w:tcBorders>
            <w:shd w:val="clear" w:color="auto" w:fill="D9DCE1"/>
          </w:tcPr>
          <w:p>
            <w:pPr>
              <w:spacing w:after="0"/>
              <w:rPr>
                <w:sz w:val="21"/>
                <w:szCs w:val="21"/>
                <w:color w:val="auto"/>
              </w:rPr>
            </w:pPr>
          </w:p>
        </w:tc>
        <w:tc>
          <w:tcPr>
            <w:tcW w:w="1620" w:type="dxa"/>
            <w:vAlign w:val="bottom"/>
            <w:tcBorders>
              <w:bottom w:val="single" w:sz="8" w:color="D9DCE1"/>
              <w:right w:val="single" w:sz="8" w:color="434F69"/>
            </w:tcBorders>
            <w:shd w:val="clear" w:color="auto" w:fill="D9DCE1"/>
          </w:tcPr>
          <w:p>
            <w:pPr>
              <w:spacing w:after="0"/>
              <w:rPr>
                <w:sz w:val="21"/>
                <w:szCs w:val="21"/>
                <w:color w:val="auto"/>
              </w:rPr>
            </w:pPr>
          </w:p>
        </w:tc>
      </w:tr>
      <w:tr>
        <w:trPr>
          <w:trHeight w:val="263"/>
        </w:trPr>
        <w:tc>
          <w:tcPr>
            <w:tcW w:w="3280" w:type="dxa"/>
            <w:vAlign w:val="bottom"/>
            <w:tcBorders>
              <w:top w:val="single" w:sz="8" w:color="434F69"/>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PNG Successor Plan</w:t>
            </w:r>
          </w:p>
        </w:tc>
        <w:tc>
          <w:tcPr>
            <w:tcW w:w="1600" w:type="dxa"/>
            <w:vAlign w:val="bottom"/>
            <w:tcBorders>
              <w:top w:val="single" w:sz="8" w:color="434F69"/>
              <w:bottom w:val="single" w:sz="8" w:color="434F69"/>
              <w:right w:val="single" w:sz="8" w:color="434F69"/>
            </w:tcBorders>
          </w:tcPr>
          <w:p>
            <w:pPr>
              <w:jc w:val="right"/>
              <w:ind w:right="284"/>
              <w:spacing w:after="0" w:line="263" w:lineRule="exact"/>
              <w:rPr>
                <w:sz w:val="20"/>
                <w:szCs w:val="20"/>
                <w:color w:val="auto"/>
              </w:rPr>
            </w:pPr>
            <w:r>
              <w:rPr>
                <w:rFonts w:ascii="Arial" w:cs="Arial" w:eastAsia="Arial" w:hAnsi="Arial"/>
                <w:sz w:val="18"/>
                <w:szCs w:val="18"/>
                <w:color w:val="auto"/>
              </w:rPr>
              <w:t>532,086</w:t>
            </w:r>
            <w:r>
              <w:rPr>
                <w:rFonts w:ascii="Arial" w:cs="Arial" w:eastAsia="Arial" w:hAnsi="Arial"/>
                <w:sz w:val="26"/>
                <w:szCs w:val="26"/>
                <w:color w:val="auto"/>
                <w:vertAlign w:val="superscript"/>
              </w:rPr>
              <w:t>(4)</w:t>
            </w:r>
          </w:p>
        </w:tc>
        <w:tc>
          <w:tcPr>
            <w:tcW w:w="1720" w:type="dxa"/>
            <w:vAlign w:val="bottom"/>
            <w:tcBorders>
              <w:top w:val="single" w:sz="8" w:color="434F69"/>
              <w:bottom w:val="single" w:sz="8" w:color="434F69"/>
              <w:right w:val="single" w:sz="8" w:color="434F69"/>
            </w:tcBorders>
          </w:tcPr>
          <w:p>
            <w:pPr>
              <w:ind w:left="640"/>
              <w:spacing w:after="0" w:line="263" w:lineRule="exact"/>
              <w:rPr>
                <w:sz w:val="20"/>
                <w:szCs w:val="20"/>
                <w:color w:val="auto"/>
              </w:rPr>
            </w:pPr>
            <w:r>
              <w:rPr>
                <w:rFonts w:ascii="Arial" w:cs="Arial" w:eastAsia="Arial" w:hAnsi="Arial"/>
                <w:sz w:val="18"/>
                <w:szCs w:val="18"/>
                <w:color w:val="auto"/>
              </w:rPr>
              <w:t>N/A</w:t>
            </w:r>
            <w:r>
              <w:rPr>
                <w:rFonts w:ascii="Arial" w:cs="Arial" w:eastAsia="Arial" w:hAnsi="Arial"/>
                <w:sz w:val="26"/>
                <w:szCs w:val="26"/>
                <w:color w:val="auto"/>
                <w:vertAlign w:val="superscript"/>
              </w:rPr>
              <w:t>(2)</w:t>
            </w:r>
          </w:p>
        </w:tc>
        <w:tc>
          <w:tcPr>
            <w:tcW w:w="1620" w:type="dxa"/>
            <w:vAlign w:val="bottom"/>
            <w:tcBorders>
              <w:top w:val="single" w:sz="8" w:color="434F69"/>
              <w:bottom w:val="single" w:sz="8" w:color="434F69"/>
              <w:right w:val="single" w:sz="8" w:color="434F69"/>
            </w:tcBorders>
          </w:tcPr>
          <w:p>
            <w:pPr>
              <w:jc w:val="right"/>
              <w:ind w:right="27"/>
              <w:spacing w:after="0" w:line="264" w:lineRule="exact"/>
              <w:rPr>
                <w:sz w:val="20"/>
                <w:szCs w:val="20"/>
                <w:color w:val="auto"/>
              </w:rPr>
            </w:pPr>
            <w:r>
              <w:rPr>
                <w:rFonts w:ascii="Arial" w:cs="Arial" w:eastAsia="Arial" w:hAnsi="Arial"/>
                <w:sz w:val="30"/>
                <w:szCs w:val="30"/>
                <w:color w:val="auto"/>
                <w:vertAlign w:val="subscript"/>
              </w:rPr>
              <w:t>9,075</w:t>
            </w:r>
            <w:r>
              <w:rPr>
                <w:rFonts w:ascii="Arial" w:cs="Arial" w:eastAsia="Arial" w:hAnsi="Arial"/>
                <w:sz w:val="12"/>
                <w:szCs w:val="12"/>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248920</wp:posOffset>
            </wp:positionV>
            <wp:extent cx="12344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620" w:right="419" w:hanging="360"/>
        <w:spacing w:after="0" w:line="237" w:lineRule="auto"/>
        <w:tabs>
          <w:tab w:leader="none" w:pos="1620" w:val="left"/>
        </w:tabs>
        <w:numPr>
          <w:ilvl w:val="0"/>
          <w:numId w:val="73"/>
        </w:numPr>
        <w:rPr>
          <w:rFonts w:ascii="Arial" w:cs="Arial" w:eastAsia="Arial" w:hAnsi="Arial"/>
          <w:sz w:val="27"/>
          <w:szCs w:val="27"/>
          <w:color w:val="auto"/>
          <w:vertAlign w:val="superscript"/>
        </w:rPr>
      </w:pPr>
      <w:r>
        <w:rPr>
          <w:rFonts w:ascii="Arial" w:cs="Arial" w:eastAsia="Arial" w:hAnsi="Arial"/>
          <w:sz w:val="18"/>
          <w:szCs w:val="18"/>
          <w:color w:val="auto"/>
        </w:rPr>
        <w:t>The 2021 Long-Term Incentive Plan (the “2021 Plan”), which was approved by our unitholders in May 2021, amended, restated and renamed the 2013 Long-Term Incentive Plan (the “2013 Plan” or “prior plan”). The 2021 Plan contemplates the issuance or delivery of up to 28,786,102 common units to satisfy awards under the plan, which amount is net of 9,063,516 common units previously issued under the prior plan. The number of units presented in column (a) assumes that all outstanding grants will be satisfied by the issuance of new units upon vesting unless such grants are by their terms payable only in cash. Some portion of the phantom units may be settled in cash or will be withheld for taxes. Any units not issued upon vesting will become “available for future issuance” under column (c).</w:t>
      </w:r>
    </w:p>
    <w:p>
      <w:pPr>
        <w:spacing w:after="0" w:line="83" w:lineRule="exact"/>
        <w:rPr>
          <w:rFonts w:ascii="Arial" w:cs="Arial" w:eastAsia="Arial" w:hAnsi="Arial"/>
          <w:sz w:val="27"/>
          <w:szCs w:val="27"/>
          <w:color w:val="auto"/>
          <w:vertAlign w:val="superscript"/>
        </w:rPr>
      </w:pPr>
    </w:p>
    <w:p>
      <w:pPr>
        <w:ind w:left="1620" w:right="559" w:hanging="360"/>
        <w:spacing w:after="0" w:line="200" w:lineRule="auto"/>
        <w:tabs>
          <w:tab w:leader="none" w:pos="1620" w:val="left"/>
        </w:tabs>
        <w:numPr>
          <w:ilvl w:val="0"/>
          <w:numId w:val="73"/>
        </w:numPr>
        <w:rPr>
          <w:rFonts w:ascii="Arial" w:cs="Arial" w:eastAsia="Arial" w:hAnsi="Arial"/>
          <w:sz w:val="27"/>
          <w:szCs w:val="27"/>
          <w:color w:val="auto"/>
          <w:vertAlign w:val="superscript"/>
        </w:rPr>
      </w:pPr>
      <w:r>
        <w:rPr>
          <w:rFonts w:ascii="Arial" w:cs="Arial" w:eastAsia="Arial" w:hAnsi="Arial"/>
          <w:sz w:val="18"/>
          <w:szCs w:val="18"/>
          <w:color w:val="auto"/>
        </w:rPr>
        <w:t>Phantom unit awards under the 2021 Plan and PNG Successor Plan (defined below) vest without payment by recipients.</w:t>
      </w:r>
    </w:p>
    <w:p>
      <w:pPr>
        <w:spacing w:after="0" w:line="68" w:lineRule="exact"/>
        <w:rPr>
          <w:rFonts w:ascii="Arial" w:cs="Arial" w:eastAsia="Arial" w:hAnsi="Arial"/>
          <w:sz w:val="27"/>
          <w:szCs w:val="27"/>
          <w:color w:val="auto"/>
          <w:vertAlign w:val="superscript"/>
        </w:rPr>
      </w:pPr>
    </w:p>
    <w:p>
      <w:pPr>
        <w:ind w:left="1620" w:right="579" w:hanging="360"/>
        <w:spacing w:after="0" w:line="214" w:lineRule="auto"/>
        <w:tabs>
          <w:tab w:leader="none" w:pos="1620" w:val="left"/>
        </w:tabs>
        <w:numPr>
          <w:ilvl w:val="0"/>
          <w:numId w:val="73"/>
        </w:numPr>
        <w:rPr>
          <w:rFonts w:ascii="Arial" w:cs="Arial" w:eastAsia="Arial" w:hAnsi="Arial"/>
          <w:sz w:val="27"/>
          <w:szCs w:val="27"/>
          <w:color w:val="auto"/>
          <w:vertAlign w:val="superscript"/>
        </w:rPr>
      </w:pPr>
      <w:r>
        <w:rPr>
          <w:rFonts w:ascii="Arial" w:cs="Arial" w:eastAsia="Arial" w:hAnsi="Arial"/>
          <w:sz w:val="18"/>
          <w:szCs w:val="18"/>
          <w:color w:val="auto"/>
        </w:rPr>
        <w:t>In accordance with Item 201(d) of Regulation S-K, column (c) excludes the securities disclosed in column (a). However, as discussed in footnotes (1) and (4), any phantom units represented in column (a) that are not satisfied by the issuance of units become “available for future issuance.”</w:t>
      </w:r>
    </w:p>
    <w:p>
      <w:pPr>
        <w:spacing w:after="0" w:line="69" w:lineRule="exact"/>
        <w:rPr>
          <w:rFonts w:ascii="Arial" w:cs="Arial" w:eastAsia="Arial" w:hAnsi="Arial"/>
          <w:sz w:val="27"/>
          <w:szCs w:val="27"/>
          <w:color w:val="auto"/>
          <w:vertAlign w:val="superscript"/>
        </w:rPr>
      </w:pPr>
    </w:p>
    <w:p>
      <w:pPr>
        <w:ind w:left="1620" w:right="459" w:hanging="360"/>
        <w:spacing w:after="0" w:line="250" w:lineRule="auto"/>
        <w:tabs>
          <w:tab w:leader="none" w:pos="1620" w:val="left"/>
        </w:tabs>
        <w:numPr>
          <w:ilvl w:val="0"/>
          <w:numId w:val="73"/>
        </w:numPr>
        <w:rPr>
          <w:rFonts w:ascii="Arial" w:cs="Arial" w:eastAsia="Arial" w:hAnsi="Arial"/>
          <w:sz w:val="26"/>
          <w:szCs w:val="26"/>
          <w:color w:val="auto"/>
          <w:vertAlign w:val="superscript"/>
        </w:rPr>
      </w:pPr>
      <w:r>
        <w:rPr>
          <w:rFonts w:ascii="Arial" w:cs="Arial" w:eastAsia="Arial" w:hAnsi="Arial"/>
          <w:sz w:val="17"/>
          <w:szCs w:val="17"/>
          <w:color w:val="auto"/>
        </w:rPr>
        <w:t>In December 2013, in connection with the PNG Merger, we adopted and assumed the PAA Natural Gas Storage, L.P. 2010 Long Term Incentive Plan (the “PNG Legacy Plan”), and all outstanding awards of PNG phantom units were converted into comparable awards of PAA phantom units by applying the merger exchange ratio of 0.445 PAA common units for each PNG common unit and rounding down for any fractions. The GP LLC board of directors amended and restated the PNG Legacy Plan, which is now known as the PNG Successor Long-Term Incentive Plan (the “PNG Successor Plan”). The PNG Successor Plan contemplates the issuance or delivery of up to 1,319,983 units to satisfy awards under the plan, which amount is net of 15,017 common units previously issued under the PNG Legacy Plan. The number of units presented in column</w:t>
      </w:r>
    </w:p>
    <w:p>
      <w:pPr>
        <w:spacing w:after="0" w:line="3" w:lineRule="exact"/>
        <w:rPr>
          <w:rFonts w:ascii="Arial" w:cs="Arial" w:eastAsia="Arial" w:hAnsi="Arial"/>
          <w:sz w:val="26"/>
          <w:szCs w:val="26"/>
          <w:color w:val="auto"/>
          <w:vertAlign w:val="superscript"/>
        </w:rPr>
      </w:pPr>
    </w:p>
    <w:p>
      <w:pPr>
        <w:ind w:left="1620" w:right="479"/>
        <w:spacing w:after="0" w:line="254" w:lineRule="auto"/>
        <w:rPr>
          <w:rFonts w:ascii="Arial" w:cs="Arial" w:eastAsia="Arial" w:hAnsi="Arial"/>
          <w:sz w:val="26"/>
          <w:szCs w:val="26"/>
          <w:color w:val="auto"/>
          <w:vertAlign w:val="superscript"/>
        </w:rPr>
      </w:pPr>
      <w:r>
        <w:rPr>
          <w:rFonts w:ascii="Arial" w:cs="Arial" w:eastAsia="Arial" w:hAnsi="Arial"/>
          <w:sz w:val="18"/>
          <w:szCs w:val="18"/>
          <w:color w:val="auto"/>
        </w:rPr>
        <w:t>(a) assumes that all outstanding grants will be satisfied by the issuance of new units upon vesting unless such LTIPs are by their terms payable only in cash. Some portion of the phantom units may be settled in cash or will be withheld for taxes. Any units not issued upon vesting will become “available for future issuance” under column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General Partner</w:t>
      </w:r>
    </w:p>
    <w:p>
      <w:pPr>
        <w:spacing w:after="0" w:line="16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Our operations and activities are managed, and our officers and personnel are employed, by our general partner (or, in the case of our Canadian operations, Plains Midstream Canada ULC). We do not pay our general partner a management fee, but we do reimburse our general partner for all expenses incurred on our behalf (other than expenses related to the AAP Management Units). Total costs reimbursed by us to our general partner for the year ended December 31, 2021 were approximately $467 million.</w:t>
      </w:r>
    </w:p>
    <w:p>
      <w:pPr>
        <w:spacing w:after="0" w:line="141"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Our general partner owns a non-economic general partner interest in us and, as of March 28, 2022, owned approximately 241.5 million common units (representing approximately 31% of our outstanding common units and Series A preferred units combined). This limited partner interest entitles our general partner to receive quarterly distributions at the same rate as other common unitholders.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Equity-Based Long-Term Incentive Plans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80"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In May 2021, our unitholders approved the adoption of the 2021 Plan, which amended, restated and renamed the 2013 Plan. In December 2013, in connection with the PNG Merger, we adopted and assumed the PNG Legacy Plan, and all outstanding awards of PNG phantom units were converted into comparable awards of PAA phantom units by applying the merger exchange ratio of 0.445 PAA common units for each PNG common unit and rounding down for any fractions. The Board amended and restated the PNG Legacy Plan, which is now known as the PNG Successor Plan (together with the 2021 Plan, the “Plans”). The provisions of the PNG Successor Plan are substantially the same as the 2013 Plan, except that new awards under the PNG Successor Plan may only be made to employees hired after the date of the PNG Merger. Awards contemplated by the Plans include phantom units, unit appreciation rights, restricted units, options, DERs and cash awards. The 2021 Plan authorizes the grant of awards covering an aggregate of 28,786,102 common units deliverable upon vesting or exercise (as applicable) of such awards. The PNG Successor Plan authorizes the grant of awards covering an aggregate of 1,319,983 common units deliverable upon vesting or exercise (as applicable) of such awards.</w:t>
      </w:r>
    </w:p>
    <w:p>
      <w:pPr>
        <w:spacing w:after="0" w:line="12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Plans are administered by the compensation committee or other Board committee appointed to administer the Plans, or by the Board. The plan administrator has the right to terminate or amend the Plans from time to time, including, subject to any applicable Nasdaq listing requirements, increasing the number of common units available for awards under the Plans. No change may be made to any outstanding grant that would materially reduce the benefits of the holder of such grant without the consent of such holder.</w:t>
      </w:r>
    </w:p>
    <w:p>
      <w:pPr>
        <w:spacing w:after="0" w:line="141"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8"/>
          <w:szCs w:val="18"/>
          <w:color w:val="auto"/>
        </w:rPr>
        <w:t>Common units to be delivered upon the vesting and settlement of awards may be common units acquired in the open market, newly issued common units, common units acquired from us, any of our affiliates or any other person, or any combination of the foregoing. Our general partner will be entitled to reimbursement by us for the cost incurred in acquiring common units. When we issue new</w:t>
      </w:r>
    </w:p>
    <w:p>
      <w:pPr>
        <w:spacing w:after="0" w:line="2"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common units upon vesting and settlement of grants, the total number of common units outstanding increases.</w:t>
      </w:r>
    </w:p>
    <w:p>
      <w:pPr>
        <w:spacing w:after="0" w:line="130"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Pursuant to the terms of the 2021 Plan, if any Award is forfeited, canceled, exercised or otherwise terminated without the actual delivery of common units pursuant to such Award, or if any common units under an Award are held back to cover tax withholding, then, in either such case, any common units that are so forfeited, canceled, exercised or otherwise terminated without the actual delivery of common units or held back to cover tax withholding (excluding restricted unit Awards) shall be available to satisfy future Awards under the 2021 Plan. Units tendered or withheld in payment of any exercise or purchase price of an Award, units that were subject to an option or unit appreciation right but were not issued or delivered as a result of the net settlement of such Award, and units repurchased on the</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color w:val="auto"/>
        </w:rPr>
        <w:t>open market with the proceeds of an option’s exercise price, will not, in each case, be available for future Awards under the 2021 Plan.</w:t>
      </w:r>
    </w:p>
    <w:p>
      <w:pPr>
        <w:spacing w:after="0" w:line="116"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As of December 31, 2021, grants of approximately 8,812,211 and 532,086 unvested phantom units were outstanding under the 2021 Plan and PNG Successor Plan, respectively, and approximately 19,677,219 and 9,075 remained available for future grant, respectively. The plan administrator may, in the future, make additional grants under the Plans to employees and directors containing such terms as the plan administrator shall determine.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Awards</w:t>
      </w:r>
    </w:p>
    <w:p>
      <w:pPr>
        <w:spacing w:after="0" w:line="162" w:lineRule="exact"/>
        <w:rPr>
          <w:sz w:val="20"/>
          <w:szCs w:val="20"/>
          <w:color w:val="auto"/>
        </w:rPr>
      </w:pPr>
    </w:p>
    <w:p>
      <w:pPr>
        <w:ind w:left="1260" w:right="559" w:firstLine="360"/>
        <w:spacing w:after="0" w:line="242" w:lineRule="auto"/>
        <w:rPr>
          <w:sz w:val="20"/>
          <w:szCs w:val="20"/>
          <w:color w:val="auto"/>
        </w:rPr>
      </w:pPr>
      <w:r>
        <w:rPr>
          <w:rFonts w:ascii="Arial" w:cs="Arial" w:eastAsia="Arial" w:hAnsi="Arial"/>
          <w:sz w:val="18"/>
          <w:szCs w:val="18"/>
          <w:i w:val="1"/>
          <w:iCs w:val="1"/>
          <w:color w:val="auto"/>
        </w:rPr>
        <w:t xml:space="preserve">Phantom Units. </w:t>
      </w:r>
      <w:r>
        <w:rPr>
          <w:rFonts w:ascii="Arial" w:cs="Arial" w:eastAsia="Arial" w:hAnsi="Arial"/>
          <w:sz w:val="18"/>
          <w:szCs w:val="18"/>
          <w:color w:val="auto"/>
        </w:rPr>
        <w:t>A phantom unit entitles the grantee to receive, upon the vesting of the phantom</w:t>
      </w:r>
      <w:r>
        <w:rPr>
          <w:rFonts w:ascii="Arial" w:cs="Arial" w:eastAsia="Arial" w:hAnsi="Arial"/>
          <w:sz w:val="18"/>
          <w:szCs w:val="18"/>
          <w:i w:val="1"/>
          <w:iCs w:val="1"/>
          <w:color w:val="auto"/>
        </w:rPr>
        <w:t xml:space="preserve"> </w:t>
      </w:r>
      <w:r>
        <w:rPr>
          <w:rFonts w:ascii="Arial" w:cs="Arial" w:eastAsia="Arial" w:hAnsi="Arial"/>
          <w:sz w:val="18"/>
          <w:szCs w:val="18"/>
          <w:color w:val="auto"/>
        </w:rPr>
        <w:t>unit, a common unit (or cash equivalent, depending on the terms of the grant). The 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117"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i w:val="1"/>
          <w:iCs w:val="1"/>
          <w:color w:val="auto"/>
        </w:rPr>
        <w:t xml:space="preserve">Unit Appreciation Rights. </w:t>
      </w:r>
      <w:r>
        <w:rPr>
          <w:rFonts w:ascii="Arial" w:cs="Arial" w:eastAsia="Arial" w:hAnsi="Arial"/>
          <w:sz w:val="18"/>
          <w:szCs w:val="18"/>
          <w:color w:val="auto"/>
        </w:rPr>
        <w:t>A unit appreciation right is an award that, upon exercise, entitles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to receive the excess, if any, of the fair market value of a common unit on the exercise date over the grant price of the unit appreciation right. The excess may be paid in cash and/or common units as determined by the plan administrator in its discretion, provided that unit appreciation rights may not have an exercise price that is less than the fair market value of the common units on the date of grant. No unit appreciation rights have been granted under the Plans to date.</w:t>
      </w:r>
    </w:p>
    <w:p>
      <w:pPr>
        <w:spacing w:after="0" w:line="103" w:lineRule="exact"/>
        <w:rPr>
          <w:sz w:val="20"/>
          <w:szCs w:val="20"/>
          <w:color w:val="auto"/>
        </w:rPr>
      </w:pPr>
    </w:p>
    <w:p>
      <w:pPr>
        <w:ind w:left="1260" w:right="579" w:firstLine="360"/>
        <w:spacing w:after="0" w:line="250" w:lineRule="auto"/>
        <w:rPr>
          <w:sz w:val="20"/>
          <w:szCs w:val="20"/>
          <w:color w:val="auto"/>
        </w:rPr>
      </w:pPr>
      <w:r>
        <w:rPr>
          <w:rFonts w:ascii="Arial" w:cs="Arial" w:eastAsia="Arial" w:hAnsi="Arial"/>
          <w:sz w:val="18"/>
          <w:szCs w:val="18"/>
          <w:i w:val="1"/>
          <w:iCs w:val="1"/>
          <w:color w:val="auto"/>
        </w:rPr>
        <w:t xml:space="preserve">Restricted Unit Awards. </w:t>
      </w:r>
      <w:r>
        <w:rPr>
          <w:rFonts w:ascii="Arial" w:cs="Arial" w:eastAsia="Arial" w:hAnsi="Arial"/>
          <w:sz w:val="18"/>
          <w:szCs w:val="18"/>
          <w:color w:val="auto"/>
        </w:rPr>
        <w:t>A restricted unit is a common unit that is subject to a risk of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on transferability, and any other restrictions that may be imposed by the plan administrator in its discretion. No restricted unit awards have been granted under the Plans to date.</w:t>
      </w:r>
    </w:p>
    <w:p>
      <w:pPr>
        <w:spacing w:after="0" w:line="109"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Options may be granted to purchase a specific number of common units at a set</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The exercise price of each option granted under the Plan will be determined by the plan administrator at the time the option is granted, provided no each option may have an exercise price that is less than the fair market value of the common units on the date of grant. No options have been granted under the Plans to date.</w:t>
      </w:r>
    </w:p>
    <w:p>
      <w:pPr>
        <w:spacing w:after="0" w:line="117" w:lineRule="exact"/>
        <w:rPr>
          <w:sz w:val="20"/>
          <w:szCs w:val="20"/>
          <w:color w:val="auto"/>
        </w:rPr>
      </w:pPr>
    </w:p>
    <w:p>
      <w:pPr>
        <w:ind w:left="1260" w:right="839" w:firstLine="360"/>
        <w:spacing w:after="0" w:line="245" w:lineRule="auto"/>
        <w:rPr>
          <w:sz w:val="20"/>
          <w:szCs w:val="20"/>
          <w:color w:val="auto"/>
        </w:rPr>
      </w:pPr>
      <w:r>
        <w:rPr>
          <w:rFonts w:ascii="Arial" w:cs="Arial" w:eastAsia="Arial" w:hAnsi="Arial"/>
          <w:sz w:val="18"/>
          <w:szCs w:val="18"/>
          <w:i w:val="1"/>
          <w:iCs w:val="1"/>
          <w:color w:val="auto"/>
        </w:rPr>
        <w:t xml:space="preserve">Distribution Equivalent Rights. </w:t>
      </w:r>
      <w:r>
        <w:rPr>
          <w:rFonts w:ascii="Arial" w:cs="Arial" w:eastAsia="Arial" w:hAnsi="Arial"/>
          <w:sz w:val="18"/>
          <w:szCs w:val="18"/>
          <w:color w:val="auto"/>
        </w:rPr>
        <w:t>Awards granted under the Plans (other than Restricted Unit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may include DERs. DERs entitle the grantee to a cash payment, either while the Award is outstanding or upon vesting, equal to any cash distributions paid on a unit while the Award is outstanding.</w:t>
      </w:r>
    </w:p>
    <w:p>
      <w:pPr>
        <w:spacing w:after="0" w:line="100" w:lineRule="exact"/>
        <w:rPr>
          <w:sz w:val="20"/>
          <w:szCs w:val="20"/>
          <w:color w:val="auto"/>
        </w:rPr>
      </w:pPr>
    </w:p>
    <w:p>
      <w:pPr>
        <w:ind w:left="1260" w:right="659" w:firstLine="360"/>
        <w:spacing w:after="0" w:line="282" w:lineRule="auto"/>
        <w:rPr>
          <w:sz w:val="20"/>
          <w:szCs w:val="20"/>
          <w:color w:val="auto"/>
        </w:rPr>
      </w:pPr>
      <w:r>
        <w:rPr>
          <w:rFonts w:ascii="Arial" w:cs="Arial" w:eastAsia="Arial" w:hAnsi="Arial"/>
          <w:sz w:val="18"/>
          <w:szCs w:val="18"/>
          <w:i w:val="1"/>
          <w:iCs w:val="1"/>
          <w:color w:val="auto"/>
        </w:rPr>
        <w:t xml:space="preserve">Cash Awards. </w:t>
      </w:r>
      <w:r>
        <w:rPr>
          <w:rFonts w:ascii="Arial" w:cs="Arial" w:eastAsia="Arial" w:hAnsi="Arial"/>
          <w:sz w:val="18"/>
          <w:szCs w:val="18"/>
          <w:color w:val="auto"/>
        </w:rPr>
        <w:t>Cash Awards may be granted on a free-standing basis or as an element of, as a</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to, or in lieu of any other Award granted under the 2021 Plan.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Our General Partner or one of its affiliates are authorized to withhold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 from any payment due or transfer made under any Award or from any compensation or other amount owing to a plan participant, the amount (in cash, common units, other securities or other property) of any applicable taxes payable with respect to the grant of an Award, its exercise, the lapse of restrictions applicable to an Award or in connection with any payment relating to an Award or the transfer of an Award and to take such other actions as may be necessary to satisfy any tax withholding obligations with respect to an Award.</w:t>
      </w:r>
    </w:p>
    <w:p>
      <w:pPr>
        <w:spacing w:after="0" w:line="121" w:lineRule="exact"/>
        <w:rPr>
          <w:sz w:val="20"/>
          <w:szCs w:val="20"/>
          <w:color w:val="auto"/>
        </w:rPr>
      </w:pPr>
    </w:p>
    <w:p>
      <w:pPr>
        <w:ind w:left="1260" w:right="599" w:firstLine="360"/>
        <w:spacing w:after="0" w:line="282"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Except to the extent specifically provided in an Award agreement, vesting of</w:t>
      </w:r>
      <w:r>
        <w:rPr>
          <w:rFonts w:ascii="Arial" w:cs="Arial" w:eastAsia="Arial" w:hAnsi="Arial"/>
          <w:sz w:val="18"/>
          <w:szCs w:val="18"/>
          <w:i w:val="1"/>
          <w:iCs w:val="1"/>
          <w:color w:val="auto"/>
        </w:rPr>
        <w:t xml:space="preserve"> </w:t>
      </w:r>
      <w:r>
        <w:rPr>
          <w:rFonts w:ascii="Arial" w:cs="Arial" w:eastAsia="Arial" w:hAnsi="Arial"/>
          <w:sz w:val="18"/>
          <w:szCs w:val="18"/>
          <w:color w:val="auto"/>
        </w:rPr>
        <w:t>an Award shall not occur solely upon a change of control.</w:t>
      </w:r>
    </w:p>
    <w:p>
      <w:pPr>
        <w:spacing w:after="0" w:line="81" w:lineRule="exact"/>
        <w:rPr>
          <w:sz w:val="20"/>
          <w:szCs w:val="20"/>
          <w:color w:val="auto"/>
        </w:rPr>
      </w:pPr>
    </w:p>
    <w:p>
      <w:pPr>
        <w:ind w:left="1260" w:right="499" w:firstLine="360"/>
        <w:spacing w:after="0" w:line="258" w:lineRule="auto"/>
        <w:rPr>
          <w:sz w:val="20"/>
          <w:szCs w:val="20"/>
          <w:color w:val="auto"/>
        </w:rPr>
      </w:pPr>
      <w:r>
        <w:rPr>
          <w:rFonts w:ascii="Arial" w:cs="Arial" w:eastAsia="Arial" w:hAnsi="Arial"/>
          <w:sz w:val="18"/>
          <w:szCs w:val="18"/>
          <w:i w:val="1"/>
          <w:iCs w:val="1"/>
          <w:color w:val="auto"/>
        </w:rPr>
        <w:t>Minimum Vesting Requirement</w:t>
      </w:r>
      <w:r>
        <w:rPr>
          <w:rFonts w:ascii="Arial" w:cs="Arial" w:eastAsia="Arial" w:hAnsi="Arial"/>
          <w:sz w:val="18"/>
          <w:szCs w:val="18"/>
          <w:color w:val="auto"/>
        </w:rPr>
        <w:t>. The 2021 Plan provides that Awards that must or may be settled</w:t>
      </w:r>
      <w:r>
        <w:rPr>
          <w:rFonts w:ascii="Arial" w:cs="Arial" w:eastAsia="Arial" w:hAnsi="Arial"/>
          <w:sz w:val="18"/>
          <w:szCs w:val="18"/>
          <w:i w:val="1"/>
          <w:iCs w:val="1"/>
          <w:color w:val="auto"/>
        </w:rPr>
        <w:t xml:space="preserve"> </w:t>
      </w:r>
      <w:r>
        <w:rPr>
          <w:rFonts w:ascii="Arial" w:cs="Arial" w:eastAsia="Arial" w:hAnsi="Arial"/>
          <w:sz w:val="18"/>
          <w:szCs w:val="18"/>
          <w:color w:val="auto"/>
        </w:rPr>
        <w:t>in units shall vest no earlier than the first anniversary of the date the Award is granted. Notwithstanding the foregoing, Awards that result in the issuance of an aggregate of up to 5% of the units available for issuance under the 2021 Plan may be granted to one or more plan participants without regard to this minimum vesting requirement.</w:t>
      </w:r>
    </w:p>
    <w:p>
      <w:pPr>
        <w:sectPr>
          <w:pgSz w:w="11900" w:h="16838" w:orient="portrait"/>
          <w:cols w:equalWidth="0" w:num="1">
            <w:col w:w="9879"/>
          </w:cols>
          <w:pgMar w:left="580" w:top="132" w:right="1440" w:bottom="1440" w:gutter="0" w:footer="0" w:header="0"/>
        </w:sectPr>
      </w:pP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i w:val="1"/>
          <w:iCs w:val="1"/>
          <w:color w:val="auto"/>
        </w:rPr>
        <w:t>Equity Ownership Guidelines</w:t>
      </w:r>
      <w:r>
        <w:rPr>
          <w:rFonts w:ascii="Arial" w:cs="Arial" w:eastAsia="Arial" w:hAnsi="Arial"/>
          <w:sz w:val="18"/>
          <w:szCs w:val="18"/>
          <w:color w:val="auto"/>
        </w:rPr>
        <w:t>. The plan administrator retains the discretion under the 2021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impose a holding period with respect to an Award or the units received in connection with an Award. Pursuant to the Equity Ownership Guidelines adopted by our Board in November 2020, our executive officers and Directors will be required to hold 100% of any units acquired upon vesting of Awards until the applicable ownership requirements are met.</w:t>
      </w:r>
    </w:p>
    <w:p>
      <w:pPr>
        <w:spacing w:after="0" w:line="10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The 2021 Plan provides that all Awards granted thereunder are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clawback policies that we may adopt, including any policy adopted to conform to the Dodd-Frank Wall Street Reform and Consumer Protection Act of 2010 and the rules promulgated thereunder. Pursuant to the Clawback Policy adopted by our Board in November 2020, the Company may seek from our executive officers (i) recovery of any excess performance-based compensation awarded or paid in the event of fraud or intentional or unlawful conduct that contributes to a material financial restatement that results in over-payment of performance-based compensation, and (ii) recovery or forfeiture of any performance-based compensation or unvested time-based equity awards granted or paid during the three-year period prior to discovery of detrimental conduct that results in significant financial, reputational or other harm to the Company.</w:t>
      </w:r>
    </w:p>
    <w:p>
      <w:pPr>
        <w:spacing w:after="0" w:line="121"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Options and unit appreciation rights are only exercisable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during the plan participant’s lifetime, or by the person to whom the plan participant’s rights pass by will or the laws of descent and distribution. No Award or right granted under the 2021 Plan may be assigned, alienated, pledged, attached, sold or otherwise transferred or encumbered and any such purported transfer shall be void and unenforceable. Notwithstanding the foregoing, the plan administrator may, in its discretion, allow a plan participant to transfer an option or a unit appreciation right without consideration to an immediate family member or a related family trust, limited partnership, or similar entity on the terms and conditions established by the plan administrator from time to time, provided that no Award may be transferred to a third-party financial institution for value.</w:t>
      </w:r>
    </w:p>
    <w:p>
      <w:pPr>
        <w:spacing w:after="0" w:line="124"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i w:val="1"/>
          <w:iCs w:val="1"/>
          <w:color w:val="auto"/>
        </w:rPr>
        <w:t>Anti -Dilution Adjustments</w:t>
      </w:r>
      <w:r>
        <w:rPr>
          <w:rFonts w:ascii="Arial" w:cs="Arial" w:eastAsia="Arial" w:hAnsi="Arial"/>
          <w:sz w:val="18"/>
          <w:szCs w:val="18"/>
          <w:color w:val="auto"/>
        </w:rPr>
        <w:t>. Upon the occurrence of any “equity restructuring” event that could</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an additional compensation expense under FASB ASC Topic 718 if adjustments to Awards with respect to such event were discretionary, the plan administrator will equitably adjust the number and type of common units covered by each outstanding Award and the terms and conditions of such Award to equitably reflect the restructuring event, and the plan administrator will adjust the number and type of common units with respect to which future Awards may be granted under the 2021 Plan. Upon the occurrence of a similar event that would not result in a FASB ASC Topic 718 accounting charge if adjustments to Awards were discretionary, the plan administrator shall have complete discretion to adjust Awards in the manner it deems appropriate. In the event the plan administrator makes any such adjustments, a corresponding and proportionate adjustment shall be made with respect to the maximum number of common units available under the 2021 Plan and the kind of units or other securities available for grant under the 2021 Plan.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AAP Management Units</w:t>
      </w:r>
    </w:p>
    <w:p>
      <w:pPr>
        <w:spacing w:after="0" w:line="166" w:lineRule="exact"/>
        <w:rPr>
          <w:sz w:val="20"/>
          <w:szCs w:val="20"/>
          <w:color w:val="auto"/>
        </w:rPr>
      </w:pPr>
    </w:p>
    <w:p>
      <w:pPr>
        <w:ind w:left="1260" w:right="519" w:firstLine="360"/>
        <w:spacing w:after="0" w:line="236" w:lineRule="auto"/>
        <w:rPr>
          <w:sz w:val="20"/>
          <w:szCs w:val="20"/>
          <w:color w:val="auto"/>
        </w:rPr>
      </w:pPr>
      <w:r>
        <w:rPr>
          <w:rFonts w:ascii="Arial" w:cs="Arial" w:eastAsia="Arial" w:hAnsi="Arial"/>
          <w:sz w:val="18"/>
          <w:szCs w:val="18"/>
          <w:color w:val="auto"/>
        </w:rPr>
        <w:t>In August 2007, the owners of AAP authorized the creation and issuance of AAP Management Units and authorized the compensation committee to issue grants of AAP Management Units to create additional long-term incentives for our management designed to attract talent and encourage retention over an extended period of time. Each AAP Management Unit represents a “profits interest” in AAP, which entitles the holder to participate in future profits and losses from operations, current distributions from operations, and an interest in future appreciation or depreciation in AAP’s asset values. As of March 28, 2022, 469,401 AAP Management Units were issued and outstanding. The compensation committee does not plan to issue any additional AAP Management Units.</w:t>
      </w:r>
    </w:p>
    <w:p>
      <w:pPr>
        <w:spacing w:after="0" w:line="140"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AAP Management Units are subject to restrictions on transfer and generally become “earned” (entitled to receive distributions) in percentage increments upon achievement of certain performance thresholds that are aligned with the interests of our common unitholders, such as DCF per common unit. As of March 28, 2022, all outstanding AAP Management Units had been earned.</w:t>
      </w:r>
    </w:p>
    <w:p>
      <w:pPr>
        <w:spacing w:after="0" w:line="137" w:lineRule="exact"/>
        <w:rPr>
          <w:sz w:val="20"/>
          <w:szCs w:val="20"/>
          <w:color w:val="auto"/>
        </w:rPr>
      </w:pPr>
    </w:p>
    <w:p>
      <w:pPr>
        <w:ind w:left="1260" w:right="579" w:firstLine="360"/>
        <w:spacing w:after="0" w:line="274" w:lineRule="auto"/>
        <w:rPr>
          <w:sz w:val="20"/>
          <w:szCs w:val="20"/>
          <w:color w:val="auto"/>
        </w:rPr>
      </w:pPr>
      <w:r>
        <w:rPr>
          <w:rFonts w:ascii="Arial" w:cs="Arial" w:eastAsia="Arial" w:hAnsi="Arial"/>
          <w:sz w:val="17"/>
          <w:szCs w:val="17"/>
          <w:color w:val="auto"/>
        </w:rPr>
        <w:t>To encourage retention following achievement of the applicable performance benchmarks, AAP retained a call right to purchase any earned AAP Management Units at a discount to fair market value</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that is generally exercisable upon the termination of a holder’s employment with GP LLC and its affiliates (other than termination under certain circumstances such as a termination without cause or by the employee for good reason) prior to certain stated dates. The size of the discount to fair market value reflected in the potential call right purchase price decreases over time pursuant to a formula set forth in each AAP Management Unit grant agreement. If a holder of an AAP Management Unit remains employed past such designated date (or prior to such date such holder is terminated without cause or quits for good reason), any earned units are no longer subject to the call right and are deemed to have “vested.” The currently outstanding AAP Management Unit grants will vest on January 1, 2023. All earned AAP Management Units will also vest if AAP does not timely exercise its call right or in the event of a change of control.</w:t>
      </w:r>
    </w:p>
    <w:p>
      <w:pPr>
        <w:spacing w:after="0" w:line="130"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As long as PAGP’s Class A shares are publicly traded, each vested AAP Management Unit may be converted into AAP units and a like number of PAGP Class B shares based on a conversion ratio of approximately 0.941 AAP units and PAGP Class B shares for each AAP Management Unit. Following any such conversion, the resulting AAP units and PAGP Class B shares are exchangeable for PAGP Class A shares or redeemable for PAA common units, in each case on a one-for-one basis as provided in the AAP limited partnership agreement.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Omnibus Agreement</w:t>
      </w:r>
    </w:p>
    <w:p>
      <w:pPr>
        <w:spacing w:after="0" w:line="180"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8"/>
          <w:szCs w:val="18"/>
          <w:color w:val="auto"/>
        </w:rPr>
        <w:t>In connection with the Simplification Transactions completed in November 2016, we entered into an omnibus agreement (the “Omnibus Agreement”) with PAGP, PAGP GP, AAP, PAA GP LLC and GP LLC (collectively with us, the “Plains Entities”), which provides, among other things, that all direct or indirect expenses of any of the Plains Entities will be paid by us, other than income taxes, if any, of PAGP GP, PAGP, GP LLC, AAP and PAA GP LLC. Such direct or indirect expenses include, but are not limited to (i) compensation for the directors of PAGP GP, (ii) director and officer liability insurance,</w:t>
      </w:r>
    </w:p>
    <w:p>
      <w:pPr>
        <w:spacing w:after="0" w:line="2" w:lineRule="exact"/>
        <w:rPr>
          <w:sz w:val="20"/>
          <w:szCs w:val="20"/>
          <w:color w:val="auto"/>
        </w:rPr>
      </w:pPr>
    </w:p>
    <w:p>
      <w:pPr>
        <w:ind w:left="1260" w:right="739"/>
        <w:spacing w:after="0" w:line="261" w:lineRule="auto"/>
        <w:tabs>
          <w:tab w:leader="none" w:pos="15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listing exchange fees, (iv) investor relations expenses, and (v) fees related to legal, tax, financial advisory and accounting services. We paid $5 million of such expenses in 2021.</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w:t>
      </w:r>
    </w:p>
    <w:p>
      <w:pPr>
        <w:spacing w:after="0" w:line="180"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During 2021, we purchased approximately $6.1 million of petroleum products from companies affiliated with EMG. These ordinary course transactions were conducted at prices that we believe approximate market. Based on our knowledge, the amounts received during 2021 from PAA by companies affiliated with EMG ($6.1 million) did not exceed 5% of EMG’s consolidated gross revenues.</w:t>
      </w:r>
    </w:p>
    <w:p>
      <w:pPr>
        <w:spacing w:after="0" w:line="110" w:lineRule="exact"/>
        <w:rPr>
          <w:sz w:val="20"/>
          <w:szCs w:val="20"/>
          <w:color w:val="auto"/>
        </w:rPr>
      </w:pPr>
    </w:p>
    <w:p>
      <w:pPr>
        <w:ind w:left="1260" w:right="619" w:firstLine="360"/>
        <w:spacing w:after="0" w:line="256" w:lineRule="auto"/>
        <w:rPr>
          <w:sz w:val="20"/>
          <w:szCs w:val="20"/>
          <w:color w:val="auto"/>
        </w:rPr>
      </w:pPr>
      <w:r>
        <w:rPr>
          <w:rFonts w:ascii="Arial" w:cs="Arial" w:eastAsia="Arial" w:hAnsi="Arial"/>
          <w:sz w:val="18"/>
          <w:szCs w:val="18"/>
          <w:color w:val="auto"/>
        </w:rPr>
        <w:t>An employee in our marketing department, who has been with PAA for over 10 years, is the daughter of Willie Chiang, our Chief Executive Officer. Mr. Chiang’s daughter’s total compensation for 2021 was approximately $174,500.</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80"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Pursuant to our Governance Guidelines, a director is expected to bring to the attention of the CEO or the Board any conflict or potential conflict of interest that may arise between the director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13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If a conflict or potential conflict of interest arises between PAA and its limited partners, on the one hand, and our general partner and its owners and affiliates, on the other, the resolution of any such conflict or potential conflict should be addressed by the Board in accordance with the applicable provisions of the partnership agreements of PAA and PAGP. At the discretion of the Board in light of the circumstances, the resolution may be determined by the Board or by a “conflicts committee” meeting the definitional requirements for such a committee under the partnership agreements.</w:t>
      </w:r>
    </w:p>
    <w:p>
      <w:pPr>
        <w:spacing w:after="0" w:line="127"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w:t>
      </w:r>
    </w:p>
    <w:p>
      <w:pPr>
        <w:sectPr>
          <w:pgSz w:w="11900" w:h="16838" w:orient="portrait"/>
          <w:cols w:equalWidth="0" w:num="1">
            <w:col w:w="9879"/>
          </w:cols>
          <w:pgMar w:left="580" w:top="132" w:right="1440" w:bottom="1440" w:gutter="0" w:footer="0" w:header="0"/>
        </w:sect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REPORT OF THE AUDIT COMMITTEE</w:t>
      </w:r>
    </w:p>
    <w:p>
      <w:pPr>
        <w:spacing w:after="0" w:line="166" w:lineRule="exact"/>
        <w:rPr>
          <w:sz w:val="20"/>
          <w:szCs w:val="20"/>
          <w:color w:val="auto"/>
        </w:rPr>
      </w:pPr>
    </w:p>
    <w:p>
      <w:pPr>
        <w:jc w:val="both"/>
        <w:ind w:left="1260" w:right="519" w:firstLine="360"/>
        <w:spacing w:after="0" w:line="256" w:lineRule="auto"/>
        <w:rPr>
          <w:sz w:val="20"/>
          <w:szCs w:val="20"/>
          <w:color w:val="auto"/>
        </w:rPr>
      </w:pPr>
      <w:r>
        <w:rPr>
          <w:rFonts w:ascii="Arial" w:cs="Arial" w:eastAsia="Arial" w:hAnsi="Arial"/>
          <w:sz w:val="18"/>
          <w:szCs w:val="18"/>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134" w:lineRule="exact"/>
        <w:rPr>
          <w:sz w:val="20"/>
          <w:szCs w:val="20"/>
          <w:color w:val="auto"/>
        </w:rPr>
      </w:pPr>
    </w:p>
    <w:p>
      <w:pPr>
        <w:ind w:left="1260" w:right="799" w:firstLine="360"/>
        <w:spacing w:after="0" w:line="256"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our Annual Report on Form 10-K for the year ended December 31, 2021.</w:t>
      </w:r>
    </w:p>
    <w:p>
      <w:pPr>
        <w:spacing w:after="0" w:line="134"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27" w:lineRule="exact"/>
        <w:rPr>
          <w:sz w:val="20"/>
          <w:szCs w:val="20"/>
          <w:color w:val="auto"/>
        </w:rPr>
      </w:pPr>
    </w:p>
    <w:p>
      <w:pPr>
        <w:ind w:left="1260" w:right="639" w:firstLine="360"/>
        <w:spacing w:after="0" w:line="252" w:lineRule="auto"/>
        <w:rPr>
          <w:sz w:val="20"/>
          <w:szCs w:val="20"/>
          <w:color w:val="auto"/>
        </w:rPr>
      </w:pPr>
      <w:r>
        <w:rPr>
          <w:rFonts w:ascii="Arial" w:cs="Arial" w:eastAsia="Arial" w:hAnsi="Arial"/>
          <w:sz w:val="18"/>
          <w:szCs w:val="18"/>
          <w:color w:val="auto"/>
        </w:rPr>
        <w:t>The audit committee discussed with PricewaterhouseCoopers LLP the matters required to be discussed under applicable requirements of the Public Company Accounting Oversight Board (“PCAOB”). The audit committee received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management and the Partnership.</w:t>
      </w:r>
    </w:p>
    <w:p>
      <w:pPr>
        <w:spacing w:after="0" w:line="139" w:lineRule="exact"/>
        <w:rPr>
          <w:sz w:val="20"/>
          <w:szCs w:val="20"/>
          <w:color w:val="auto"/>
        </w:rPr>
      </w:pPr>
    </w:p>
    <w:p>
      <w:pPr>
        <w:jc w:val="both"/>
        <w:ind w:left="1260" w:right="459" w:firstLine="360"/>
        <w:spacing w:after="0" w:line="256"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Annual Report on Form 10-K for the year ended December 31, 2021 for filing with the SEC.</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xml:space="preserve">Victor Burk, </w:t>
      </w:r>
      <w:r>
        <w:rPr>
          <w:rFonts w:ascii="Arial" w:cs="Arial" w:eastAsia="Arial" w:hAnsi="Arial"/>
          <w:sz w:val="18"/>
          <w:szCs w:val="18"/>
          <w:i w:val="1"/>
          <w:iCs w:val="1"/>
          <w:color w:val="auto"/>
        </w:rPr>
        <w:t>Chairman</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Alexandra D. Pruner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Lawrence M. Ziemba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Non-Audit Fees</w:t>
      </w:r>
    </w:p>
    <w:p>
      <w:pPr>
        <w:spacing w:after="0" w:line="166"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109220</wp:posOffset>
            </wp:positionV>
            <wp:extent cx="5212080" cy="514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2080" cy="514350"/>
                    </a:xfrm>
                    <a:prstGeom prst="rect">
                      <a:avLst/>
                    </a:prstGeom>
                    <a:noFill/>
                  </pic:spPr>
                </pic:pic>
              </a:graphicData>
            </a:graphic>
          </wp:anchor>
        </w:drawing>
      </w:r>
    </w:p>
    <w:p>
      <w:pPr>
        <w:spacing w:after="0" w:line="219" w:lineRule="exact"/>
        <w:rPr>
          <w:sz w:val="20"/>
          <w:szCs w:val="20"/>
          <w:color w:val="auto"/>
        </w:rPr>
      </w:pPr>
    </w:p>
    <w:p>
      <w:pPr>
        <w:jc w:val="right"/>
        <w:ind w:right="539"/>
        <w:spacing w:after="0"/>
        <w:rPr>
          <w:sz w:val="20"/>
          <w:szCs w:val="20"/>
          <w:color w:val="auto"/>
        </w:rPr>
      </w:pPr>
      <w:r>
        <w:rPr>
          <w:rFonts w:ascii="Arial" w:cs="Arial" w:eastAsia="Arial" w:hAnsi="Arial"/>
          <w:sz w:val="14"/>
          <w:szCs w:val="14"/>
          <w:b w:val="1"/>
          <w:bCs w:val="1"/>
          <w:color w:val="FFFFFF"/>
        </w:rPr>
        <w:t>Year Ended December 31,</w:t>
      </w:r>
    </w:p>
    <w:p>
      <w:pPr>
        <w:sectPr>
          <w:pgSz w:w="11900" w:h="16838" w:orient="portrait"/>
          <w:cols w:equalWidth="0" w:num="1">
            <w:col w:w="9879"/>
          </w:cols>
          <w:pgMar w:left="580" w:top="132" w:right="1440" w:bottom="1440" w:gutter="0" w:footer="0" w:header="0"/>
        </w:sectPr>
      </w:pPr>
    </w:p>
    <w:p>
      <w:pPr>
        <w:spacing w:after="0" w:line="31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p>
      <w:pPr>
        <w:spacing w:after="0" w:line="1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Audit-related fees</w:t>
      </w:r>
      <w:r>
        <w:rPr>
          <w:rFonts w:ascii="Arial" w:cs="Arial" w:eastAsia="Arial" w:hAnsi="Arial"/>
          <w:sz w:val="22"/>
          <w:szCs w:val="22"/>
          <w:color w:val="auto"/>
          <w:vertAlign w:val="superscript"/>
        </w:rPr>
        <w:t>(2)</w:t>
      </w:r>
    </w:p>
    <w:p>
      <w:pPr>
        <w:ind w:left="1260"/>
        <w:spacing w:after="0"/>
        <w:rPr>
          <w:sz w:val="20"/>
          <w:szCs w:val="20"/>
          <w:color w:val="auto"/>
        </w:rPr>
      </w:pPr>
      <w:r>
        <w:rPr>
          <w:sz w:val="1"/>
          <w:szCs w:val="1"/>
          <w:color w:val="auto"/>
        </w:rPr>
        <w:drawing>
          <wp:inline distT="0" distB="0" distL="0" distR="0">
            <wp:extent cx="59690" cy="17145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171450"/>
                    </a:xfrm>
                    <a:prstGeom prst="rect">
                      <a:avLst/>
                    </a:prstGeom>
                    <a:noFill/>
                    <a:ln>
                      <a:noFill/>
                    </a:ln>
                  </pic:spPr>
                </pic:pic>
              </a:graphicData>
            </a:graphic>
          </wp:inline>
        </w:drawing>
      </w:r>
      <w:r>
        <w:rPr>
          <w:rFonts w:ascii="Arial" w:cs="Arial" w:eastAsia="Arial" w:hAnsi="Arial"/>
          <w:sz w:val="18"/>
          <w:szCs w:val="18"/>
          <w:color w:val="auto"/>
        </w:rPr>
        <w:t>Tax fees</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-3810</wp:posOffset>
            </wp:positionV>
            <wp:extent cx="40716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4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229235</wp:posOffset>
            </wp:positionV>
            <wp:extent cx="12344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2021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6350</wp:posOffset>
            </wp:positionV>
            <wp:extent cx="521208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643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2317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40640</wp:posOffset>
            </wp:positionV>
            <wp:extent cx="2317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2020</w:t>
      </w:r>
    </w:p>
    <w:p>
      <w:pPr>
        <w:spacing w:after="0" w:line="121"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$4.7</w:t>
      </w:r>
    </w:p>
    <w:p>
      <w:pPr>
        <w:spacing w:after="0" w:line="77"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368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57"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17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2317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3">
            <w:col w:w="7060" w:space="720"/>
            <w:col w:w="360" w:space="640"/>
            <w:col w:w="1099"/>
          </w:cols>
          <w:pgMar w:left="580" w:top="132" w:right="1440" w:bottom="1440" w:gutter="0" w:footer="0" w:header="0"/>
          <w:type w:val="continuous"/>
        </w:sectPr>
      </w:pPr>
    </w:p>
    <w:p>
      <w:pPr>
        <w:spacing w:after="0" w:line="322" w:lineRule="exact"/>
        <w:rPr>
          <w:sz w:val="20"/>
          <w:szCs w:val="20"/>
          <w:color w:val="auto"/>
        </w:rPr>
      </w:pPr>
    </w:p>
    <w:p>
      <w:pPr>
        <w:ind w:left="1620" w:right="719" w:hanging="360"/>
        <w:spacing w:after="0" w:line="214" w:lineRule="auto"/>
        <w:tabs>
          <w:tab w:leader="none" w:pos="1620" w:val="left"/>
        </w:tabs>
        <w:numPr>
          <w:ilvl w:val="0"/>
          <w:numId w:val="75"/>
        </w:numPr>
        <w:rPr>
          <w:rFonts w:ascii="Arial" w:cs="Arial" w:eastAsia="Arial" w:hAnsi="Arial"/>
          <w:sz w:val="27"/>
          <w:szCs w:val="27"/>
          <w:color w:val="auto"/>
          <w:vertAlign w:val="superscript"/>
        </w:rPr>
      </w:pPr>
      <w:r>
        <w:rPr>
          <w:rFonts w:ascii="Arial" w:cs="Arial" w:eastAsia="Arial" w:hAnsi="Arial"/>
          <w:sz w:val="18"/>
          <w:szCs w:val="18"/>
          <w:color w:val="auto"/>
        </w:rPr>
        <w:t>Audit fees include those related to (a) our annual audit (including internal control evaluation and reporting), (b) the audit of certain joint ventures of which we are the operator, and (c) work performed in connection with the registration of publicly held debt and equity.</w:t>
      </w:r>
    </w:p>
    <w:p>
      <w:pPr>
        <w:spacing w:after="0" w:line="69" w:lineRule="exact"/>
        <w:rPr>
          <w:rFonts w:ascii="Arial" w:cs="Arial" w:eastAsia="Arial" w:hAnsi="Arial"/>
          <w:sz w:val="27"/>
          <w:szCs w:val="27"/>
          <w:color w:val="auto"/>
          <w:vertAlign w:val="superscript"/>
        </w:rPr>
      </w:pPr>
    </w:p>
    <w:p>
      <w:pPr>
        <w:ind w:left="1620" w:right="739" w:hanging="360"/>
        <w:spacing w:after="0" w:line="200" w:lineRule="auto"/>
        <w:tabs>
          <w:tab w:leader="none" w:pos="1620" w:val="left"/>
        </w:tabs>
        <w:numPr>
          <w:ilvl w:val="0"/>
          <w:numId w:val="75"/>
        </w:numPr>
        <w:rPr>
          <w:rFonts w:ascii="Arial" w:cs="Arial" w:eastAsia="Arial" w:hAnsi="Arial"/>
          <w:sz w:val="27"/>
          <w:szCs w:val="27"/>
          <w:color w:val="auto"/>
          <w:vertAlign w:val="superscript"/>
        </w:rPr>
      </w:pPr>
      <w:r>
        <w:rPr>
          <w:rFonts w:ascii="Arial" w:cs="Arial" w:eastAsia="Arial" w:hAnsi="Arial"/>
          <w:sz w:val="18"/>
          <w:szCs w:val="18"/>
          <w:color w:val="auto"/>
        </w:rPr>
        <w:t>Audit-related fees primarily related to an audit of financial statements prepared on a “carve-out” basis in connection with a business combination.</w:t>
      </w:r>
    </w:p>
    <w:p>
      <w:pPr>
        <w:spacing w:after="0" w:line="68" w:lineRule="exact"/>
        <w:rPr>
          <w:rFonts w:ascii="Arial" w:cs="Arial" w:eastAsia="Arial" w:hAnsi="Arial"/>
          <w:sz w:val="27"/>
          <w:szCs w:val="27"/>
          <w:color w:val="auto"/>
          <w:vertAlign w:val="superscript"/>
        </w:rPr>
      </w:pPr>
    </w:p>
    <w:p>
      <w:pPr>
        <w:ind w:left="1620" w:right="819" w:hanging="360"/>
        <w:spacing w:after="0" w:line="214" w:lineRule="auto"/>
        <w:tabs>
          <w:tab w:leader="none" w:pos="1620" w:val="left"/>
        </w:tabs>
        <w:numPr>
          <w:ilvl w:val="0"/>
          <w:numId w:val="75"/>
        </w:numPr>
        <w:rPr>
          <w:rFonts w:ascii="Arial" w:cs="Arial" w:eastAsia="Arial" w:hAnsi="Arial"/>
          <w:sz w:val="27"/>
          <w:szCs w:val="27"/>
          <w:color w:val="auto"/>
          <w:vertAlign w:val="superscript"/>
        </w:rPr>
      </w:pPr>
      <w:r>
        <w:rPr>
          <w:rFonts w:ascii="Arial" w:cs="Arial" w:eastAsia="Arial" w:hAnsi="Arial"/>
          <w:sz w:val="18"/>
          <w:szCs w:val="18"/>
          <w:color w:val="auto"/>
        </w:rPr>
        <w:t>Tax fees are primarily related to tax processing as well as the preparation of Forms K-1 for our unitholders and international tax planning work associated with the structure of our Canadian investment.</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Policy</w:t>
      </w:r>
    </w:p>
    <w:p>
      <w:pPr>
        <w:spacing w:after="0" w:line="180"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Our audit committee reviews our external financial reporting, engages our independent auditors and reviews the adequacy of our internal accounting controls. Our audit committee performs similar functions on PAGP’s behalf. All services provided by our independent auditor to us or to PAGP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2021 and 2020 were approved in advance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2 — RATIFICATION OF APPOINTMENT OF INDEPENDENT REGISTERED PUBLIC</w:t>
      </w:r>
    </w:p>
    <w:p>
      <w:pPr>
        <w:spacing w:after="0" w:line="3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ACCOUNTING FIRM</w:t>
      </w:r>
    </w:p>
    <w:p>
      <w:pPr>
        <w:spacing w:after="0" w:line="203" w:lineRule="exact"/>
        <w:rPr>
          <w:sz w:val="20"/>
          <w:szCs w:val="20"/>
          <w:color w:val="auto"/>
        </w:rPr>
      </w:pPr>
    </w:p>
    <w:p>
      <w:pPr>
        <w:jc w:val="center"/>
        <w:ind w:left="1900" w:right="140"/>
        <w:spacing w:after="0" w:line="262" w:lineRule="auto"/>
        <w:rPr>
          <w:sz w:val="20"/>
          <w:szCs w:val="20"/>
          <w:color w:val="auto"/>
        </w:rPr>
      </w:pPr>
      <w:r>
        <w:rPr>
          <w:rFonts w:ascii="Arial" w:cs="Arial" w:eastAsia="Arial" w:hAnsi="Arial"/>
          <w:sz w:val="18"/>
          <w:szCs w:val="18"/>
          <w:b w:val="1"/>
          <w:bCs w:val="1"/>
          <w:color w:val="auto"/>
        </w:rPr>
        <w:t>THE BOARD OF DIRECTORS UNANIMOUSLY RECOMMENDS THAT YOU VOTE “FOR” THE RATIFICATION OF THE APPOINTMENT OF PRICEWATERHOUSECOOPERS LLP AS OUR INDEPENDENT REGISTERED PUBLIC ACCOUNTING FIRM FOR THE FISCAL YEAR ENDING DECEMBER 31, 2022.</w:t>
      </w:r>
    </w:p>
    <w:p>
      <w:pPr>
        <w:spacing w:after="0" w:line="117"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The second proposal item to be voted on at the PAA Annual Meeting is ratification of the appointment of PricewaterhouseCoopers LLP as our independent registered public accounting firm for the fiscal year ending December 31, 2022. Votes cast on this proposal by our Unitholders will be “passed through” as instructions to PAA as to how PAA should vote the PAGP Class C shares that it owns at the PAGP Annual Meeting on ratification of the appointment of PricewaterhouseCoopers LLP as our and PAGP’s independent registered public accounting firm for 2022.</w:t>
      </w:r>
    </w:p>
    <w:p>
      <w:pPr>
        <w:spacing w:after="0" w:line="14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audit committee of the Board has appointed PricewaterhouseCoopers LLP to continue to act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our and PAGP’s independent registered public accounting firm for the fiscal year ending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31, 2022. The Board has directed that such appointment be submitted to our Unitholders for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ratification at the PAA Annual Meeting.</w:t>
      </w:r>
    </w:p>
    <w:p>
      <w:pPr>
        <w:spacing w:after="0" w:line="158"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Ratification of the appointment of PricewaterhouseCoopers LLP as our and PAGP’s independent registered public accounting firm is not required. The Board, however, is submitting the appointment to our Unitholders for ratification as a good corporate governance practice. Representatives of PricewaterhouseCoopers LLP are expected to be present at the PAA Annual Meeting and will have an opportunity to make a statement if they so desire. They will also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3 — ADVISORY VOTE TO APPROVE OUR 2021 NAMED EXECUTIVE OFFICER</w:t>
      </w:r>
    </w:p>
    <w:p>
      <w:pPr>
        <w:spacing w:after="0" w:line="1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COMPENSATION</w:t>
      </w:r>
    </w:p>
    <w:p>
      <w:pPr>
        <w:spacing w:after="0" w:line="190" w:lineRule="exact"/>
        <w:rPr>
          <w:sz w:val="20"/>
          <w:szCs w:val="20"/>
          <w:color w:val="auto"/>
        </w:rPr>
      </w:pPr>
    </w:p>
    <w:p>
      <w:pPr>
        <w:jc w:val="center"/>
        <w:ind w:left="1840" w:right="60"/>
        <w:spacing w:after="0" w:line="253" w:lineRule="auto"/>
        <w:rPr>
          <w:sz w:val="20"/>
          <w:szCs w:val="20"/>
          <w:color w:val="auto"/>
        </w:rPr>
      </w:pPr>
      <w:r>
        <w:rPr>
          <w:rFonts w:ascii="Arial" w:cs="Arial" w:eastAsia="Arial" w:hAnsi="Arial"/>
          <w:sz w:val="18"/>
          <w:szCs w:val="18"/>
          <w:b w:val="1"/>
          <w:bCs w:val="1"/>
          <w:color w:val="auto"/>
        </w:rPr>
        <w:t>THE BOARD UNANIMOUSLY RECOMMENDS THAT YOU VOTE, ON A NON-BINDING ADVISORY BASIS, “FOR” THE RESOLUTION APPROVING THE 2021 COMPENSATION OF THE NAMED EXECUTIVE OFFICERS AS DESCRIBED IN THIS PROXY STATEMENT.</w:t>
      </w:r>
    </w:p>
    <w:p>
      <w:pPr>
        <w:spacing w:after="0" w:line="110" w:lineRule="exact"/>
        <w:rPr>
          <w:sz w:val="20"/>
          <w:szCs w:val="20"/>
          <w:color w:val="auto"/>
        </w:rPr>
      </w:pPr>
    </w:p>
    <w:p>
      <w:pPr>
        <w:jc w:val="both"/>
        <w:ind w:left="1260" w:right="739" w:firstLine="360"/>
        <w:spacing w:after="0"/>
        <w:rPr>
          <w:sz w:val="20"/>
          <w:szCs w:val="20"/>
          <w:color w:val="auto"/>
        </w:rPr>
      </w:pPr>
      <w:r>
        <w:rPr>
          <w:rFonts w:ascii="Arial" w:cs="Arial" w:eastAsia="Arial" w:hAnsi="Arial"/>
          <w:sz w:val="18"/>
          <w:szCs w:val="18"/>
          <w:color w:val="auto"/>
        </w:rPr>
        <w:t>This proposal, commonly known as a “say-on-pay” proposal, provides our Unitholders with the opportunity to cast a pass-through advisory vote on the approval of the compensation of our Named Executive Officers.</w:t>
      </w:r>
    </w:p>
    <w:p>
      <w:pPr>
        <w:spacing w:after="0" w:line="135"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The Board recognizes that executive compensation is an important matter for our Unitholders.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Unitholders.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Unitholder interests and concerns.</w:t>
      </w:r>
    </w:p>
    <w:p>
      <w:pPr>
        <w:spacing w:after="0" w:line="136" w:lineRule="exact"/>
        <w:rPr>
          <w:sz w:val="20"/>
          <w:szCs w:val="20"/>
          <w:color w:val="auto"/>
        </w:rPr>
      </w:pPr>
    </w:p>
    <w:p>
      <w:pPr>
        <w:ind w:left="1260" w:right="579" w:firstLine="360"/>
        <w:spacing w:after="0" w:line="236" w:lineRule="auto"/>
        <w:rPr>
          <w:sz w:val="20"/>
          <w:szCs w:val="20"/>
          <w:color w:val="auto"/>
        </w:rPr>
      </w:pPr>
      <w:r>
        <w:rPr>
          <w:rFonts w:ascii="Arial" w:cs="Arial" w:eastAsia="Arial" w:hAnsi="Arial"/>
          <w:sz w:val="18"/>
          <w:szCs w:val="18"/>
          <w:color w:val="auto"/>
        </w:rPr>
        <w:t>As described in the Compensation Discussion and Analysis section of this proxy statement, we believe our compensation program is effective, appropriate and strongly aligned with the long-term interests of our Unitholders and that the total compensation provided to the Named Executive Officers (including potential payouts upon a termination or change of control) is reasonable and not excessive. As you consider this Proposal 3, we urge you to read the Compensation Discussion and Analysis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126"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The Dodd-Frank Wall Street Reform and Consumer Protection Act of 2012, as well as Section 14A of the Exchange Act, and the rules promulgated thereunder, enables our Unitholders the opportunity to express their views, on an advisory basis, on the compensation of the Named Executive Officers. This vote is not intended to address any specific item of compensation, but rather the overall compensation of the Named Executive Officers and the philosophy, policies and practices described in this proxy statement.</w:t>
      </w:r>
    </w:p>
    <w:p>
      <w:pPr>
        <w:spacing w:after="0" w:line="14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Unitholders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Unitholders’ concerns, and the compensation committee will evaluate whether any actions are necessary to address those concerns.</w:t>
      </w:r>
    </w:p>
    <w:p>
      <w:pPr>
        <w:spacing w:after="0" w:line="138"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For the reasons set forth above, the following resolution will be submitted for approval at the PAA Annual Meeting:</w:t>
      </w:r>
    </w:p>
    <w:p>
      <w:pPr>
        <w:spacing w:after="0" w:line="95"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Named Executive Officers during and with respect to the calendar year ended December 31, 2021, as disclosed pursuant to Item 402 of Regulation S-K in PAA’s proxy statement for its 2022 Annual Meeting of Unitholders, including the Compensation Discussion and Analysis, compensation tables and accompanying narrative discussion, is hereby approved.”</w:t>
      </w: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OTHER MATTERS FOR THE PAA ANNUAL MEETING</w:t>
      </w:r>
    </w:p>
    <w:p>
      <w:pPr>
        <w:spacing w:after="0" w:line="16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know of no matters to be acted upon at the PAA Annual Meeting other than the proposals included in the accompanying notice and described in this proxy statement. If any other matter requiring a vote of Unitholders arises, including a question of adjourning the PAA Annual Meeting, the persons named as proxies in the proxy card will have the discretion to vote thereon according to their best judgment of what they consider to be in the best interests of PAA. The proxy card confers discretionary authority to take action with respect to any additional matters that may come before the meeting or any adjournment thereof.</w:t>
      </w:r>
    </w:p>
    <w:p>
      <w:pPr>
        <w:spacing w:after="0" w:line="18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UNITHOLDER PROPOSALS FOR THE 2023 ANNUAL MEETING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PAGP GP Director Nominations</w:t>
      </w:r>
    </w:p>
    <w:p>
      <w:pPr>
        <w:spacing w:after="0" w:line="180" w:lineRule="exact"/>
        <w:rPr>
          <w:sz w:val="20"/>
          <w:szCs w:val="20"/>
          <w:color w:val="auto"/>
        </w:rPr>
      </w:pPr>
    </w:p>
    <w:p>
      <w:pPr>
        <w:ind w:left="1260" w:right="439" w:firstLine="360"/>
        <w:spacing w:after="0" w:line="235" w:lineRule="auto"/>
        <w:rPr>
          <w:sz w:val="20"/>
          <w:szCs w:val="20"/>
          <w:color w:val="auto"/>
        </w:rPr>
      </w:pPr>
      <w:r>
        <w:rPr>
          <w:rFonts w:ascii="Arial" w:cs="Arial" w:eastAsia="Arial" w:hAnsi="Arial"/>
          <w:sz w:val="18"/>
          <w:szCs w:val="18"/>
          <w:color w:val="auto"/>
        </w:rPr>
        <w:t>Pursuant to Section 13.13 of our partnership agreement, any eligible Unitholder who owns common units equal in number to 10% or more of the outstanding Class A, Class B and Class C shares of PAGP, taken together as a single class, is entitled to direct our general partner to cause us to nominate one person for election as a PAGP Eligible Director in accordance with Section 13.4(c)(ii) of PAGP’s partnership agreement. Eligible Unitholders who wish to submit a director nomination for our 2023 annual meeting must deliver written notice thereof to our principal executive offices in care of the Corporate Secretary by mail to 333 Clay Street, Suite 1600, Houston, Texas 77002 no later than the close of business on February 24, 2023, nor earlier than the close of business on January 25, 2023. In the event that the date of the 2023 annual meeting is changed by more than 30 days before or more than 60 days after the one-year anniversary of the 2022 annual meeting, Unitholder notice of a director nomination must be received no earlier than the close of business on the 120th day prior to the 2023 annual meeting and not later than the close of business on the date that is the later of the (i) 90th day prior to the 2023 annual meeting or (ii) if the first public announcement of the 2023 annual meeting is less than 100 days prior to such meeting, the 10th day following the day on which public announcement of the date of the 2023 annual meeting is first made.</w:t>
      </w:r>
    </w:p>
    <w:p>
      <w:pPr>
        <w:spacing w:after="0" w:line="146"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The written notice must comply with Section 13.13 of our partnership agreement and the procedures set forth in Section 13.4(c)(ii) of PAGP’s partnership agreement, including the informational requirements included in Section 13.4(c)(ii)(A)(3). We will not entertain any nomination at the PAA Annual Meeting that does not meet the requirements set forth in our partnership agreement and PAGP’s partnership agreement. Our partnership agreement is filed as Exhibit 3.1 to our Current Report on Form 8-K filed on October 12, 2017, and PAGP’s partnership agreement is filed as Exhibit 3.2 to our Current Report on Form 8-K filed on November 21, 2016.</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Unitholder Proposals</w:t>
      </w:r>
    </w:p>
    <w:p>
      <w:pPr>
        <w:spacing w:after="0" w:line="166"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Any Unitholder who, in accordance with Rule 14a-8 under the Exchange Act, wishes to submit a proposal for inclusion in our proxy statement for the 2023 annual meeting must submit their proposal in writing, along with proof of eligibility, to our principal executive offices in care of the Corporate Secretary by mail to 333 Clay Street, Suite 1600, Houston, Texas 77002. Proposal submissions must be received no later than the close of business (5:00 p.m. Central Time) on December 15, 2022, to be considered timely. SEC rules set forth standards as to what proposals are required to be included in a proxy statement for a meeting. In no event are Unitholders allowed to vote on matters that would cause the Unitholders to be deemed to take part in the management and control of our business and affairs so as to jeopardize such Unitholder’s limited liability under the Delaware limited partnership act or the law of any other state in which we are qualified to do business.</w:t>
      </w:r>
    </w:p>
    <w:p>
      <w:pPr>
        <w:spacing w:after="0" w:line="18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HOUSEHOLDING MATTERS</w:t>
      </w:r>
    </w:p>
    <w:p>
      <w:pPr>
        <w:spacing w:after="0" w:line="18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some cases, Unitholders who share a single address will receive only one annual report and one proxy statement at that address unless we have received instructions to the contrary from any Unitholder at that address. This practice, known as “householding,” is designed to reduce our printing and postage costs. However, if a Unitholder of record residing at such an address wishes to receive a separate copy of our annual report or proxy statement or future annual reports or proxy statements (as</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applicable), he or she may contact our Corporate Secretary at (713) 646-4100, or write to Plains All American Pipeline, L.P., 333 Clay Street, Suite 1600, Houston, Texas 77002, attention: Corporate Secretary. We will deliver separate copies of our annual report or proxy statement promptly upon written or oral request. If you are a Unitholder of record receiving multiple copies of our annual report or proxy statement, you can request householding by contacting us in the same manner. If you own your Units through a bank, broker or other Unitholder of record, you can request additional copies of the annual report or proxy statement or request householding by contacting the Unitholder of record (i.e., your bank 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6626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866267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831965" cy="85940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8594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31115</wp:posOffset>
            </wp:positionV>
            <wp:extent cx="6831965" cy="8670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8670925"/>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upperLetter"/>
      <w:start w:val="1"/>
    </w:lvl>
  </w:abstractNum>
  <w:abstractNum w:abstractNumId="6">
    <w:nsid w:val="153EA438"/>
    <w:multiLevelType w:val="hybridMultilevel"/>
    <w:lvl w:ilvl="0">
      <w:lvlJc w:val="left"/>
      <w:lvlText w:val="%1:"/>
      <w:numFmt w:val="upperLetter"/>
      <w:start w:val="1"/>
    </w:lvl>
    <w:lvl w:ilvl="1">
      <w:lvlJc w:val="left"/>
      <w:lvlText w:val="•"/>
      <w:numFmt w:val="bullet"/>
      <w:start w:val="1"/>
    </w:lvl>
  </w:abstractNum>
  <w:abstractNum w:abstractNumId="7">
    <w:nsid w:val="3855585C"/>
    <w:multiLevelType w:val="hybridMultilevel"/>
    <w:lvl w:ilvl="0">
      <w:lvlJc w:val="left"/>
      <w:lvlText w:val="%1:"/>
      <w:numFmt w:val="upperLetter"/>
      <w:start w:val="1"/>
    </w:lvl>
  </w:abstractNum>
  <w:abstractNum w:abstractNumId="8">
    <w:nsid w:val="70A64E2A"/>
    <w:multiLevelType w:val="hybridMultilevel"/>
    <w:lvl w:ilvl="0">
      <w:lvlJc w:val="left"/>
      <w:lvlText w:val="%1:"/>
      <w:numFmt w:val="upperLetter"/>
      <w:start w:val="1"/>
    </w:lvl>
  </w:abstractNum>
  <w:abstractNum w:abstractNumId="9">
    <w:nsid w:val="6A2342EC"/>
    <w:multiLevelType w:val="hybridMultilevel"/>
    <w:lvl w:ilvl="0">
      <w:lvlJc w:val="left"/>
      <w:lvlText w:val="%1:"/>
      <w:numFmt w:val="upperLetter"/>
      <w:start w:val="1"/>
    </w:lvl>
  </w:abstractNum>
  <w:abstractNum w:abstractNumId="10">
    <w:nsid w:val="2A487CB0"/>
    <w:multiLevelType w:val="hybridMultilevel"/>
    <w:lvl w:ilvl="0">
      <w:lvlJc w:val="left"/>
      <w:lvlText w:val="%1:"/>
      <w:numFmt w:val="upperLetter"/>
      <w:start w:val="1"/>
    </w:lvl>
  </w:abstractNum>
  <w:abstractNum w:abstractNumId="11">
    <w:nsid w:val="1D4ED43B"/>
    <w:multiLevelType w:val="hybridMultilevel"/>
    <w:lvl w:ilvl="0">
      <w:lvlJc w:val="left"/>
      <w:lvlText w:val="%1:"/>
      <w:numFmt w:val="upperLetter"/>
      <w:start w:val="1"/>
    </w:lvl>
    <w:lvl w:ilvl="1">
      <w:lvlJc w:val="left"/>
      <w:lvlText w:val="•"/>
      <w:numFmt w:val="bullet"/>
      <w:start w:val="1"/>
    </w:lvl>
  </w:abstractNum>
  <w:abstractNum w:abstractNumId="12">
    <w:nsid w:val="725A06FB"/>
    <w:multiLevelType w:val="hybridMultilevel"/>
    <w:lvl w:ilvl="0">
      <w:lvlJc w:val="left"/>
      <w:lvlText w:val="%1:"/>
      <w:numFmt w:val="upperLetter"/>
      <w:start w:val="1"/>
    </w:lvl>
    <w:lvl w:ilvl="1">
      <w:lvlJc w:val="left"/>
      <w:lvlText w:val="•"/>
      <w:numFmt w:val="bullet"/>
      <w:start w:val="1"/>
    </w:lvl>
  </w:abstractNum>
  <w:abstractNum w:abstractNumId="13">
    <w:nsid w:val="2CD89A32"/>
    <w:multiLevelType w:val="hybridMultilevel"/>
    <w:lvl w:ilvl="0">
      <w:lvlJc w:val="left"/>
      <w:lvlText w:val="%1:"/>
      <w:numFmt w:val="upperLetter"/>
      <w:start w:val="1"/>
    </w:lvl>
  </w:abstractNum>
  <w:abstractNum w:abstractNumId="14">
    <w:nsid w:val="57E4CCAF"/>
    <w:multiLevelType w:val="hybridMultilevel"/>
    <w:lvl w:ilvl="0">
      <w:lvlJc w:val="left"/>
      <w:lvlText w:val="%1:"/>
      <w:numFmt w:val="upperLetter"/>
      <w:start w:val="1"/>
    </w:lvl>
    <w:lvl w:ilvl="1">
      <w:lvlJc w:val="left"/>
      <w:lvlText w:val="•"/>
      <w:numFmt w:val="bullet"/>
      <w:start w:val="1"/>
    </w:lvl>
  </w:abstractNum>
  <w:abstractNum w:abstractNumId="15">
    <w:nsid w:val="7A6D8D3C"/>
    <w:multiLevelType w:val="hybridMultilevel"/>
    <w:lvl w:ilvl="0">
      <w:lvlJc w:val="left"/>
      <w:lvlText w:val="%1:"/>
      <w:numFmt w:val="upperLetter"/>
      <w:start w:val="1"/>
    </w:lvl>
  </w:abstractNum>
  <w:abstractNum w:abstractNumId="16">
    <w:nsid w:val="4B588F54"/>
    <w:multiLevelType w:val="hybridMultilevel"/>
    <w:lvl w:ilvl="0">
      <w:lvlJc w:val="left"/>
      <w:lvlText w:val="%1:"/>
      <w:numFmt w:val="upperLetter"/>
      <w:start w:val="1"/>
    </w:lvl>
  </w:abstractNum>
  <w:abstractNum w:abstractNumId="17">
    <w:nsid w:val="542289EC"/>
    <w:multiLevelType w:val="hybridMultilevel"/>
    <w:lvl w:ilvl="0">
      <w:lvlJc w:val="left"/>
      <w:lvlText w:val="%1:"/>
      <w:numFmt w:val="upperLetter"/>
      <w:start w:val="1"/>
    </w:lvl>
  </w:abstractNum>
  <w:abstractNum w:abstractNumId="18">
    <w:nsid w:val="6DE91B18"/>
    <w:multiLevelType w:val="hybridMultilevel"/>
    <w:lvl w:ilvl="0">
      <w:lvlJc w:val="left"/>
      <w:lvlText w:val="%1:"/>
      <w:numFmt w:val="upperLetter"/>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1)"/>
      <w:numFmt w:val="lowerRoman"/>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1"/>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lvl w:ilvl="1">
      <w:lvlJc w:val="left"/>
      <w:lvlText w:val="(%2)"/>
      <w:numFmt w:val="decimal"/>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lowerRoman"/>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3"/>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2"/>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2"/>
    </w:lvl>
  </w:abstractNum>
  <w:abstractNum w:abstractNumId="50">
    <w:nsid w:val="77AE35EB"/>
    <w:multiLevelType w:val="hybridMultilevel"/>
    <w:lvl w:ilvl="0">
      <w:lvlJc w:val="left"/>
      <w:lvlText w:val="(%1)"/>
      <w:numFmt w:val="decimal"/>
      <w:start w:val="7"/>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2"/>
    </w:lvl>
    <w:lvl w:ilvl="1">
      <w:lvlJc w:val="left"/>
      <w:lvlText w:val="(%2)"/>
      <w:numFmt w:val="lowerRoman"/>
      <w:start w:val="1"/>
    </w:lvl>
  </w:abstractNum>
  <w:abstractNum w:abstractNumId="54">
    <w:nsid w:val="2F305DEF"/>
    <w:multiLevelType w:val="hybridMultilevel"/>
    <w:lvl w:ilvl="0">
      <w:lvlJc w:val="left"/>
      <w:lvlText w:val="(%1)"/>
      <w:numFmt w:val="decimal"/>
      <w:start w:val="3"/>
    </w:lvl>
  </w:abstractNum>
  <w:abstractNum w:abstractNumId="55">
    <w:nsid w:val="25A70BF7"/>
    <w:multiLevelType w:val="hybridMultilevel"/>
    <w:lvl w:ilvl="0">
      <w:lvlJc w:val="left"/>
      <w:lvlText w:val="%1"/>
      <w:numFmt w:val="decimal"/>
      <w:start w:val="1"/>
    </w:lvl>
    <w:lvl w:ilvl="1">
      <w:lvlJc w:val="left"/>
      <w:lvlText w:val="(%2)"/>
      <w:numFmt w:val="lowerRoman"/>
      <w:start w:val="1"/>
    </w:lvl>
  </w:abstractNum>
  <w:abstractNum w:abstractNumId="56">
    <w:nsid w:val="1DBABF00"/>
    <w:multiLevelType w:val="hybridMultilevel"/>
    <w:lvl w:ilvl="0">
      <w:lvlJc w:val="left"/>
      <w:lvlText w:val="(%1)"/>
      <w:numFmt w:val="decimal"/>
      <w:start w:val="4"/>
    </w:lvl>
    <w:lvl w:ilvl="1">
      <w:lvlJc w:val="left"/>
      <w:lvlText w:val="(%2)"/>
      <w:numFmt w:val="lowerRoman"/>
      <w:start w:val="1"/>
    </w:lvl>
  </w:abstractNum>
  <w:abstractNum w:abstractNumId="57">
    <w:nsid w:val="4AD084E9"/>
    <w:multiLevelType w:val="hybridMultilevel"/>
    <w:lvl w:ilvl="0">
      <w:lvlJc w:val="left"/>
      <w:lvlText w:val="(%1)"/>
      <w:numFmt w:val="decimal"/>
      <w:start w:val="5"/>
    </w:lvl>
  </w:abstractNum>
  <w:abstractNum w:abstractNumId="58">
    <w:nsid w:val="1F48EAA1"/>
    <w:multiLevelType w:val="hybridMultilevel"/>
    <w:lvl w:ilvl="0">
      <w:lvlJc w:val="left"/>
      <w:lvlText w:val="(%1)"/>
      <w:numFmt w:val="decimal"/>
      <w:start w:val="6"/>
    </w:lvl>
  </w:abstractNum>
  <w:abstractNum w:abstractNumId="59">
    <w:nsid w:val="1381823A"/>
    <w:multiLevelType w:val="hybridMultilevel"/>
    <w:lvl w:ilvl="0">
      <w:lvlJc w:val="left"/>
      <w:lvlText w:val="(%1)"/>
      <w:numFmt w:val="lowerLetter"/>
      <w:start w:val="2"/>
    </w:lvl>
  </w:abstractNum>
  <w:abstractNum w:abstractNumId="60">
    <w:nsid w:val="5DB70AE5"/>
    <w:multiLevelType w:val="hybridMultilevel"/>
    <w:lvl w:ilvl="0">
      <w:lvlJc w:val="left"/>
      <w:lvlText w:val="%1"/>
      <w:numFmt w:val="decimal"/>
      <w:start w:val="1"/>
    </w:lvl>
    <w:lvl w:ilvl="1">
      <w:lvlJc w:val="left"/>
      <w:lvlText w:val="(%2)"/>
      <w:numFmt w:val="lowerLetter"/>
      <w:start w:val="2"/>
    </w:lvl>
  </w:abstractNum>
  <w:abstractNum w:abstractNumId="61">
    <w:nsid w:val="100F8FCA"/>
    <w:multiLevelType w:val="hybridMultilevel"/>
    <w:lvl w:ilvl="0">
      <w:lvlJc w:val="left"/>
      <w:lvlText w:val="(%1)"/>
      <w:numFmt w:val="decimal"/>
      <w:start w:val="7"/>
    </w:lvl>
    <w:lvl w:ilvl="1">
      <w:lvlJc w:val="left"/>
      <w:lvlText w:val="(%2)"/>
      <w:numFmt w:val="lowerLetter"/>
      <w:start w:val="61"/>
    </w:lvl>
  </w:abstractNum>
  <w:abstractNum w:abstractNumId="62">
    <w:nsid w:val="6590700B"/>
    <w:multiLevelType w:val="hybridMultilevel"/>
    <w:lvl w:ilvl="0">
      <w:lvlJc w:val="left"/>
      <w:lvlText w:val="%1"/>
      <w:numFmt w:val="decimal"/>
      <w:start w:val="1"/>
    </w:lvl>
    <w:lvl w:ilvl="1">
      <w:lvlJc w:val="left"/>
      <w:lvlText w:val="(%2)"/>
      <w:numFmt w:val="lowerRoman"/>
      <w:start w:val="1"/>
    </w:lvl>
  </w:abstractNum>
  <w:abstractNum w:abstractNumId="63">
    <w:nsid w:val="15014ACB"/>
    <w:multiLevelType w:val="hybridMultilevel"/>
    <w:lvl w:ilvl="0">
      <w:lvlJc w:val="left"/>
      <w:lvlText w:val="(%1)"/>
      <w:numFmt w:val="decimal"/>
      <w:start w:val="11"/>
    </w:lvl>
    <w:lvl w:ilvl="1">
      <w:lvlJc w:val="left"/>
      <w:lvlText w:val="(%2)"/>
      <w:numFmt w:val="lowerRoman"/>
      <w:start w:val="3"/>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decimal"/>
      <w:start w:val="2"/>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decimal"/>
      <w:start w:val="1"/>
    </w:lvl>
  </w:abstractNum>
  <w:abstractNum w:abstractNumId="73">
    <w:nsid w:val="540A471C"/>
    <w:multiLevelType w:val="hybridMultilevel"/>
    <w:lvl w:ilvl="0">
      <w:lvlJc w:val="left"/>
      <w:lvlText w:val="(%1)"/>
      <w:numFmt w:val="lowerRoman"/>
      <w:start w:val="3"/>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2022-04-14T05:18:54Z</dcterms:created>
  <dcterms:modified xsi:type="dcterms:W3CDTF">2022-04-14T05:18:54Z</dcterms:modified>
</cp:coreProperties>
</file>