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333-184137</w:t>
      </w:r>
    </w:p>
    <w:p>
      <w:pPr>
        <w:spacing w:after="0" w:line="357" w:lineRule="exact"/>
        <w:rPr>
          <w:sz w:val="24"/>
          <w:szCs w:val="24"/>
          <w:color w:val="auto"/>
        </w:rPr>
      </w:pPr>
    </w:p>
    <w:p>
      <w:pPr>
        <w:ind w:right="140"/>
        <w:spacing w:after="0" w:line="249"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17"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DE1A1E"/>
        </w:rPr>
        <w:t>SUBJECT TO COMPLETION, DATED APRIL 15, 2014</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161290</wp:posOffset>
            </wp:positionV>
            <wp:extent cx="1697990"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left="260" w:right="280"/>
        <w:spacing w:after="0" w:line="255" w:lineRule="auto"/>
        <w:rPr>
          <w:sz w:val="20"/>
          <w:szCs w:val="20"/>
          <w:color w:val="auto"/>
        </w:rPr>
      </w:pPr>
      <w:r>
        <w:rPr>
          <w:rFonts w:ascii="Arial" w:cs="Arial" w:eastAsia="Arial" w:hAnsi="Arial"/>
          <w:sz w:val="65"/>
          <w:szCs w:val="65"/>
          <w:b w:val="1"/>
          <w:bCs w:val="1"/>
          <w:color w:val="auto"/>
        </w:rPr>
        <w:t>Plains All American Pipeline, L.P. PAA Finance Corp.</w:t>
      </w:r>
    </w:p>
    <w:tbl>
      <w:tblPr>
        <w:tblLayout w:type="fixed"/>
        <w:tblInd w:w="0" w:type="dxa"/>
        <w:tblCellMar>
          <w:top w:w="0" w:type="dxa"/>
          <w:left w:w="0" w:type="dxa"/>
          <w:bottom w:w="0" w:type="dxa"/>
          <w:right w:w="0" w:type="dxa"/>
        </w:tblCellMar>
      </w:tblPr>
      <w:tr>
        <w:trPr>
          <w:trHeight w:val="421"/>
        </w:trPr>
        <w:tc>
          <w:tcPr>
            <w:tcW w:w="4860" w:type="dxa"/>
            <w:vAlign w:val="bottom"/>
          </w:tcPr>
          <w:p>
            <w:pPr>
              <w:ind w:left="3040"/>
              <w:spacing w:after="0"/>
              <w:rPr>
                <w:sz w:val="20"/>
                <w:szCs w:val="20"/>
                <w:color w:val="auto"/>
              </w:rPr>
            </w:pPr>
            <w:r>
              <w:rPr>
                <w:rFonts w:ascii="Arial" w:cs="Arial" w:eastAsia="Arial" w:hAnsi="Arial"/>
                <w:sz w:val="32"/>
                <w:szCs w:val="32"/>
                <w:b w:val="1"/>
                <w:bCs w:val="1"/>
                <w:color w:val="auto"/>
              </w:rPr>
              <w:t>$</w:t>
            </w:r>
          </w:p>
        </w:tc>
        <w:tc>
          <w:tcPr>
            <w:tcW w:w="3700" w:type="dxa"/>
            <w:vAlign w:val="bottom"/>
            <w:gridSpan w:val="3"/>
          </w:tcPr>
          <w:p>
            <w:pPr>
              <w:ind w:left="40"/>
              <w:spacing w:after="0"/>
              <w:rPr>
                <w:sz w:val="20"/>
                <w:szCs w:val="20"/>
                <w:color w:val="auto"/>
              </w:rPr>
            </w:pPr>
            <w:r>
              <w:rPr>
                <w:rFonts w:ascii="Arial" w:cs="Arial" w:eastAsia="Arial" w:hAnsi="Arial"/>
                <w:sz w:val="32"/>
                <w:szCs w:val="32"/>
                <w:b w:val="1"/>
                <w:bCs w:val="1"/>
                <w:color w:val="auto"/>
                <w:w w:val="95"/>
              </w:rPr>
              <w:t>% Senior Notes due 2044</w:t>
            </w: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4"/>
        </w:trPr>
        <w:tc>
          <w:tcPr>
            <w:tcW w:w="48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40" w:type="dxa"/>
            <w:vAlign w:val="bottom"/>
            <w:gridSpan w:val="2"/>
          </w:tcPr>
          <w:p>
            <w:pPr>
              <w:spacing w:after="0"/>
              <w:rPr>
                <w:sz w:val="9"/>
                <w:szCs w:val="9"/>
                <w:color w:val="auto"/>
              </w:rPr>
            </w:pPr>
          </w:p>
        </w:tc>
        <w:tc>
          <w:tcPr>
            <w:tcW w:w="2300" w:type="dxa"/>
            <w:vAlign w:val="bottom"/>
          </w:tcPr>
          <w:p>
            <w:pPr>
              <w:spacing w:after="0"/>
              <w:rPr>
                <w:sz w:val="9"/>
                <w:szCs w:val="9"/>
                <w:color w:val="auto"/>
              </w:rPr>
            </w:pPr>
          </w:p>
        </w:tc>
      </w:tr>
      <w:tr>
        <w:trPr>
          <w:trHeight w:val="296"/>
        </w:trPr>
        <w:tc>
          <w:tcPr>
            <w:tcW w:w="5880" w:type="dxa"/>
            <w:vAlign w:val="bottom"/>
            <w:gridSpan w:val="2"/>
          </w:tcPr>
          <w:p>
            <w:pPr>
              <w:ind w:left="460"/>
              <w:spacing w:after="0"/>
              <w:rPr>
                <w:sz w:val="20"/>
                <w:szCs w:val="20"/>
                <w:color w:val="auto"/>
              </w:rPr>
            </w:pPr>
            <w:r>
              <w:rPr>
                <w:rFonts w:ascii="Arial" w:cs="Arial" w:eastAsia="Arial" w:hAnsi="Arial"/>
                <w:sz w:val="18"/>
                <w:szCs w:val="18"/>
                <w:color w:val="auto"/>
                <w:w w:val="94"/>
              </w:rPr>
              <w:t>Plains All American Pipeline, L.P. and PAA Finance Corp. are offering $</w:t>
            </w:r>
          </w:p>
        </w:tc>
        <w:tc>
          <w:tcPr>
            <w:tcW w:w="3140" w:type="dxa"/>
            <w:vAlign w:val="bottom"/>
            <w:gridSpan w:val="3"/>
          </w:tcPr>
          <w:p>
            <w:pPr>
              <w:ind w:left="280"/>
              <w:spacing w:after="0"/>
              <w:rPr>
                <w:sz w:val="20"/>
                <w:szCs w:val="20"/>
                <w:color w:val="auto"/>
              </w:rPr>
            </w:pPr>
            <w:r>
              <w:rPr>
                <w:rFonts w:ascii="Arial" w:cs="Arial" w:eastAsia="Arial" w:hAnsi="Arial"/>
                <w:sz w:val="18"/>
                <w:szCs w:val="18"/>
                <w:color w:val="auto"/>
                <w:w w:val="96"/>
              </w:rPr>
              <w:t>million aggregate principal amount of</w:t>
            </w:r>
          </w:p>
        </w:tc>
        <w:tc>
          <w:tcPr>
            <w:tcW w:w="2300" w:type="dxa"/>
            <w:vAlign w:val="bottom"/>
          </w:tcPr>
          <w:p>
            <w:pPr>
              <w:ind w:left="200"/>
              <w:spacing w:after="0"/>
              <w:rPr>
                <w:sz w:val="20"/>
                <w:szCs w:val="20"/>
                <w:color w:val="auto"/>
              </w:rPr>
            </w:pPr>
            <w:r>
              <w:rPr>
                <w:rFonts w:ascii="Arial" w:cs="Arial" w:eastAsia="Arial" w:hAnsi="Arial"/>
                <w:sz w:val="18"/>
                <w:szCs w:val="18"/>
                <w:color w:val="auto"/>
                <w:w w:val="86"/>
              </w:rPr>
              <w:t>% Senior Notes due 2044 (the</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“Notes”).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358"/>
        </w:trPr>
        <w:tc>
          <w:tcPr>
            <w:tcW w:w="4860" w:type="dxa"/>
            <w:vAlign w:val="bottom"/>
          </w:tcPr>
          <w:p>
            <w:pPr>
              <w:ind w:left="460"/>
              <w:spacing w:after="0"/>
              <w:rPr>
                <w:sz w:val="20"/>
                <w:szCs w:val="20"/>
                <w:color w:val="auto"/>
              </w:rPr>
            </w:pPr>
            <w:r>
              <w:rPr>
                <w:rFonts w:ascii="Arial" w:cs="Arial" w:eastAsia="Arial" w:hAnsi="Arial"/>
                <w:sz w:val="18"/>
                <w:szCs w:val="18"/>
                <w:color w:val="auto"/>
                <w:w w:val="90"/>
              </w:rPr>
              <w:t>We will pay interest on the Notes semi-annually in arrears on</w:t>
            </w:r>
          </w:p>
        </w:tc>
        <w:tc>
          <w:tcPr>
            <w:tcW w:w="1020" w:type="dxa"/>
            <w:vAlign w:val="bottom"/>
          </w:tcPr>
          <w:p>
            <w:pPr>
              <w:ind w:left="480"/>
              <w:spacing w:after="0"/>
              <w:rPr>
                <w:sz w:val="20"/>
                <w:szCs w:val="20"/>
                <w:color w:val="auto"/>
              </w:rPr>
            </w:pPr>
            <w:r>
              <w:rPr>
                <w:rFonts w:ascii="Arial" w:cs="Arial" w:eastAsia="Arial" w:hAnsi="Arial"/>
                <w:sz w:val="18"/>
                <w:szCs w:val="18"/>
                <w:color w:val="auto"/>
              </w:rPr>
              <w:t>and</w:t>
            </w:r>
          </w:p>
        </w:tc>
        <w:tc>
          <w:tcPr>
            <w:tcW w:w="2680" w:type="dxa"/>
            <w:vAlign w:val="bottom"/>
            <w:gridSpan w:val="2"/>
          </w:tcPr>
          <w:p>
            <w:pPr>
              <w:ind w:left="280"/>
              <w:spacing w:after="0"/>
              <w:rPr>
                <w:sz w:val="20"/>
                <w:szCs w:val="20"/>
                <w:color w:val="auto"/>
              </w:rPr>
            </w:pPr>
            <w:r>
              <w:rPr>
                <w:rFonts w:ascii="Arial" w:cs="Arial" w:eastAsia="Arial" w:hAnsi="Arial"/>
                <w:sz w:val="18"/>
                <w:szCs w:val="18"/>
                <w:color w:val="auto"/>
              </w:rPr>
              <w:t>of each year, beginning on</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w w:val="98"/>
              </w:rPr>
              <w:t>, 2014. The Notes will mature on</w:t>
            </w:r>
          </w:p>
        </w:tc>
      </w:tr>
      <w:tr>
        <w:trPr>
          <w:trHeight w:val="222"/>
        </w:trPr>
        <w:tc>
          <w:tcPr>
            <w:tcW w:w="4860" w:type="dxa"/>
            <w:vAlign w:val="bottom"/>
          </w:tcPr>
          <w:p>
            <w:pPr>
              <w:ind w:left="720"/>
              <w:spacing w:after="0"/>
              <w:rPr>
                <w:sz w:val="20"/>
                <w:szCs w:val="20"/>
                <w:color w:val="auto"/>
              </w:rPr>
            </w:pPr>
            <w:r>
              <w:rPr>
                <w:rFonts w:ascii="Arial" w:cs="Arial" w:eastAsia="Arial" w:hAnsi="Arial"/>
                <w:sz w:val="18"/>
                <w:szCs w:val="18"/>
                <w:color w:val="auto"/>
              </w:rPr>
              <w:t>, 2044, unless redeemed prior to the maturity date.</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142"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18" w:lineRule="exact"/>
        <w:rPr>
          <w:sz w:val="24"/>
          <w:szCs w:val="24"/>
          <w:color w:val="auto"/>
        </w:rPr>
      </w:pPr>
    </w:p>
    <w:p>
      <w:pPr>
        <w:ind w:right="120" w:firstLine="456"/>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18" w:lineRule="exact"/>
        <w:rPr>
          <w:sz w:val="24"/>
          <w:szCs w:val="24"/>
          <w:color w:val="auto"/>
        </w:rPr>
      </w:pPr>
    </w:p>
    <w:p>
      <w:pPr>
        <w:ind w:right="320" w:firstLine="456"/>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71755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4" w:lineRule="exact"/>
        <w:rPr>
          <w:sz w:val="24"/>
          <w:szCs w:val="24"/>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45">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w:t>
      </w:r>
    </w:p>
    <w:p>
      <w:pPr>
        <w:spacing w:after="0" w:line="192"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Public Offering</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Underwriting</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Proceeds, Before</w:t>
            </w:r>
          </w:p>
        </w:tc>
      </w:tr>
      <w:tr>
        <w:trPr>
          <w:trHeight w:val="161"/>
        </w:trPr>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Price(1)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Discount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 to Us</w:t>
            </w:r>
          </w:p>
        </w:tc>
      </w:tr>
      <w:tr>
        <w:trPr>
          <w:trHeight w:val="210"/>
        </w:trPr>
        <w:tc>
          <w:tcPr>
            <w:tcW w:w="3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3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32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52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8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45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35"/>
        </w:trPr>
        <w:tc>
          <w:tcPr>
            <w:tcW w:w="3280" w:type="dxa"/>
            <w:vAlign w:val="bottom"/>
            <w:gridSpan w:val="2"/>
          </w:tcPr>
          <w:p>
            <w:pPr>
              <w:spacing w:after="0"/>
              <w:rPr>
                <w:sz w:val="20"/>
                <w:szCs w:val="20"/>
                <w:color w:val="auto"/>
              </w:rPr>
            </w:pPr>
            <w:r>
              <w:rPr>
                <w:rFonts w:ascii="Arial" w:cs="Arial" w:eastAsia="Arial" w:hAnsi="Arial"/>
                <w:sz w:val="18"/>
                <w:szCs w:val="18"/>
                <w:color w:val="auto"/>
              </w:rPr>
              <w:t>(1)   Plus accrued interest, if any, from</w:t>
            </w:r>
          </w:p>
        </w:tc>
        <w:tc>
          <w:tcPr>
            <w:tcW w:w="4520" w:type="dxa"/>
            <w:vAlign w:val="bottom"/>
            <w:gridSpan w:val="2"/>
          </w:tcPr>
          <w:p>
            <w:pPr>
              <w:jc w:val="right"/>
              <w:ind w:right="1092"/>
              <w:spacing w:after="0"/>
              <w:rPr>
                <w:sz w:val="20"/>
                <w:szCs w:val="20"/>
                <w:color w:val="auto"/>
              </w:rPr>
            </w:pPr>
            <w:r>
              <w:rPr>
                <w:rFonts w:ascii="Arial" w:cs="Arial" w:eastAsia="Arial" w:hAnsi="Arial"/>
                <w:sz w:val="18"/>
                <w:szCs w:val="18"/>
                <w:color w:val="auto"/>
              </w:rPr>
              <w:t>, 2014 if settlement occurs after that date.</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86995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7" w:lineRule="exact"/>
        <w:rPr>
          <w:sz w:val="24"/>
          <w:szCs w:val="24"/>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w:t>
      </w:r>
    </w:p>
    <w:tbl>
      <w:tblPr>
        <w:tblLayout w:type="fixed"/>
        <w:tblInd w:w="0" w:type="dxa"/>
        <w:tblCellMar>
          <w:top w:w="0" w:type="dxa"/>
          <w:left w:w="0" w:type="dxa"/>
          <w:bottom w:w="0" w:type="dxa"/>
          <w:right w:w="0" w:type="dxa"/>
        </w:tblCellMar>
      </w:tblP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New York on or about</w:t>
            </w:r>
          </w:p>
        </w:tc>
        <w:tc>
          <w:tcPr>
            <w:tcW w:w="1440" w:type="dxa"/>
            <w:vAlign w:val="bottom"/>
          </w:tcPr>
          <w:p>
            <w:pPr>
              <w:ind w:left="500"/>
              <w:spacing w:after="0"/>
              <w:rPr>
                <w:sz w:val="20"/>
                <w:szCs w:val="20"/>
                <w:color w:val="auto"/>
              </w:rPr>
            </w:pPr>
            <w:r>
              <w:rPr>
                <w:rFonts w:ascii="Arial" w:cs="Arial" w:eastAsia="Arial" w:hAnsi="Arial"/>
                <w:sz w:val="18"/>
                <w:szCs w:val="18"/>
                <w:color w:val="auto"/>
              </w:rPr>
              <w:t>, 2014, the</w:t>
            </w:r>
          </w:p>
        </w:tc>
        <w:tc>
          <w:tcPr>
            <w:tcW w:w="5540" w:type="dxa"/>
            <w:vAlign w:val="bottom"/>
            <w:gridSpan w:val="4"/>
          </w:tcPr>
          <w:p>
            <w:pPr>
              <w:ind w:left="200"/>
              <w:spacing w:after="0"/>
              <w:rPr>
                <w:sz w:val="20"/>
                <w:szCs w:val="20"/>
                <w:color w:val="auto"/>
              </w:rPr>
            </w:pPr>
            <w:r>
              <w:rPr>
                <w:rFonts w:ascii="Arial" w:cs="Arial" w:eastAsia="Arial" w:hAnsi="Arial"/>
                <w:sz w:val="18"/>
                <w:szCs w:val="18"/>
                <w:color w:val="auto"/>
              </w:rPr>
              <w:t>trading day after the date of this prospectus supplement.</w:t>
            </w:r>
          </w:p>
        </w:tc>
        <w:tc>
          <w:tcPr>
            <w:tcW w:w="2620" w:type="dxa"/>
            <w:vAlign w:val="bottom"/>
          </w:tcPr>
          <w:p>
            <w:pPr>
              <w:spacing w:after="0"/>
              <w:rPr>
                <w:sz w:val="19"/>
                <w:szCs w:val="19"/>
                <w:color w:val="auto"/>
              </w:rPr>
            </w:pPr>
          </w:p>
        </w:tc>
      </w:tr>
      <w:tr>
        <w:trPr>
          <w:trHeight w:val="144"/>
        </w:trPr>
        <w:tc>
          <w:tcPr>
            <w:tcW w:w="1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20" w:type="dxa"/>
            <w:vAlign w:val="bottom"/>
            <w:tcBorders>
              <w:bottom w:val="single" w:sz="8" w:color="auto"/>
            </w:tcBorders>
            <w:gridSpan w:val="2"/>
          </w:tcPr>
          <w:p>
            <w:pPr>
              <w:spacing w:after="0"/>
              <w:rPr>
                <w:sz w:val="12"/>
                <w:szCs w:val="12"/>
                <w:color w:val="auto"/>
              </w:rPr>
            </w:pPr>
          </w:p>
        </w:tc>
        <w:tc>
          <w:tcPr>
            <w:tcW w:w="2220" w:type="dxa"/>
            <w:vAlign w:val="bottom"/>
          </w:tcPr>
          <w:p>
            <w:pPr>
              <w:spacing w:after="0"/>
              <w:rPr>
                <w:sz w:val="12"/>
                <w:szCs w:val="12"/>
                <w:color w:val="auto"/>
              </w:rPr>
            </w:pPr>
          </w:p>
        </w:tc>
        <w:tc>
          <w:tcPr>
            <w:tcW w:w="2620" w:type="dxa"/>
            <w:vAlign w:val="bottom"/>
          </w:tcPr>
          <w:p>
            <w:pPr>
              <w:spacing w:after="0"/>
              <w:rPr>
                <w:sz w:val="12"/>
                <w:szCs w:val="12"/>
                <w:color w:val="auto"/>
              </w:rPr>
            </w:pPr>
          </w:p>
        </w:tc>
      </w:tr>
      <w:tr>
        <w:trPr>
          <w:trHeight w:val="341"/>
        </w:trPr>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40" w:type="dxa"/>
            <w:vAlign w:val="bottom"/>
            <w:gridSpan w:val="4"/>
          </w:tcPr>
          <w:p>
            <w:pPr>
              <w:ind w:left="1120"/>
              <w:spacing w:after="0"/>
              <w:rPr>
                <w:sz w:val="20"/>
                <w:szCs w:val="20"/>
                <w:color w:val="auto"/>
              </w:rPr>
            </w:pPr>
            <w:r>
              <w:rPr>
                <w:rFonts w:ascii="Arial" w:cs="Arial" w:eastAsia="Arial" w:hAnsi="Arial"/>
                <w:sz w:val="22"/>
                <w:szCs w:val="22"/>
                <w:i w:val="1"/>
                <w:iCs w:val="1"/>
                <w:color w:val="auto"/>
              </w:rPr>
              <w:t>Joint Book-Running Managers</w:t>
            </w:r>
          </w:p>
        </w:tc>
        <w:tc>
          <w:tcPr>
            <w:tcW w:w="2620" w:type="dxa"/>
            <w:vAlign w:val="bottom"/>
          </w:tcPr>
          <w:p>
            <w:pPr>
              <w:spacing w:after="0"/>
              <w:rPr>
                <w:sz w:val="24"/>
                <w:szCs w:val="24"/>
                <w:color w:val="auto"/>
              </w:rPr>
            </w:pPr>
          </w:p>
        </w:tc>
      </w:tr>
      <w:tr>
        <w:trPr>
          <w:trHeight w:val="419"/>
        </w:trPr>
        <w:tc>
          <w:tcPr>
            <w:tcW w:w="182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3740" w:type="dxa"/>
            <w:vAlign w:val="bottom"/>
            <w:gridSpan w:val="3"/>
          </w:tcPr>
          <w:p>
            <w:pPr>
              <w:ind w:left="260"/>
              <w:spacing w:after="0"/>
              <w:rPr>
                <w:sz w:val="20"/>
                <w:szCs w:val="20"/>
                <w:color w:val="auto"/>
              </w:rPr>
            </w:pPr>
            <w:r>
              <w:rPr>
                <w:rFonts w:ascii="Arial" w:cs="Arial" w:eastAsia="Arial" w:hAnsi="Arial"/>
                <w:sz w:val="22"/>
                <w:szCs w:val="22"/>
                <w:b w:val="1"/>
                <w:bCs w:val="1"/>
                <w:color w:val="auto"/>
              </w:rPr>
              <w:t>SunTrust Robinson Humphrey</w:t>
            </w:r>
          </w:p>
        </w:tc>
        <w:tc>
          <w:tcPr>
            <w:tcW w:w="3240" w:type="dxa"/>
            <w:vAlign w:val="bottom"/>
            <w:gridSpan w:val="2"/>
          </w:tcPr>
          <w:p>
            <w:pPr>
              <w:ind w:left="640"/>
              <w:spacing w:after="0"/>
              <w:rPr>
                <w:sz w:val="20"/>
                <w:szCs w:val="20"/>
                <w:color w:val="auto"/>
              </w:rPr>
            </w:pPr>
            <w:r>
              <w:rPr>
                <w:rFonts w:ascii="Arial" w:cs="Arial" w:eastAsia="Arial" w:hAnsi="Arial"/>
                <w:sz w:val="22"/>
                <w:szCs w:val="22"/>
                <w:b w:val="1"/>
                <w:bCs w:val="1"/>
                <w:color w:val="auto"/>
              </w:rPr>
              <w:t>UBS Investment Bank</w:t>
            </w:r>
          </w:p>
        </w:tc>
        <w:tc>
          <w:tcPr>
            <w:tcW w:w="2620" w:type="dxa"/>
            <w:vAlign w:val="bottom"/>
          </w:tcPr>
          <w:p>
            <w:pPr>
              <w:ind w:left="560"/>
              <w:spacing w:after="0"/>
              <w:rPr>
                <w:sz w:val="20"/>
                <w:szCs w:val="20"/>
                <w:color w:val="auto"/>
              </w:rPr>
            </w:pPr>
            <w:r>
              <w:rPr>
                <w:rFonts w:ascii="Arial" w:cs="Arial" w:eastAsia="Arial" w:hAnsi="Arial"/>
                <w:sz w:val="22"/>
                <w:szCs w:val="22"/>
                <w:b w:val="1"/>
                <w:bCs w:val="1"/>
                <w:color w:val="auto"/>
                <w:w w:val="86"/>
              </w:rPr>
              <w:t>Wells Fargo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88265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tabs>
          <w:tab w:leader="none" w:pos="3520" w:val="left"/>
        </w:tabs>
        <w:rPr>
          <w:sz w:val="20"/>
          <w:szCs w:val="20"/>
          <w:color w:val="auto"/>
        </w:rPr>
      </w:pPr>
      <w:r>
        <w:rPr>
          <w:rFonts w:ascii="Arial" w:cs="Arial" w:eastAsia="Arial" w:hAnsi="Arial"/>
          <w:sz w:val="18"/>
          <w:szCs w:val="18"/>
          <w:color w:val="auto"/>
        </w:rPr>
        <w:t>The date of this prospectus supplement is April</w:t>
      </w:r>
      <w:r>
        <w:rPr>
          <w:sz w:val="20"/>
          <w:szCs w:val="20"/>
          <w:color w:val="auto"/>
        </w:rPr>
        <w:tab/>
      </w:r>
      <w:r>
        <w:rPr>
          <w:rFonts w:ascii="Arial" w:cs="Arial" w:eastAsia="Arial" w:hAnsi="Arial"/>
          <w:sz w:val="15"/>
          <w:szCs w:val="15"/>
          <w:color w:val="auto"/>
        </w:rPr>
        <w:t>, 2014.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6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6"/>
              </w:rPr>
              <w:t>TABLE OF CONTENTS</w:t>
            </w:r>
          </w:p>
        </w:tc>
        <w:tc>
          <w:tcPr>
            <w:tcW w:w="2000" w:type="dxa"/>
            <w:vAlign w:val="bottom"/>
          </w:tcPr>
          <w:p>
            <w:pPr>
              <w:spacing w:after="0"/>
              <w:rPr>
                <w:sz w:val="19"/>
                <w:szCs w:val="19"/>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6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85"/>
              </w:rPr>
              <w:t>Prospectus Supplement</w:t>
            </w:r>
          </w:p>
        </w:tc>
        <w:tc>
          <w:tcPr>
            <w:tcW w:w="2000" w:type="dxa"/>
            <w:vAlign w:val="bottom"/>
          </w:tcPr>
          <w:p>
            <w:pPr>
              <w:spacing w:after="0"/>
              <w:rPr>
                <w:sz w:val="24"/>
                <w:szCs w:val="24"/>
                <w:color w:val="auto"/>
              </w:rPr>
            </w:pPr>
          </w:p>
        </w:tc>
      </w:tr>
      <w:tr>
        <w:trPr>
          <w:trHeight w:val="326"/>
        </w:trPr>
        <w:tc>
          <w:tcPr>
            <w:tcW w:w="93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Forward-Looking Statements</w:t>
              </w:r>
            </w:hyperlink>
          </w:p>
        </w:tc>
        <w:tc>
          <w:tcPr>
            <w:tcW w:w="5560" w:type="dxa"/>
            <w:vAlign w:val="bottom"/>
            <w:tcBorders>
              <w:top w:val="single" w:sz="8" w:color="0000EE"/>
            </w:tcBorders>
            <w:gridSpan w:val="9"/>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694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42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Ratio of Earnings to Fixed Charges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2"/>
          </w:tcPr>
          <w:p>
            <w:pPr>
              <w:spacing w:after="0"/>
              <w:rPr>
                <w:sz w:val="17"/>
                <w:szCs w:val="17"/>
                <w:color w:val="auto"/>
              </w:rPr>
            </w:pPr>
          </w:p>
        </w:tc>
        <w:tc>
          <w:tcPr>
            <w:tcW w:w="684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Notes</w:t>
              </w:r>
            </w:hyperlink>
          </w:p>
        </w:tc>
        <w:tc>
          <w:tcPr>
            <w:tcW w:w="784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Book Entry, Delivery and Form</w:t>
              </w:r>
            </w:hyperlink>
          </w:p>
        </w:tc>
        <w:tc>
          <w:tcPr>
            <w:tcW w:w="70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Underwriting</w:t>
              </w:r>
            </w:hyperlink>
          </w:p>
        </w:tc>
        <w:tc>
          <w:tcPr>
            <w:tcW w:w="836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S-30</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S-33</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S-33</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S-33</w:t>
            </w:r>
          </w:p>
        </w:tc>
      </w:tr>
      <w:tr>
        <w:trPr>
          <w:trHeight w:val="444"/>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b w:val="1"/>
                <w:bCs w:val="1"/>
                <w:color w:val="auto"/>
              </w:rPr>
              <w:t>Prospectus</w:t>
            </w:r>
          </w:p>
        </w:tc>
        <w:tc>
          <w:tcPr>
            <w:tcW w:w="2000" w:type="dxa"/>
            <w:vAlign w:val="bottom"/>
          </w:tcPr>
          <w:p>
            <w:pPr>
              <w:spacing w:after="0"/>
              <w:rPr>
                <w:sz w:val="24"/>
                <w:szCs w:val="24"/>
                <w:color w:val="auto"/>
              </w:rPr>
            </w:pPr>
          </w:p>
        </w:tc>
      </w:tr>
      <w:tr>
        <w:trPr>
          <w:trHeight w:val="184"/>
        </w:trPr>
        <w:tc>
          <w:tcPr>
            <w:tcW w:w="9320" w:type="dxa"/>
            <w:vAlign w:val="bottom"/>
            <w:gridSpan w:val="24"/>
          </w:tcPr>
          <w:p>
            <w:pPr>
              <w:spacing w:after="0" w:line="184" w:lineRule="exact"/>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2000" w:type="dxa"/>
            <w:vAlign w:val="bottom"/>
          </w:tcPr>
          <w:p>
            <w:pPr>
              <w:jc w:val="right"/>
              <w:spacing w:after="0" w:line="184" w:lineRule="exact"/>
              <w:rPr>
                <w:sz w:val="20"/>
                <w:szCs w:val="20"/>
                <w:color w:val="auto"/>
              </w:rPr>
            </w:pPr>
            <w:r>
              <w:rPr>
                <w:rFonts w:ascii="Arial" w:cs="Arial" w:eastAsia="Arial" w:hAnsi="Arial"/>
                <w:sz w:val="18"/>
                <w:szCs w:val="18"/>
                <w:color w:val="auto"/>
              </w:rPr>
              <w:t>i</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7"/>
          </w:tcPr>
          <w:p>
            <w:pPr>
              <w:spacing w:after="0"/>
              <w:rPr>
                <w:sz w:val="17"/>
                <w:szCs w:val="17"/>
                <w:color w:val="auto"/>
              </w:rPr>
            </w:pPr>
          </w:p>
        </w:tc>
        <w:tc>
          <w:tcPr>
            <w:tcW w:w="652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2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Ratio Of Earnings To Fixed Charges</w:t>
              </w:r>
            </w:hyperlink>
          </w:p>
        </w:tc>
        <w:tc>
          <w:tcPr>
            <w:tcW w:w="67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Our Debt Securities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Description of Our Common Units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79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INFORMATION IN THIS PROSPECTUS SUPPLEMENT AND THE ACCOMPANYING BASE PROSPECTUS</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25"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0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97" w:lineRule="exact"/>
        <w:rPr>
          <w:sz w:val="20"/>
          <w:szCs w:val="20"/>
          <w:color w:val="auto"/>
        </w:rPr>
      </w:pPr>
    </w:p>
    <w:p>
      <w:pPr>
        <w:ind w:right="540" w:firstLine="456"/>
        <w:spacing w:after="0" w:line="262"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We expect delivery of the Notes will be made against payment therefor on or about , 2014, which is the business day following the date of pricing of the Notes (such settlement being referred to as “T+ ”). Under Rule 15c6-1 of the Securities Exchange Act of 1934, as amended (the “Exchange</w:t>
      </w:r>
    </w:p>
    <w:p>
      <w:pPr>
        <w:spacing w:after="0"/>
        <w:rPr>
          <w:sz w:val="20"/>
          <w:szCs w:val="20"/>
          <w:color w:val="auto"/>
        </w:rPr>
      </w:pPr>
      <w:r>
        <w:rPr>
          <w:rFonts w:ascii="Arial" w:cs="Arial" w:eastAsia="Arial" w:hAnsi="Arial"/>
          <w:sz w:val="16"/>
          <w:szCs w:val="16"/>
          <w:color w:val="auto"/>
        </w:rPr>
        <w:t>Act”), trades in the secondary market generally are required to settle in three business days unless the parties to any such trade expressly agree otherwise.</w:t>
      </w:r>
    </w:p>
    <w:p>
      <w:pPr>
        <w:spacing w:after="0" w:line="3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6"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03" w:lineRule="exact"/>
        <w:rPr>
          <w:rFonts w:ascii="Arial" w:cs="Arial" w:eastAsia="Arial" w:hAnsi="Arial"/>
          <w:sz w:val="18"/>
          <w:szCs w:val="18"/>
          <w:color w:val="auto"/>
        </w:rPr>
      </w:pPr>
    </w:p>
    <w:p>
      <w:pPr>
        <w:ind w:left="660" w:right="64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03"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03"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03"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103"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37" w:lineRule="exact"/>
        <w:rPr>
          <w:rFonts w:ascii="Arial" w:cs="Arial" w:eastAsia="Arial" w:hAnsi="Arial"/>
          <w:sz w:val="18"/>
          <w:szCs w:val="18"/>
          <w:color w:val="auto"/>
        </w:rPr>
      </w:pPr>
    </w:p>
    <w:p>
      <w:pPr>
        <w:ind w:left="660" w:right="380" w:hanging="206"/>
        <w:spacing w:after="0" w:line="33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on page S-5 of this prospectus supplement and in Item 1A. “Risk Factors” in our Annual Report on Form 10-K for the fiscal year ended December 31, 2013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on page S-5 of this prospectus supplement and in our Annual Report on Form 10-K for the fiscal year ended December 31, 2013, which is incorporated by reference herein, for information regarding risks you should consider before making a decision to purchase any Notes in this offering.</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Ongoing Acquisition Activities</w:t>
      </w:r>
    </w:p>
    <w:p>
      <w:pPr>
        <w:spacing w:after="0" w:line="164" w:lineRule="exact"/>
        <w:rPr>
          <w:sz w:val="20"/>
          <w:szCs w:val="20"/>
          <w:color w:val="auto"/>
        </w:rPr>
      </w:pPr>
    </w:p>
    <w:p>
      <w:pPr>
        <w:ind w:right="360" w:firstLine="456"/>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Principal Executive Offices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executive offices are located at 333 Clay Street, Suite 1600, Houston, Texas 77002. Our telephone number is (713) 646-4100. We maintain a website at </w:t>
      </w:r>
      <w:r>
        <w:rPr>
          <w:rFonts w:ascii="Arial" w:cs="Arial" w:eastAsia="Arial" w:hAnsi="Arial"/>
          <w:sz w:val="18"/>
          <w:szCs w:val="18"/>
          <w:i w:val="1"/>
          <w:iCs w:val="1"/>
          <w:color w:val="auto"/>
        </w:rPr>
        <w:t xml:space="preserve">www.plainsallamerican.com </w:t>
      </w:r>
      <w:r>
        <w:rPr>
          <w:rFonts w:ascii="Arial" w:cs="Arial" w:eastAsia="Arial" w:hAnsi="Arial"/>
          <w:sz w:val="18"/>
          <w:szCs w:val="18"/>
          <w:color w:val="auto"/>
        </w:rPr>
        <w:t>that provides information about our business and operations. Information contained on or available through our website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into or otherwise a part of this prospectus supplement or the accompanying base prospectus.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2013, which is incorporated by reference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27"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 Corp.</w:t>
      </w:r>
    </w:p>
    <w:p>
      <w:pPr>
        <w:spacing w:after="0" w:line="171" w:lineRule="exact"/>
        <w:rPr>
          <w:sz w:val="20"/>
          <w:szCs w:val="20"/>
          <w:color w:val="auto"/>
        </w:rPr>
      </w:pPr>
    </w:p>
    <w:p>
      <w:pPr>
        <w:ind w:left="4340" w:right="40"/>
        <w:spacing w:after="0" w:line="255" w:lineRule="auto"/>
        <w:rPr>
          <w:sz w:val="20"/>
          <w:szCs w:val="20"/>
          <w:color w:val="auto"/>
        </w:rPr>
      </w:pPr>
      <w:r>
        <w:rPr>
          <w:rFonts w:ascii="Arial" w:cs="Arial" w:eastAsia="Arial" w:hAnsi="Arial"/>
          <w:sz w:val="18"/>
          <w:szCs w:val="18"/>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Future guarantees</w:t>
            </w: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88"/>
              </w:rPr>
              <w:t>Initially, the Notes will not be guaranteed by any subsidiaries of the issuers. In the future, however,</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89"/>
              </w:rPr>
              <w:t>if any subsidiaries guarantee any of the issuers’ other debt, then those subsidiaries will, jointly and</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91"/>
              </w:rPr>
              <w:t>severally, fully and unconditionally guarantee the issuers’ payment obligations under the Notes.</w:t>
            </w:r>
          </w:p>
        </w:tc>
        <w:tc>
          <w:tcPr>
            <w:tcW w:w="10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6180" w:type="dxa"/>
            <w:vAlign w:val="bottom"/>
            <w:gridSpan w:val="4"/>
          </w:tcPr>
          <w:p>
            <w:pPr>
              <w:ind w:left="1380"/>
              <w:spacing w:after="0"/>
              <w:rPr>
                <w:sz w:val="20"/>
                <w:szCs w:val="20"/>
                <w:color w:val="auto"/>
              </w:rPr>
            </w:pPr>
            <w:r>
              <w:rPr>
                <w:rFonts w:ascii="Arial" w:cs="Arial" w:eastAsia="Arial" w:hAnsi="Arial"/>
                <w:sz w:val="18"/>
                <w:szCs w:val="18"/>
                <w:color w:val="auto"/>
                <w:w w:val="91"/>
              </w:rPr>
              <w:t>Please read “Description of Notes—Possible Future Guarantees.”</w:t>
            </w: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5"/>
        </w:trPr>
        <w:tc>
          <w:tcPr>
            <w:tcW w:w="2960" w:type="dxa"/>
            <w:vAlign w:val="bottom"/>
          </w:tcPr>
          <w:p>
            <w:pPr>
              <w:spacing w:after="0"/>
              <w:rPr>
                <w:sz w:val="20"/>
                <w:szCs w:val="20"/>
                <w:color w:val="auto"/>
              </w:rPr>
            </w:pPr>
            <w:r>
              <w:rPr>
                <w:rFonts w:ascii="Arial" w:cs="Arial" w:eastAsia="Arial" w:hAnsi="Arial"/>
                <w:sz w:val="18"/>
                <w:szCs w:val="18"/>
                <w:color w:val="auto"/>
              </w:rPr>
              <w:t>Notes offered</w:t>
            </w:r>
          </w:p>
        </w:tc>
        <w:tc>
          <w:tcPr>
            <w:tcW w:w="1520" w:type="dxa"/>
            <w:vAlign w:val="bottom"/>
          </w:tcPr>
          <w:p>
            <w:pPr>
              <w:ind w:left="1380"/>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aggregate principal amount of</w:t>
            </w:r>
          </w:p>
        </w:tc>
        <w:tc>
          <w:tcPr>
            <w:tcW w:w="2140" w:type="dxa"/>
            <w:vAlign w:val="bottom"/>
          </w:tcPr>
          <w:p>
            <w:pPr>
              <w:ind w:left="160"/>
              <w:spacing w:after="0"/>
              <w:rPr>
                <w:sz w:val="20"/>
                <w:szCs w:val="20"/>
                <w:color w:val="auto"/>
              </w:rPr>
            </w:pPr>
            <w:r>
              <w:rPr>
                <w:rFonts w:ascii="Arial" w:cs="Arial" w:eastAsia="Arial" w:hAnsi="Arial"/>
                <w:sz w:val="18"/>
                <w:szCs w:val="18"/>
                <w:color w:val="auto"/>
                <w:w w:val="93"/>
              </w:rPr>
              <w:t>% Senior Notes due 2044.</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960" w:type="dxa"/>
            <w:vAlign w:val="bottom"/>
          </w:tcPr>
          <w:p>
            <w:pPr>
              <w:spacing w:after="0"/>
              <w:rPr>
                <w:sz w:val="20"/>
                <w:szCs w:val="20"/>
                <w:color w:val="auto"/>
              </w:rPr>
            </w:pPr>
            <w:r>
              <w:rPr>
                <w:rFonts w:ascii="Arial" w:cs="Arial" w:eastAsia="Arial" w:hAnsi="Arial"/>
                <w:sz w:val="18"/>
                <w:szCs w:val="18"/>
                <w:color w:val="auto"/>
              </w:rPr>
              <w:t>Maturity date</w:t>
            </w:r>
          </w:p>
        </w:tc>
        <w:tc>
          <w:tcPr>
            <w:tcW w:w="1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2044.</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960" w:type="dxa"/>
            <w:vAlign w:val="bottom"/>
          </w:tcPr>
          <w:p>
            <w:pPr>
              <w:spacing w:after="0"/>
              <w:rPr>
                <w:sz w:val="20"/>
                <w:szCs w:val="20"/>
                <w:color w:val="auto"/>
              </w:rPr>
            </w:pPr>
            <w:r>
              <w:rPr>
                <w:rFonts w:ascii="Arial" w:cs="Arial" w:eastAsia="Arial" w:hAnsi="Arial"/>
                <w:sz w:val="18"/>
                <w:szCs w:val="18"/>
                <w:color w:val="auto"/>
              </w:rPr>
              <w:t>Interest rate</w:t>
            </w:r>
          </w:p>
        </w:tc>
        <w:tc>
          <w:tcPr>
            <w:tcW w:w="1520" w:type="dxa"/>
            <w:vAlign w:val="bottom"/>
          </w:tcPr>
          <w:p>
            <w:pPr>
              <w:spacing w:after="0"/>
              <w:rPr>
                <w:sz w:val="24"/>
                <w:szCs w:val="24"/>
                <w:color w:val="auto"/>
              </w:rPr>
            </w:pPr>
          </w:p>
        </w:tc>
        <w:tc>
          <w:tcPr>
            <w:tcW w:w="1080" w:type="dxa"/>
            <w:vAlign w:val="bottom"/>
          </w:tcPr>
          <w:p>
            <w:pPr>
              <w:jc w:val="right"/>
              <w:ind w:right="772"/>
              <w:spacing w:after="0"/>
              <w:rPr>
                <w:sz w:val="20"/>
                <w:szCs w:val="20"/>
                <w:color w:val="auto"/>
              </w:rPr>
            </w:pPr>
            <w:r>
              <w:rPr>
                <w:rFonts w:ascii="Arial" w:cs="Arial" w:eastAsia="Arial" w:hAnsi="Arial"/>
                <w:sz w:val="18"/>
                <w:szCs w:val="18"/>
                <w:color w:val="auto"/>
                <w:w w:val="94"/>
              </w:rPr>
              <w:t>%.</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29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180" w:type="dxa"/>
            <w:vAlign w:val="bottom"/>
            <w:gridSpan w:val="4"/>
          </w:tcPr>
          <w:p>
            <w:pPr>
              <w:ind w:left="1380"/>
              <w:spacing w:after="0"/>
              <w:rPr>
                <w:sz w:val="20"/>
                <w:szCs w:val="20"/>
                <w:color w:val="auto"/>
              </w:rPr>
            </w:pPr>
            <w:r>
              <w:rPr>
                <w:rFonts w:ascii="Arial" w:cs="Arial" w:eastAsia="Arial" w:hAnsi="Arial"/>
                <w:sz w:val="18"/>
                <w:szCs w:val="18"/>
                <w:color w:val="auto"/>
                <w:w w:val="98"/>
              </w:rPr>
              <w:t>We will pay interest on the Notes semi-annually in arrears on</w:t>
            </w:r>
          </w:p>
        </w:tc>
        <w:tc>
          <w:tcPr>
            <w:tcW w:w="880" w:type="dxa"/>
            <w:vAlign w:val="bottom"/>
          </w:tcPr>
          <w:p>
            <w:pPr>
              <w:ind w:left="240"/>
              <w:spacing w:after="0"/>
              <w:rPr>
                <w:sz w:val="20"/>
                <w:szCs w:val="20"/>
                <w:color w:val="auto"/>
              </w:rPr>
            </w:pPr>
            <w:r>
              <w:rPr>
                <w:rFonts w:ascii="Arial" w:cs="Arial" w:eastAsia="Arial" w:hAnsi="Arial"/>
                <w:sz w:val="18"/>
                <w:szCs w:val="18"/>
                <w:color w:val="auto"/>
              </w:rPr>
              <w:t>and</w:t>
            </w:r>
          </w:p>
        </w:tc>
        <w:tc>
          <w:tcPr>
            <w:tcW w:w="1300" w:type="dxa"/>
            <w:vAlign w:val="bottom"/>
          </w:tcPr>
          <w:p>
            <w:pPr>
              <w:ind w:left="360"/>
              <w:spacing w:after="0"/>
              <w:rPr>
                <w:sz w:val="20"/>
                <w:szCs w:val="20"/>
                <w:color w:val="auto"/>
              </w:rPr>
            </w:pPr>
            <w:r>
              <w:rPr>
                <w:rFonts w:ascii="Arial" w:cs="Arial" w:eastAsia="Arial" w:hAnsi="Arial"/>
                <w:sz w:val="18"/>
                <w:szCs w:val="18"/>
                <w:color w:val="auto"/>
                <w:w w:val="88"/>
              </w:rPr>
              <w:t>of each year,</w:t>
            </w:r>
          </w:p>
        </w:tc>
        <w:tc>
          <w:tcPr>
            <w:tcW w:w="10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600" w:type="dxa"/>
            <w:vAlign w:val="bottom"/>
            <w:gridSpan w:val="2"/>
          </w:tcPr>
          <w:p>
            <w:pPr>
              <w:ind w:left="1380"/>
              <w:spacing w:after="0"/>
              <w:rPr>
                <w:sz w:val="20"/>
                <w:szCs w:val="20"/>
                <w:color w:val="auto"/>
              </w:rPr>
            </w:pPr>
            <w:r>
              <w:rPr>
                <w:rFonts w:ascii="Arial" w:cs="Arial" w:eastAsia="Arial" w:hAnsi="Arial"/>
                <w:sz w:val="18"/>
                <w:szCs w:val="18"/>
                <w:color w:val="auto"/>
              </w:rPr>
              <w:t>beginning on</w:t>
            </w: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 2014.</w:t>
            </w: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8"/>
        </w:trPr>
        <w:tc>
          <w:tcPr>
            <w:tcW w:w="2960" w:type="dxa"/>
            <w:vAlign w:val="bottom"/>
          </w:tcPr>
          <w:p>
            <w:pPr>
              <w:spacing w:after="0"/>
              <w:rPr>
                <w:sz w:val="20"/>
                <w:szCs w:val="20"/>
                <w:color w:val="auto"/>
              </w:rPr>
            </w:pPr>
            <w:r>
              <w:rPr>
                <w:rFonts w:ascii="Arial" w:cs="Arial" w:eastAsia="Arial" w:hAnsi="Arial"/>
                <w:sz w:val="18"/>
                <w:szCs w:val="18"/>
                <w:color w:val="auto"/>
              </w:rPr>
              <w:t>Optional redemption</w:t>
            </w:r>
          </w:p>
        </w:tc>
        <w:tc>
          <w:tcPr>
            <w:tcW w:w="8460" w:type="dxa"/>
            <w:vAlign w:val="bottom"/>
            <w:gridSpan w:val="7"/>
          </w:tcPr>
          <w:p>
            <w:pPr>
              <w:ind w:left="1380"/>
              <w:spacing w:after="0"/>
              <w:rPr>
                <w:sz w:val="20"/>
                <w:szCs w:val="20"/>
                <w:color w:val="auto"/>
              </w:rPr>
            </w:pPr>
            <w:r>
              <w:rPr>
                <w:rFonts w:ascii="Arial" w:cs="Arial" w:eastAsia="Arial" w:hAnsi="Arial"/>
                <w:sz w:val="18"/>
                <w:szCs w:val="18"/>
                <w:color w:val="auto"/>
                <w:w w:val="89"/>
              </w:rPr>
              <w:t>We may redeem the Notes, in whole or in part, at any time and from time to time prior to maturity. If</w:t>
            </w:r>
          </w:p>
        </w:tc>
      </w:tr>
      <w:tr>
        <w:trPr>
          <w:trHeight w:val="216"/>
        </w:trPr>
        <w:tc>
          <w:tcPr>
            <w:tcW w:w="2960" w:type="dxa"/>
            <w:vAlign w:val="bottom"/>
          </w:tcPr>
          <w:p>
            <w:pPr>
              <w:spacing w:after="0"/>
              <w:rPr>
                <w:sz w:val="18"/>
                <w:szCs w:val="18"/>
                <w:color w:val="auto"/>
              </w:rPr>
            </w:pPr>
          </w:p>
        </w:tc>
        <w:tc>
          <w:tcPr>
            <w:tcW w:w="4040" w:type="dxa"/>
            <w:vAlign w:val="bottom"/>
            <w:gridSpan w:val="3"/>
          </w:tcPr>
          <w:p>
            <w:pPr>
              <w:ind w:left="1380"/>
              <w:spacing w:after="0"/>
              <w:rPr>
                <w:sz w:val="20"/>
                <w:szCs w:val="20"/>
                <w:color w:val="auto"/>
              </w:rPr>
            </w:pPr>
            <w:r>
              <w:rPr>
                <w:rFonts w:ascii="Arial" w:cs="Arial" w:eastAsia="Arial" w:hAnsi="Arial"/>
                <w:sz w:val="18"/>
                <w:szCs w:val="18"/>
                <w:color w:val="auto"/>
              </w:rPr>
              <w:t>we redeem the Notes before</w:t>
            </w:r>
          </w:p>
        </w:tc>
        <w:tc>
          <w:tcPr>
            <w:tcW w:w="4320" w:type="dxa"/>
            <w:vAlign w:val="bottom"/>
            <w:gridSpan w:val="3"/>
          </w:tcPr>
          <w:p>
            <w:pPr>
              <w:ind w:left="60"/>
              <w:spacing w:after="0"/>
              <w:rPr>
                <w:sz w:val="20"/>
                <w:szCs w:val="20"/>
                <w:color w:val="auto"/>
              </w:rPr>
            </w:pPr>
            <w:r>
              <w:rPr>
                <w:rFonts w:ascii="Arial" w:cs="Arial" w:eastAsia="Arial" w:hAnsi="Arial"/>
                <w:sz w:val="18"/>
                <w:szCs w:val="18"/>
                <w:color w:val="auto"/>
                <w:w w:val="94"/>
              </w:rPr>
              <w:t>, 2043 (six months prior to their maturity date), the Notes</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88"/>
              </w:rPr>
              <w:t>may be redeemed at a price equal to the greater of (i) 100% of the principal amount of the Notes to</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88"/>
              </w:rPr>
              <w:t>be redeemed or (ii) the sum of the present values of the remaining scheduled payments of principal</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90"/>
              </w:rPr>
              <w:t>of and interest on the Notes to be redeemed, discounted to the redemption date on a semiannual</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6180" w:type="dxa"/>
            <w:vAlign w:val="bottom"/>
            <w:gridSpan w:val="4"/>
          </w:tcPr>
          <w:p>
            <w:pPr>
              <w:ind w:left="1380"/>
              <w:spacing w:after="0"/>
              <w:rPr>
                <w:sz w:val="20"/>
                <w:szCs w:val="20"/>
                <w:color w:val="auto"/>
              </w:rPr>
            </w:pPr>
            <w:r>
              <w:rPr>
                <w:rFonts w:ascii="Arial" w:cs="Arial" w:eastAsia="Arial" w:hAnsi="Arial"/>
                <w:sz w:val="18"/>
                <w:szCs w:val="18"/>
                <w:color w:val="auto"/>
                <w:w w:val="99"/>
              </w:rPr>
              <w:t>basis at the Adjusted Treasury Rate (as defined herein) plus</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w w:val="97"/>
              </w:rPr>
              <w:t>basis points, together with</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97"/>
              </w:rPr>
              <w:t>accrued and unpaid interest to the date of redemption. If we redeem the Notes on or after</w:t>
            </w: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r>
      <w:tr>
        <w:trPr>
          <w:trHeight w:val="216"/>
        </w:trPr>
        <w:tc>
          <w:tcPr>
            <w:tcW w:w="2960" w:type="dxa"/>
            <w:vAlign w:val="bottom"/>
          </w:tcPr>
          <w:p>
            <w:pPr>
              <w:spacing w:after="0"/>
              <w:rPr>
                <w:sz w:val="18"/>
                <w:szCs w:val="18"/>
                <w:color w:val="auto"/>
              </w:rPr>
            </w:pPr>
          </w:p>
        </w:tc>
        <w:tc>
          <w:tcPr>
            <w:tcW w:w="8460" w:type="dxa"/>
            <w:vAlign w:val="bottom"/>
            <w:gridSpan w:val="7"/>
          </w:tcPr>
          <w:p>
            <w:pPr>
              <w:ind w:left="1380"/>
              <w:spacing w:after="0"/>
              <w:rPr>
                <w:sz w:val="20"/>
                <w:szCs w:val="20"/>
                <w:color w:val="auto"/>
              </w:rPr>
            </w:pPr>
            <w:r>
              <w:rPr>
                <w:rFonts w:ascii="Arial" w:cs="Arial" w:eastAsia="Arial" w:hAnsi="Arial"/>
                <w:sz w:val="18"/>
                <w:szCs w:val="18"/>
                <w:color w:val="auto"/>
                <w:w w:val="90"/>
              </w:rPr>
              <w:t>2043 (six months prior to their maturity date), the redemption price will equal 100% of the principal</w:t>
            </w:r>
          </w:p>
        </w:tc>
      </w:tr>
      <w:tr>
        <w:trPr>
          <w:trHeight w:val="216"/>
        </w:trPr>
        <w:tc>
          <w:tcPr>
            <w:tcW w:w="2960" w:type="dxa"/>
            <w:vAlign w:val="bottom"/>
          </w:tcPr>
          <w:p>
            <w:pPr>
              <w:spacing w:after="0"/>
              <w:rPr>
                <w:sz w:val="18"/>
                <w:szCs w:val="18"/>
                <w:color w:val="auto"/>
              </w:rPr>
            </w:pP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88"/>
              </w:rPr>
              <w:t>amount of the Notes to be redeemed plus accrued and unpaid interest to the redemption date. See</w:t>
            </w:r>
          </w:p>
        </w:tc>
        <w:tc>
          <w:tcPr>
            <w:tcW w:w="10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6180" w:type="dxa"/>
            <w:vAlign w:val="bottom"/>
            <w:gridSpan w:val="4"/>
          </w:tcPr>
          <w:p>
            <w:pPr>
              <w:ind w:left="1380"/>
              <w:spacing w:after="0"/>
              <w:rPr>
                <w:sz w:val="20"/>
                <w:szCs w:val="20"/>
                <w:color w:val="auto"/>
              </w:rPr>
            </w:pPr>
            <w:r>
              <w:rPr>
                <w:rFonts w:ascii="Arial" w:cs="Arial" w:eastAsia="Arial" w:hAnsi="Arial"/>
                <w:sz w:val="18"/>
                <w:szCs w:val="18"/>
                <w:color w:val="auto"/>
              </w:rPr>
              <w:t>“Description of Notes—Optional Redemption.”</w:t>
            </w: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8"/>
        </w:trPr>
        <w:tc>
          <w:tcPr>
            <w:tcW w:w="2960" w:type="dxa"/>
            <w:vAlign w:val="bottom"/>
          </w:tcPr>
          <w:p>
            <w:pPr>
              <w:spacing w:after="0"/>
              <w:rPr>
                <w:sz w:val="20"/>
                <w:szCs w:val="20"/>
                <w:color w:val="auto"/>
              </w:rPr>
            </w:pPr>
            <w:r>
              <w:rPr>
                <w:rFonts w:ascii="Arial" w:cs="Arial" w:eastAsia="Arial" w:hAnsi="Arial"/>
                <w:sz w:val="18"/>
                <w:szCs w:val="18"/>
                <w:color w:val="auto"/>
              </w:rPr>
              <w:t>Ranking</w:t>
            </w:r>
          </w:p>
        </w:tc>
        <w:tc>
          <w:tcPr>
            <w:tcW w:w="8360" w:type="dxa"/>
            <w:vAlign w:val="bottom"/>
            <w:gridSpan w:val="6"/>
          </w:tcPr>
          <w:p>
            <w:pPr>
              <w:ind w:left="1380"/>
              <w:spacing w:after="0"/>
              <w:rPr>
                <w:sz w:val="20"/>
                <w:szCs w:val="20"/>
                <w:color w:val="auto"/>
              </w:rPr>
            </w:pPr>
            <w:r>
              <w:rPr>
                <w:rFonts w:ascii="Arial" w:cs="Arial" w:eastAsia="Arial" w:hAnsi="Arial"/>
                <w:sz w:val="18"/>
                <w:szCs w:val="18"/>
                <w:color w:val="auto"/>
                <w:w w:val="89"/>
              </w:rPr>
              <w:t>The Notes will be general senior unsecured obligations of the issuers and will rank equally in right</w:t>
            </w:r>
          </w:p>
        </w:tc>
        <w:tc>
          <w:tcPr>
            <w:tcW w:w="10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7060" w:type="dxa"/>
            <w:vAlign w:val="bottom"/>
            <w:gridSpan w:val="5"/>
          </w:tcPr>
          <w:p>
            <w:pPr>
              <w:ind w:left="1380"/>
              <w:spacing w:after="0"/>
              <w:rPr>
                <w:sz w:val="20"/>
                <w:szCs w:val="20"/>
                <w:color w:val="auto"/>
              </w:rPr>
            </w:pPr>
            <w:r>
              <w:rPr>
                <w:rFonts w:ascii="Arial" w:cs="Arial" w:eastAsia="Arial" w:hAnsi="Arial"/>
                <w:sz w:val="18"/>
                <w:szCs w:val="18"/>
                <w:color w:val="auto"/>
                <w:w w:val="95"/>
              </w:rPr>
              <w:t>of payment with the existing and future senior indebtedness of the issuers.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5"/>
        </w:trPr>
        <w:tc>
          <w:tcPr>
            <w:tcW w:w="2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right"/>
              <w:ind w:right="1072"/>
              <w:spacing w:after="0"/>
              <w:rPr>
                <w:sz w:val="20"/>
                <w:szCs w:val="20"/>
                <w:color w:val="auto"/>
              </w:rPr>
            </w:pPr>
            <w:r>
              <w:rPr>
                <w:rFonts w:ascii="Arial" w:cs="Arial" w:eastAsia="Arial" w:hAnsi="Arial"/>
                <w:sz w:val="18"/>
                <w:szCs w:val="18"/>
                <w:color w:val="auto"/>
                <w:w w:val="92"/>
              </w:rPr>
              <w:t>S-3</w:t>
            </w: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Certain covenants</w:t>
            </w: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8"/>
              </w:rPr>
              <w:t>The Notes will be issued under an indenture containing covenants for your benefit. These covenants</w:t>
            </w:r>
          </w:p>
        </w:tc>
      </w:tr>
      <w:tr>
        <w:trPr>
          <w:trHeight w:val="222"/>
        </w:trPr>
        <w:tc>
          <w:tcPr>
            <w:tcW w:w="324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rPr>
              <w:t>restrict our ability, with certain exceptions, to:</w:t>
            </w:r>
          </w:p>
        </w:tc>
        <w:tc>
          <w:tcPr>
            <w:tcW w:w="2820" w:type="dxa"/>
            <w:vAlign w:val="bottom"/>
          </w:tcPr>
          <w:p>
            <w:pPr>
              <w:spacing w:after="0"/>
              <w:rPr>
                <w:sz w:val="19"/>
                <w:szCs w:val="19"/>
                <w:color w:val="auto"/>
              </w:rPr>
            </w:pPr>
          </w:p>
        </w:tc>
      </w:tr>
      <w:tr>
        <w:trPr>
          <w:trHeight w:val="284"/>
        </w:trPr>
        <w:tc>
          <w:tcPr>
            <w:tcW w:w="3240" w:type="dxa"/>
            <w:vAlign w:val="bottom"/>
          </w:tcPr>
          <w:p>
            <w:pPr>
              <w:spacing w:after="0"/>
              <w:rPr>
                <w:sz w:val="24"/>
                <w:szCs w:val="24"/>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rPr>
              <w:t>•  incur liens on principal properties to secure debt;</w:t>
            </w:r>
          </w:p>
        </w:tc>
        <w:tc>
          <w:tcPr>
            <w:tcW w:w="2820" w:type="dxa"/>
            <w:vAlign w:val="bottom"/>
          </w:tcPr>
          <w:p>
            <w:pPr>
              <w:spacing w:after="0"/>
              <w:rPr>
                <w:sz w:val="24"/>
                <w:szCs w:val="24"/>
                <w:color w:val="auto"/>
              </w:rPr>
            </w:pPr>
          </w:p>
        </w:tc>
      </w:tr>
      <w:tr>
        <w:trPr>
          <w:trHeight w:val="311"/>
        </w:trPr>
        <w:tc>
          <w:tcPr>
            <w:tcW w:w="3240" w:type="dxa"/>
            <w:vAlign w:val="bottom"/>
          </w:tcPr>
          <w:p>
            <w:pPr>
              <w:spacing w:after="0"/>
              <w:rPr>
                <w:sz w:val="24"/>
                <w:szCs w:val="24"/>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rPr>
              <w:t>•  engage in sale-leaseback transactions; and</w:t>
            </w:r>
          </w:p>
        </w:tc>
        <w:tc>
          <w:tcPr>
            <w:tcW w:w="2820" w:type="dxa"/>
            <w:vAlign w:val="bottom"/>
          </w:tcPr>
          <w:p>
            <w:pPr>
              <w:spacing w:after="0"/>
              <w:rPr>
                <w:sz w:val="24"/>
                <w:szCs w:val="24"/>
                <w:color w:val="auto"/>
              </w:rPr>
            </w:pPr>
          </w:p>
        </w:tc>
      </w:tr>
      <w:tr>
        <w:trPr>
          <w:trHeight w:val="304"/>
        </w:trPr>
        <w:tc>
          <w:tcPr>
            <w:tcW w:w="3240" w:type="dxa"/>
            <w:vAlign w:val="bottom"/>
          </w:tcPr>
          <w:p>
            <w:pPr>
              <w:spacing w:after="0"/>
              <w:rPr>
                <w:sz w:val="24"/>
                <w:szCs w:val="24"/>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9"/>
              </w:rPr>
              <w:t>•  merge or consolidate with another entity or sell, lease or transfer substantially all of our</w:t>
            </w:r>
          </w:p>
        </w:tc>
      </w:tr>
      <w:tr>
        <w:trPr>
          <w:trHeight w:val="222"/>
        </w:trPr>
        <w:tc>
          <w:tcPr>
            <w:tcW w:w="3240" w:type="dxa"/>
            <w:vAlign w:val="bottom"/>
          </w:tcPr>
          <w:p>
            <w:pPr>
              <w:spacing w:after="0"/>
              <w:rPr>
                <w:sz w:val="19"/>
                <w:szCs w:val="19"/>
                <w:color w:val="auto"/>
              </w:rPr>
            </w:pPr>
          </w:p>
        </w:tc>
        <w:tc>
          <w:tcPr>
            <w:tcW w:w="5320" w:type="dxa"/>
            <w:vAlign w:val="bottom"/>
          </w:tcPr>
          <w:p>
            <w:pPr>
              <w:ind w:left="1320"/>
              <w:spacing w:after="0"/>
              <w:rPr>
                <w:sz w:val="20"/>
                <w:szCs w:val="20"/>
                <w:color w:val="auto"/>
              </w:rPr>
            </w:pPr>
            <w:r>
              <w:rPr>
                <w:rFonts w:ascii="Arial" w:cs="Arial" w:eastAsia="Arial" w:hAnsi="Arial"/>
                <w:sz w:val="18"/>
                <w:szCs w:val="18"/>
                <w:color w:val="auto"/>
              </w:rPr>
              <w:t>properties or assets to another entity.</w:t>
            </w:r>
          </w:p>
        </w:tc>
        <w:tc>
          <w:tcPr>
            <w:tcW w:w="2820" w:type="dxa"/>
            <w:vAlign w:val="bottom"/>
          </w:tcPr>
          <w:p>
            <w:pPr>
              <w:spacing w:after="0"/>
              <w:rPr>
                <w:sz w:val="19"/>
                <w:szCs w:val="19"/>
                <w:color w:val="auto"/>
              </w:rPr>
            </w:pPr>
          </w:p>
        </w:tc>
      </w:tr>
      <w:tr>
        <w:trPr>
          <w:trHeight w:val="365"/>
        </w:trPr>
        <w:tc>
          <w:tcPr>
            <w:tcW w:w="3240" w:type="dxa"/>
            <w:vAlign w:val="bottom"/>
          </w:tcPr>
          <w:p>
            <w:pPr>
              <w:spacing w:after="0"/>
              <w:rPr>
                <w:sz w:val="24"/>
                <w:szCs w:val="24"/>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rPr>
              <w:t>See “Description of Notes—Covenants.”</w:t>
            </w:r>
          </w:p>
        </w:tc>
        <w:tc>
          <w:tcPr>
            <w:tcW w:w="2820" w:type="dxa"/>
            <w:vAlign w:val="bottom"/>
          </w:tcPr>
          <w:p>
            <w:pPr>
              <w:spacing w:after="0"/>
              <w:rPr>
                <w:sz w:val="24"/>
                <w:szCs w:val="24"/>
                <w:color w:val="auto"/>
              </w:rPr>
            </w:pPr>
          </w:p>
        </w:tc>
      </w:tr>
      <w:tr>
        <w:trPr>
          <w:trHeight w:val="358"/>
        </w:trPr>
        <w:tc>
          <w:tcPr>
            <w:tcW w:w="3240" w:type="dxa"/>
            <w:vAlign w:val="bottom"/>
          </w:tcPr>
          <w:p>
            <w:pPr>
              <w:spacing w:after="0"/>
              <w:rPr>
                <w:sz w:val="20"/>
                <w:szCs w:val="20"/>
                <w:color w:val="auto"/>
              </w:rPr>
            </w:pPr>
            <w:r>
              <w:rPr>
                <w:rFonts w:ascii="Arial" w:cs="Arial" w:eastAsia="Arial" w:hAnsi="Arial"/>
                <w:sz w:val="18"/>
                <w:szCs w:val="18"/>
                <w:color w:val="auto"/>
              </w:rPr>
              <w:t>Use of proceeds</w:t>
            </w:r>
          </w:p>
        </w:tc>
        <w:tc>
          <w:tcPr>
            <w:tcW w:w="5320" w:type="dxa"/>
            <w:vAlign w:val="bottom"/>
          </w:tcPr>
          <w:p>
            <w:pPr>
              <w:ind w:left="1100"/>
              <w:spacing w:after="0"/>
              <w:rPr>
                <w:sz w:val="20"/>
                <w:szCs w:val="20"/>
                <w:color w:val="auto"/>
              </w:rPr>
            </w:pPr>
            <w:r>
              <w:rPr>
                <w:rFonts w:ascii="Arial" w:cs="Arial" w:eastAsia="Arial" w:hAnsi="Arial"/>
                <w:sz w:val="18"/>
                <w:szCs w:val="18"/>
                <w:color w:val="auto"/>
                <w:w w:val="94"/>
              </w:rPr>
              <w:t>The net proceeds of this offering will be approximately $</w:t>
            </w:r>
          </w:p>
        </w:tc>
        <w:tc>
          <w:tcPr>
            <w:tcW w:w="2820" w:type="dxa"/>
            <w:vAlign w:val="bottom"/>
          </w:tcPr>
          <w:p>
            <w:pPr>
              <w:ind w:left="180"/>
              <w:spacing w:after="0"/>
              <w:rPr>
                <w:sz w:val="20"/>
                <w:szCs w:val="20"/>
                <w:color w:val="auto"/>
              </w:rPr>
            </w:pPr>
            <w:r>
              <w:rPr>
                <w:rFonts w:ascii="Arial" w:cs="Arial" w:eastAsia="Arial" w:hAnsi="Arial"/>
                <w:sz w:val="18"/>
                <w:szCs w:val="18"/>
                <w:color w:val="auto"/>
              </w:rPr>
              <w:t>million after deducting the</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8"/>
              </w:rPr>
              <w:t>underwriting discount and our estimated offering expenses. We expect to use the net proceeds from</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9"/>
              </w:rPr>
              <w:t>this offering to repay outstanding borrowings under our commercial paper program and for general</w:t>
            </w:r>
          </w:p>
        </w:tc>
      </w:tr>
      <w:tr>
        <w:trPr>
          <w:trHeight w:val="222"/>
        </w:trPr>
        <w:tc>
          <w:tcPr>
            <w:tcW w:w="324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rPr>
              <w:t>partnership purposes.</w:t>
            </w:r>
          </w:p>
        </w:tc>
        <w:tc>
          <w:tcPr>
            <w:tcW w:w="2820" w:type="dxa"/>
            <w:vAlign w:val="bottom"/>
          </w:tcPr>
          <w:p>
            <w:pPr>
              <w:spacing w:after="0"/>
              <w:rPr>
                <w:sz w:val="19"/>
                <w:szCs w:val="19"/>
                <w:color w:val="auto"/>
              </w:rPr>
            </w:pPr>
          </w:p>
        </w:tc>
      </w:tr>
      <w:tr>
        <w:trPr>
          <w:trHeight w:val="358"/>
        </w:trPr>
        <w:tc>
          <w:tcPr>
            <w:tcW w:w="3240" w:type="dxa"/>
            <w:vAlign w:val="bottom"/>
          </w:tcPr>
          <w:p>
            <w:pPr>
              <w:spacing w:after="0"/>
              <w:rPr>
                <w:sz w:val="24"/>
                <w:szCs w:val="24"/>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7"/>
              </w:rPr>
              <w:t>Amounts repaid under our commercial paper program may be reborrowed, as necessary, to fund our</w:t>
            </w:r>
          </w:p>
        </w:tc>
      </w:tr>
      <w:tr>
        <w:trPr>
          <w:trHeight w:val="222"/>
        </w:trPr>
        <w:tc>
          <w:tcPr>
            <w:tcW w:w="3240" w:type="dxa"/>
            <w:vAlign w:val="bottom"/>
          </w:tcPr>
          <w:p>
            <w:pPr>
              <w:spacing w:after="0"/>
              <w:rPr>
                <w:sz w:val="19"/>
                <w:szCs w:val="19"/>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5"/>
              </w:rPr>
              <w:t>ongoing expansion capital program, future acquisitions, or for general partnership purposes.</w:t>
            </w:r>
          </w:p>
        </w:tc>
      </w:tr>
      <w:tr>
        <w:trPr>
          <w:trHeight w:val="358"/>
        </w:trPr>
        <w:tc>
          <w:tcPr>
            <w:tcW w:w="3240" w:type="dxa"/>
            <w:vAlign w:val="bottom"/>
          </w:tcPr>
          <w:p>
            <w:pPr>
              <w:spacing w:after="0"/>
              <w:rPr>
                <w:sz w:val="20"/>
                <w:szCs w:val="20"/>
                <w:color w:val="auto"/>
              </w:rPr>
            </w:pPr>
            <w:r>
              <w:rPr>
                <w:rFonts w:ascii="Arial" w:cs="Arial" w:eastAsia="Arial" w:hAnsi="Arial"/>
                <w:sz w:val="18"/>
                <w:szCs w:val="18"/>
                <w:color w:val="auto"/>
              </w:rPr>
              <w:t>Book entry, delivery and form</w:t>
            </w: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9"/>
              </w:rPr>
              <w:t>The Notes will be represented by one or more permanent global certificates in fully registered form</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1"/>
              </w:rPr>
              <w:t>deposited with a custodian for, and registered in the name of, a nominee of The Depository Trust</w:t>
            </w:r>
          </w:p>
        </w:tc>
      </w:tr>
      <w:tr>
        <w:trPr>
          <w:trHeight w:val="222"/>
        </w:trPr>
        <w:tc>
          <w:tcPr>
            <w:tcW w:w="324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rPr>
              <w:t>Company.</w:t>
            </w:r>
          </w:p>
        </w:tc>
        <w:tc>
          <w:tcPr>
            <w:tcW w:w="2820" w:type="dxa"/>
            <w:vAlign w:val="bottom"/>
          </w:tcPr>
          <w:p>
            <w:pPr>
              <w:spacing w:after="0"/>
              <w:rPr>
                <w:sz w:val="19"/>
                <w:szCs w:val="19"/>
                <w:color w:val="auto"/>
              </w:rPr>
            </w:pPr>
          </w:p>
        </w:tc>
      </w:tr>
      <w:tr>
        <w:trPr>
          <w:trHeight w:val="358"/>
        </w:trPr>
        <w:tc>
          <w:tcPr>
            <w:tcW w:w="3240" w:type="dxa"/>
            <w:vAlign w:val="bottom"/>
          </w:tcPr>
          <w:p>
            <w:pPr>
              <w:spacing w:after="0"/>
              <w:rPr>
                <w:sz w:val="20"/>
                <w:szCs w:val="20"/>
                <w:color w:val="auto"/>
              </w:rPr>
            </w:pPr>
            <w:r>
              <w:rPr>
                <w:rFonts w:ascii="Arial" w:cs="Arial" w:eastAsia="Arial" w:hAnsi="Arial"/>
                <w:sz w:val="18"/>
                <w:szCs w:val="18"/>
                <w:color w:val="auto"/>
              </w:rPr>
              <w:t>Further issuances</w:t>
            </w: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8"/>
              </w:rPr>
              <w:t>We may create and issue additional Notes ranking equally and ratably with the Notes offered by this</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8"/>
              </w:rPr>
              <w:t>prospectus supplement in all respects, so that such additional Notes will be consolidated and form a</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0"/>
              </w:rPr>
              <w:t>single series with such Notes and will have the same terms, as to status, redemption or otherwise</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9"/>
              </w:rPr>
              <w:t>except for the issue date, the initial interest payment date, if applicable, and the payment of interest</w:t>
            </w:r>
          </w:p>
        </w:tc>
      </w:tr>
      <w:tr>
        <w:trPr>
          <w:trHeight w:val="222"/>
        </w:trPr>
        <w:tc>
          <w:tcPr>
            <w:tcW w:w="324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w w:val="93"/>
              </w:rPr>
              <w:t>accruing prior to the issue date of such additional Notes.</w:t>
            </w:r>
          </w:p>
        </w:tc>
        <w:tc>
          <w:tcPr>
            <w:tcW w:w="2820" w:type="dxa"/>
            <w:vAlign w:val="bottom"/>
          </w:tcPr>
          <w:p>
            <w:pPr>
              <w:spacing w:after="0"/>
              <w:rPr>
                <w:sz w:val="19"/>
                <w:szCs w:val="19"/>
                <w:color w:val="auto"/>
              </w:rPr>
            </w:pPr>
          </w:p>
        </w:tc>
      </w:tr>
      <w:tr>
        <w:trPr>
          <w:trHeight w:val="358"/>
        </w:trPr>
        <w:tc>
          <w:tcPr>
            <w:tcW w:w="3240" w:type="dxa"/>
            <w:vAlign w:val="bottom"/>
          </w:tcPr>
          <w:p>
            <w:pPr>
              <w:spacing w:after="0"/>
              <w:rPr>
                <w:sz w:val="20"/>
                <w:szCs w:val="20"/>
                <w:color w:val="auto"/>
              </w:rPr>
            </w:pPr>
            <w:r>
              <w:rPr>
                <w:rFonts w:ascii="Arial" w:cs="Arial" w:eastAsia="Arial" w:hAnsi="Arial"/>
                <w:sz w:val="18"/>
                <w:szCs w:val="18"/>
                <w:color w:val="auto"/>
              </w:rPr>
              <w:t>No listing</w:t>
            </w: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2"/>
              </w:rPr>
              <w:t>The Notes are a new issue of securities with no established trading market. We do not currently</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9"/>
              </w:rPr>
              <w:t>intend to apply for listing of the Notes on any securities exchange or have the Notes quoted on any</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5"/>
              </w:rPr>
              <w:t>automated quotation system. See “Risk Factors—Risks Related to the Notes—Your ability to</w:t>
            </w:r>
          </w:p>
        </w:tc>
      </w:tr>
      <w:tr>
        <w:trPr>
          <w:trHeight w:val="222"/>
        </w:trPr>
        <w:tc>
          <w:tcPr>
            <w:tcW w:w="3240" w:type="dxa"/>
            <w:vAlign w:val="bottom"/>
          </w:tcPr>
          <w:p>
            <w:pPr>
              <w:spacing w:after="0"/>
              <w:rPr>
                <w:sz w:val="19"/>
                <w:szCs w:val="19"/>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rPr>
              <w:t>transfer the Notes may be limited by the absence of an organized trading market.”</w:t>
            </w:r>
          </w:p>
        </w:tc>
      </w:tr>
      <w:tr>
        <w:trPr>
          <w:trHeight w:val="365"/>
        </w:trPr>
        <w:tc>
          <w:tcPr>
            <w:tcW w:w="3240" w:type="dxa"/>
            <w:vAlign w:val="bottom"/>
          </w:tcPr>
          <w:p>
            <w:pPr>
              <w:spacing w:after="0"/>
              <w:rPr>
                <w:sz w:val="20"/>
                <w:szCs w:val="20"/>
                <w:color w:val="auto"/>
              </w:rPr>
            </w:pPr>
            <w:r>
              <w:rPr>
                <w:rFonts w:ascii="Arial" w:cs="Arial" w:eastAsia="Arial" w:hAnsi="Arial"/>
                <w:sz w:val="18"/>
                <w:szCs w:val="18"/>
                <w:color w:val="auto"/>
              </w:rPr>
              <w:t>Governing law</w:t>
            </w:r>
          </w:p>
        </w:tc>
        <w:tc>
          <w:tcPr>
            <w:tcW w:w="5320" w:type="dxa"/>
            <w:vAlign w:val="bottom"/>
          </w:tcPr>
          <w:p>
            <w:pPr>
              <w:ind w:left="1100"/>
              <w:spacing w:after="0"/>
              <w:rPr>
                <w:sz w:val="20"/>
                <w:szCs w:val="20"/>
                <w:color w:val="auto"/>
              </w:rPr>
            </w:pPr>
            <w:r>
              <w:rPr>
                <w:rFonts w:ascii="Arial" w:cs="Arial" w:eastAsia="Arial" w:hAnsi="Arial"/>
                <w:sz w:val="18"/>
                <w:szCs w:val="18"/>
                <w:color w:val="auto"/>
              </w:rPr>
              <w:t>State of New York.</w:t>
            </w:r>
          </w:p>
        </w:tc>
        <w:tc>
          <w:tcPr>
            <w:tcW w:w="2820" w:type="dxa"/>
            <w:vAlign w:val="bottom"/>
          </w:tcPr>
          <w:p>
            <w:pPr>
              <w:spacing w:after="0"/>
              <w:rPr>
                <w:sz w:val="24"/>
                <w:szCs w:val="24"/>
                <w:color w:val="auto"/>
              </w:rPr>
            </w:pPr>
          </w:p>
        </w:tc>
      </w:tr>
      <w:tr>
        <w:trPr>
          <w:trHeight w:val="378"/>
        </w:trPr>
        <w:tc>
          <w:tcPr>
            <w:tcW w:w="3240" w:type="dxa"/>
            <w:vAlign w:val="bottom"/>
          </w:tcPr>
          <w:p>
            <w:pPr>
              <w:spacing w:after="0"/>
              <w:rPr>
                <w:sz w:val="20"/>
                <w:szCs w:val="20"/>
                <w:color w:val="auto"/>
              </w:rPr>
            </w:pPr>
            <w:r>
              <w:rPr>
                <w:rFonts w:ascii="Arial" w:cs="Arial" w:eastAsia="Arial" w:hAnsi="Arial"/>
                <w:sz w:val="18"/>
                <w:szCs w:val="18"/>
                <w:color w:val="auto"/>
              </w:rPr>
              <w:t>Trustee</w:t>
            </w:r>
          </w:p>
        </w:tc>
        <w:tc>
          <w:tcPr>
            <w:tcW w:w="5320" w:type="dxa"/>
            <w:vAlign w:val="bottom"/>
          </w:tcPr>
          <w:p>
            <w:pPr>
              <w:ind w:left="1100"/>
              <w:spacing w:after="0"/>
              <w:rPr>
                <w:sz w:val="20"/>
                <w:szCs w:val="20"/>
                <w:color w:val="auto"/>
              </w:rPr>
            </w:pPr>
            <w:r>
              <w:rPr>
                <w:rFonts w:ascii="Arial" w:cs="Arial" w:eastAsia="Arial" w:hAnsi="Arial"/>
                <w:sz w:val="18"/>
                <w:szCs w:val="18"/>
                <w:color w:val="auto"/>
              </w:rPr>
              <w:t>U.S. Bank National Association.</w:t>
            </w:r>
          </w:p>
        </w:tc>
        <w:tc>
          <w:tcPr>
            <w:tcW w:w="2820" w:type="dxa"/>
            <w:vAlign w:val="bottom"/>
          </w:tcPr>
          <w:p>
            <w:pPr>
              <w:spacing w:after="0"/>
              <w:rPr>
                <w:sz w:val="24"/>
                <w:szCs w:val="24"/>
                <w:color w:val="auto"/>
              </w:rPr>
            </w:pPr>
          </w:p>
        </w:tc>
      </w:tr>
      <w:tr>
        <w:trPr>
          <w:trHeight w:val="372"/>
        </w:trPr>
        <w:tc>
          <w:tcPr>
            <w:tcW w:w="3240" w:type="dxa"/>
            <w:vAlign w:val="bottom"/>
          </w:tcPr>
          <w:p>
            <w:pPr>
              <w:spacing w:after="0"/>
              <w:rPr>
                <w:sz w:val="20"/>
                <w:szCs w:val="20"/>
                <w:color w:val="auto"/>
              </w:rPr>
            </w:pPr>
            <w:r>
              <w:rPr>
                <w:rFonts w:ascii="Arial" w:cs="Arial" w:eastAsia="Arial" w:hAnsi="Arial"/>
                <w:sz w:val="18"/>
                <w:szCs w:val="18"/>
                <w:color w:val="auto"/>
              </w:rPr>
              <w:t>Risk factors</w:t>
            </w: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3"/>
              </w:rPr>
              <w:t>Investing in the Notes involves risks. You should consider carefully all of the information in this</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9"/>
              </w:rPr>
              <w:t>prospectus supplement, the accompanying base prospectus, any free writing prospectus relating to</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93"/>
              </w:rPr>
              <w:t>this offering and the documents incorporated by reference herein and therein. In particular, you</w:t>
            </w:r>
          </w:p>
        </w:tc>
      </w:tr>
      <w:tr>
        <w:trPr>
          <w:trHeight w:val="216"/>
        </w:trPr>
        <w:tc>
          <w:tcPr>
            <w:tcW w:w="3240" w:type="dxa"/>
            <w:vAlign w:val="bottom"/>
          </w:tcPr>
          <w:p>
            <w:pPr>
              <w:spacing w:after="0"/>
              <w:rPr>
                <w:sz w:val="18"/>
                <w:szCs w:val="18"/>
                <w:color w:val="auto"/>
              </w:rPr>
            </w:pPr>
          </w:p>
        </w:tc>
        <w:tc>
          <w:tcPr>
            <w:tcW w:w="8140" w:type="dxa"/>
            <w:vAlign w:val="bottom"/>
            <w:gridSpan w:val="2"/>
          </w:tcPr>
          <w:p>
            <w:pPr>
              <w:ind w:left="1100"/>
              <w:spacing w:after="0"/>
              <w:rPr>
                <w:sz w:val="20"/>
                <w:szCs w:val="20"/>
                <w:color w:val="auto"/>
              </w:rPr>
            </w:pPr>
            <w:r>
              <w:rPr>
                <w:rFonts w:ascii="Arial" w:cs="Arial" w:eastAsia="Arial" w:hAnsi="Arial"/>
                <w:sz w:val="18"/>
                <w:szCs w:val="18"/>
                <w:color w:val="auto"/>
                <w:w w:val="89"/>
              </w:rPr>
              <w:t>should consider carefully the specific risks set forth in “Risk Factors” beginning on page S-5 of this</w:t>
            </w:r>
          </w:p>
        </w:tc>
      </w:tr>
      <w:tr>
        <w:trPr>
          <w:trHeight w:val="222"/>
        </w:trPr>
        <w:tc>
          <w:tcPr>
            <w:tcW w:w="324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Arial" w:cs="Arial" w:eastAsia="Arial" w:hAnsi="Arial"/>
                <w:sz w:val="18"/>
                <w:szCs w:val="18"/>
                <w:color w:val="auto"/>
              </w:rPr>
              <w:t>prospectus supplement.</w:t>
            </w:r>
          </w:p>
        </w:tc>
        <w:tc>
          <w:tcPr>
            <w:tcW w:w="2820" w:type="dxa"/>
            <w:vAlign w:val="bottom"/>
          </w:tcPr>
          <w:p>
            <w:pPr>
              <w:spacing w:after="0"/>
              <w:rPr>
                <w:sz w:val="19"/>
                <w:szCs w:val="19"/>
                <w:color w:val="auto"/>
              </w:rPr>
            </w:pPr>
          </w:p>
        </w:tc>
      </w:tr>
      <w:tr>
        <w:trPr>
          <w:trHeight w:val="365"/>
        </w:trPr>
        <w:tc>
          <w:tcPr>
            <w:tcW w:w="3240" w:type="dxa"/>
            <w:vAlign w:val="bottom"/>
          </w:tcPr>
          <w:p>
            <w:pPr>
              <w:spacing w:after="0"/>
              <w:rPr>
                <w:sz w:val="24"/>
                <w:szCs w:val="24"/>
                <w:color w:val="auto"/>
              </w:rPr>
            </w:pPr>
          </w:p>
        </w:tc>
        <w:tc>
          <w:tcPr>
            <w:tcW w:w="5320" w:type="dxa"/>
            <w:vAlign w:val="bottom"/>
          </w:tcPr>
          <w:p>
            <w:pPr>
              <w:ind w:left="2360"/>
              <w:spacing w:after="0"/>
              <w:rPr>
                <w:sz w:val="20"/>
                <w:szCs w:val="20"/>
                <w:color w:val="auto"/>
              </w:rPr>
            </w:pPr>
            <w:r>
              <w:rPr>
                <w:rFonts w:ascii="Arial" w:cs="Arial" w:eastAsia="Arial" w:hAnsi="Arial"/>
                <w:sz w:val="18"/>
                <w:szCs w:val="18"/>
                <w:color w:val="auto"/>
              </w:rPr>
              <w:t>S-4</w:t>
            </w:r>
          </w:p>
        </w:tc>
        <w:tc>
          <w:tcPr>
            <w:tcW w:w="28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2013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83" w:lineRule="exact"/>
        <w:rPr>
          <w:sz w:val="20"/>
          <w:szCs w:val="20"/>
          <w:color w:val="auto"/>
        </w:rPr>
      </w:pPr>
    </w:p>
    <w:p>
      <w:pPr>
        <w:jc w:val="both"/>
        <w:ind w:left="240" w:right="8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46" w:lineRule="exact"/>
        <w:rPr>
          <w:sz w:val="20"/>
          <w:szCs w:val="20"/>
          <w:color w:val="auto"/>
        </w:rPr>
      </w:pPr>
    </w:p>
    <w:p>
      <w:pPr>
        <w:jc w:val="center"/>
        <w:ind w:right="320"/>
        <w:spacing w:after="0" w:line="305" w:lineRule="auto"/>
        <w:rPr>
          <w:sz w:val="20"/>
          <w:szCs w:val="20"/>
          <w:color w:val="auto"/>
        </w:rPr>
      </w:pPr>
      <w:r>
        <w:rPr>
          <w:rFonts w:ascii="Arial" w:cs="Arial" w:eastAsia="Arial" w:hAnsi="Arial"/>
          <w:sz w:val="15"/>
          <w:szCs w:val="15"/>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December 31, 2013, on an as adjusted basis as</w:t>
      </w:r>
    </w:p>
    <w:p>
      <w:pPr>
        <w:ind w:right="220"/>
        <w:spacing w:after="0" w:line="281" w:lineRule="auto"/>
        <w:rPr>
          <w:sz w:val="20"/>
          <w:szCs w:val="20"/>
          <w:color w:val="auto"/>
        </w:rPr>
      </w:pPr>
      <w:r>
        <w:rPr>
          <w:rFonts w:ascii="Arial" w:cs="Arial" w:eastAsia="Arial" w:hAnsi="Arial"/>
          <w:sz w:val="16"/>
          <w:szCs w:val="16"/>
          <w:color w:val="auto"/>
        </w:rPr>
        <w:t>described under “Capitalization,” the Notes would have been effectively subordinated to $ million of our short-term secured indebtedness and structurally subordinated to all of our subsidiaries’ indebtedness, which totaled approximately $ million at that date. In the event of the insolvency, bankruptcy,</w:t>
      </w:r>
    </w:p>
    <w:p>
      <w:pPr>
        <w:spacing w:after="0" w:line="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leverage is significant in relation to our partners’ capital. As of December 31, 2013, on an as adjusted basis as described under “Capitalization,” our</w:t>
      </w:r>
    </w:p>
    <w:p>
      <w:pPr>
        <w:spacing w:after="0" w:line="3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total outstanding long-term debt was approximately $ billion, and our total outstanding short-term debt was approximately $ million.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06"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34"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3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 w:lineRule="exact"/>
        <w:rPr>
          <w:sz w:val="20"/>
          <w:szCs w:val="20"/>
          <w:color w:val="auto"/>
        </w:rPr>
      </w:pPr>
    </w:p>
    <w:p>
      <w:pPr>
        <w:ind w:left="660" w:right="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net proceeds of this offering will be approximately $ million after deducting the underwriting discount and our estimated offering expenses. We expect to use the net proceeds from this offering to repay outstanding borrowings under our commercial paper program and for general partnership purposes. Amounts repaid under our commercial paper program may be reborrowed, as necessary, to fund our ongoing expansion capital program, future acquisitions, or for general partnership purposes.</w:t>
      </w:r>
    </w:p>
    <w:p>
      <w:pPr>
        <w:spacing w:after="0" w:line="13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Affiliates of certain of the underwriters are dealers under our commercial paper program and may hold commercial paper notes thereunder. Accordingly, they may receive a portion of the net proceeds from this offering. Please read “Underwriting” in this prospectus supplement for further information.</w:t>
      </w:r>
    </w:p>
    <w:p>
      <w:pPr>
        <w:spacing w:after="0" w:line="4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April 14, 2014, we had approximately $987 million of borrowings outstanding under our commercial paper program with a weighted average interest rate of approximately 0.29%. The outstanding borrowings under our commercial paper program have maturity dates of one week or less. Our commercial paper program is backstopped by our senior secured hedged inventory facility and our senior unsecured revolving credit facility.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86"/>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4.41x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4.03x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1"/>
              </w:rPr>
              <w:t>4.13x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3.00x</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$30 million, $12 million, $20 million, $17 million and $11 million for the years ended December 31, 2013, 2012, 2011, 2010 and 2009,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December 31, 2013:</w:t>
      </w:r>
    </w:p>
    <w:p>
      <w:pPr>
        <w:spacing w:after="0" w:line="77"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 2013</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Historical</w:t>
            </w:r>
          </w:p>
        </w:tc>
        <w:tc>
          <w:tcPr>
            <w:tcW w:w="6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DEBT(1)(2)</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PAA senior secured hedged inventory facility</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Arial" w:cs="Arial" w:eastAsia="Arial" w:hAnsi="Arial"/>
                <w:sz w:val="18"/>
                <w:szCs w:val="18"/>
                <w:color w:val="auto"/>
              </w:rPr>
              <w:t>PAA senior unsecured revolving credit facility</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PAA commercial paper notes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short-term debt</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Senior notes, net of unamortized discounts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Arial" w:cs="Arial" w:eastAsia="Arial" w:hAnsi="Arial"/>
                <w:sz w:val="18"/>
                <w:szCs w:val="18"/>
                <w:color w:val="auto"/>
              </w:rPr>
              <w:t>Notes offered hereby, net of unamortized discount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 under credit facilities and other</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ind w:left="880"/>
              <w:spacing w:after="0"/>
              <w:rPr>
                <w:sz w:val="20"/>
                <w:szCs w:val="20"/>
                <w:color w:val="auto"/>
              </w:rPr>
            </w:pPr>
            <w:r>
              <w:rPr>
                <w:rFonts w:ascii="Arial" w:cs="Arial" w:eastAsia="Arial" w:hAnsi="Arial"/>
                <w:sz w:val="18"/>
                <w:szCs w:val="18"/>
                <w:color w:val="auto"/>
              </w:rPr>
              <w:t>Total long-term debt</w:t>
            </w:r>
          </w:p>
        </w:tc>
        <w:tc>
          <w:tcPr>
            <w:tcW w:w="2360" w:type="dxa"/>
            <w:vAlign w:val="bottom"/>
            <w:gridSpan w:val="2"/>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6,715</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Arial" w:cs="Arial" w:eastAsia="Arial" w:hAnsi="Arial"/>
                <w:sz w:val="18"/>
                <w:szCs w:val="18"/>
                <w:color w:val="auto"/>
              </w:rPr>
              <w:t>Common unitholders</w:t>
            </w:r>
          </w:p>
        </w:tc>
        <w:tc>
          <w:tcPr>
            <w:tcW w:w="2360" w:type="dxa"/>
            <w:vAlign w:val="bottom"/>
            <w:gridSpan w:val="2"/>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7,349</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partner</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ind w:left="880"/>
              <w:spacing w:after="0"/>
              <w:rPr>
                <w:sz w:val="20"/>
                <w:szCs w:val="20"/>
                <w:color w:val="auto"/>
              </w:rPr>
            </w:pPr>
            <w:r>
              <w:rPr>
                <w:rFonts w:ascii="Arial" w:cs="Arial" w:eastAsia="Arial" w:hAnsi="Arial"/>
                <w:sz w:val="18"/>
                <w:szCs w:val="18"/>
                <w:color w:val="auto"/>
              </w:rPr>
              <w:t>Total partners’ capital excluding noncontrolling interests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7,644</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ind w:left="880"/>
              <w:spacing w:after="0"/>
              <w:rPr>
                <w:sz w:val="20"/>
                <w:szCs w:val="20"/>
                <w:color w:val="auto"/>
              </w:rPr>
            </w:pPr>
            <w:r>
              <w:rPr>
                <w:rFonts w:ascii="Arial" w:cs="Arial" w:eastAsia="Arial" w:hAnsi="Arial"/>
                <w:sz w:val="18"/>
                <w:szCs w:val="18"/>
                <w:color w:val="auto"/>
              </w:rPr>
              <w:t>Total partners’ capital</w:t>
            </w:r>
          </w:p>
        </w:tc>
        <w:tc>
          <w:tcPr>
            <w:tcW w:w="2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7,703</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capitalization</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14,418</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classify as short-term certain borrowings under our PAA senior secured hedged inventory facility, our PAA senior unsecured revolving credit facility and our commercial paper program. These borrowings are primarily designated as working capital borrowings, must be repaid within one year and are primarily for hedged NGL and crude oil inventory and NYMEX and ICE margin deposits.</w:t>
      </w:r>
    </w:p>
    <w:p>
      <w:pPr>
        <w:ind w:left="460" w:right="12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April 14, 2014, we had approximately $987 million of borrowings outstanding under our commercial paper program and no borrowings outstanding under our senior secured hedged inventory facility or our senior unsecured revolving credit facility.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We will issue the Notes under an indenture (the “Base Indenture”) dated as of September 25, 2002, among us, the subsidiary guarantors and U.S. Bank</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National Association, as successor trustee, and a supplemental indenture thereto with respect to the Notes to be dated as of , 2014 (the Base Indenture, as supplemented by such supplemental indenture, the “Indenture”). The Notes will constitute a new series of debt securities under the Indenture, and 15 other series are now outstanding under the Base Indenture, each issued under a separate supplemental indenture.</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0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9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w:t>
      </w:r>
    </w:p>
    <w:p>
      <w:pPr>
        <w:spacing w:after="0" w:line="77"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senior unsecured indebtedness ranking equally in right of payment with all of our existing and future unsubordinated indebtedness;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junior to existing and future indebtedness and other obligations of our subsidiaries, including trade payables, other than subsidiaries that may guarantee the Notes in the future.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on an as adjusted basis as described under “Capitalization,” the Notes would have been effectively subordinated to</w:t>
      </w:r>
    </w:p>
    <w:p>
      <w:pPr>
        <w:spacing w:after="0" w:line="3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million of short-term secured indebtedness and structurally subordinated to all of our subsidiaries’ outstanding indebtedness, which totaled approximately</w:t>
      </w:r>
    </w:p>
    <w:p>
      <w:pPr>
        <w:spacing w:after="0" w:line="32" w:lineRule="exact"/>
        <w:rPr>
          <w:rFonts w:ascii="Arial" w:cs="Arial" w:eastAsia="Arial" w:hAnsi="Arial"/>
          <w:sz w:val="16"/>
          <w:szCs w:val="16"/>
          <w:color w:val="auto"/>
        </w:rPr>
      </w:pPr>
    </w:p>
    <w:p>
      <w:pPr>
        <w:ind w:right="20" w:firstLine="8"/>
        <w:spacing w:after="0" w:line="255" w:lineRule="auto"/>
        <w:tabs>
          <w:tab w:leader="none" w:pos="483"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will issue the Notes in an initial aggregate principal amount of $ million. The Notes will mature on , 2044. The Notes will bear interest at the annual rate of %. Interest on the Notes will accrue from , 2014 and will be payable semi-annually in arrears on and of each year, beginning , 2014. We will make each interest payment to the holders of record at the close of business on the and</w:t>
      </w:r>
    </w:p>
    <w:p>
      <w:pPr>
        <w:ind w:right="220"/>
        <w:spacing w:after="0" w:line="261" w:lineRule="auto"/>
        <w:rPr>
          <w:sz w:val="20"/>
          <w:szCs w:val="20"/>
          <w:color w:val="auto"/>
        </w:rPr>
      </w:pPr>
      <w:r>
        <w:rPr>
          <w:rFonts w:ascii="Arial" w:cs="Arial" w:eastAsia="Arial" w:hAnsi="Arial"/>
          <w:sz w:val="18"/>
          <w:szCs w:val="18"/>
          <w:color w:val="auto"/>
        </w:rPr>
        <w:t>preceding such interest payment dates. Interest will be computed on the basis of a 360-day year consisting of twelve 30-day months. We will issue the Notes in minimum denominations of $2,000 and integral multiples of $1,000 in excess thereof.</w:t>
      </w:r>
    </w:p>
    <w:p>
      <w:pPr>
        <w:spacing w:after="0" w:line="12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37" w:lineRule="exact"/>
        <w:rPr>
          <w:sz w:val="20"/>
          <w:szCs w:val="20"/>
          <w:color w:val="auto"/>
        </w:rPr>
      </w:pPr>
    </w:p>
    <w:p>
      <w:pPr>
        <w:ind w:left="660" w:right="480" w:hanging="206"/>
        <w:spacing w:after="0" w:line="33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any sale or other disposition of all of our direct or indirect equity interests in that subsidiary guarantor to any person that is not our affiliate; or</w:t>
      </w:r>
    </w:p>
    <w:p>
      <w:pPr>
        <w:spacing w:after="0" w:line="126"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w:t>
      </w:r>
    </w:p>
    <w:p>
      <w:pPr>
        <w:spacing w:after="0" w:line="38" w:lineRule="exact"/>
        <w:rPr>
          <w:sz w:val="20"/>
          <w:szCs w:val="20"/>
          <w:color w:val="auto"/>
        </w:rPr>
      </w:pPr>
    </w:p>
    <w:p>
      <w:pPr>
        <w:ind w:right="480" w:firstLine="710"/>
        <w:spacing w:after="0" w:line="300" w:lineRule="auto"/>
        <w:tabs>
          <w:tab w:leader="none" w:pos="7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2043 (six months prior to their maturity date), the Notes may be redeemed at a redemption price equal to the greater of (a) 100% of the principal amount of the Notes to be redeemed, and (b) as determined by the Quotation Agent, the sum of the present values of the remaining scheduled payments of</w:t>
      </w:r>
    </w:p>
    <w:p>
      <w:pPr>
        <w:spacing w:after="0"/>
        <w:rPr>
          <w:rFonts w:ascii="Arial" w:cs="Arial" w:eastAsia="Arial" w:hAnsi="Arial"/>
          <w:sz w:val="15"/>
          <w:szCs w:val="15"/>
          <w:color w:val="auto"/>
        </w:rPr>
      </w:pPr>
      <w:r>
        <w:rPr>
          <w:rFonts w:ascii="Arial" w:cs="Arial" w:eastAsia="Arial" w:hAnsi="Arial"/>
          <w:sz w:val="15"/>
          <w:szCs w:val="15"/>
          <w:color w:val="auto"/>
        </w:rPr>
        <w:t>principal and interest on the Notes to be redeemed (not including any portion of those payments of interest accrued as of the date of redemption) discounted to the</w:t>
      </w:r>
    </w:p>
    <w:p>
      <w:pPr>
        <w:spacing w:after="0" w:line="2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date of redemption on a semiannual basis (assuming 360-day years, each consisting of twelve 30-day months), at the Adjusted Treasury Rate plus basis points, together with accrued and unpaid interest to the date of redemption.</w:t>
      </w:r>
    </w:p>
    <w:p>
      <w:pPr>
        <w:spacing w:after="0" w:line="118" w:lineRule="exact"/>
        <w:rPr>
          <w:sz w:val="20"/>
          <w:szCs w:val="20"/>
          <w:color w:val="auto"/>
        </w:rPr>
      </w:pPr>
    </w:p>
    <w:p>
      <w:pPr>
        <w:ind w:left="460"/>
        <w:spacing w:after="0"/>
        <w:tabs>
          <w:tab w:leader="none" w:pos="3600" w:val="left"/>
        </w:tabs>
        <w:rPr>
          <w:sz w:val="20"/>
          <w:szCs w:val="20"/>
          <w:color w:val="auto"/>
        </w:rPr>
      </w:pPr>
      <w:r>
        <w:rPr>
          <w:rFonts w:ascii="Arial" w:cs="Arial" w:eastAsia="Arial" w:hAnsi="Arial"/>
          <w:sz w:val="18"/>
          <w:szCs w:val="18"/>
          <w:color w:val="auto"/>
        </w:rPr>
        <w:t>If we redeem the Notes on or after</w:t>
      </w:r>
      <w:r>
        <w:rPr>
          <w:sz w:val="20"/>
          <w:szCs w:val="20"/>
          <w:color w:val="auto"/>
        </w:rPr>
        <w:tab/>
      </w:r>
      <w:r>
        <w:rPr>
          <w:rFonts w:ascii="Arial" w:cs="Arial" w:eastAsia="Arial" w:hAnsi="Arial"/>
          <w:sz w:val="16"/>
          <w:szCs w:val="16"/>
          <w:color w:val="auto"/>
        </w:rPr>
        <w:t>, 2043 (six months prior to their maturity date), the redemption price will equal 100% of the principal amount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the Notes to be redeemed plus accrued and unpaid interest to the redemption date.</w:t>
      </w:r>
    </w:p>
    <w:p>
      <w:pPr>
        <w:spacing w:after="0" w:line="1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(a) Citigroup Global Markets Inc. and its successors, (b) a primary U.S. Government securities dealer in the United States (a “Primary Treasury Dealer”) selected by SunTrust Robinson Humphrey, Inc., (c) UBS Securities LLC and its successors and (d) a Primary Treasury Dealer selected by Wells Fargo Securities, LLC; provided, however, that if the foregoing shall cease to be a Primary Treasury Dealer, we shall substitute another Primary Treasury Dealer.</w:t>
      </w:r>
    </w:p>
    <w:p>
      <w:pPr>
        <w:spacing w:after="0" w:line="13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3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126" w:lineRule="exact"/>
        <w:rPr>
          <w:rFonts w:ascii="Arial" w:cs="Arial" w:eastAsia="Arial" w:hAnsi="Arial"/>
          <w:sz w:val="16"/>
          <w:szCs w:val="16"/>
          <w:color w:val="auto"/>
        </w:rPr>
      </w:pPr>
    </w:p>
    <w:p>
      <w:pPr>
        <w:ind w:left="660" w:right="7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77"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103" w:lineRule="exact"/>
        <w:rPr>
          <w:rFonts w:ascii="Arial" w:cs="Arial" w:eastAsia="Arial" w:hAnsi="Arial"/>
          <w:sz w:val="18"/>
          <w:szCs w:val="18"/>
          <w:color w:val="auto"/>
        </w:rPr>
      </w:pPr>
    </w:p>
    <w:p>
      <w:pPr>
        <w:ind w:left="660" w:right="220" w:hanging="206"/>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12" w:lineRule="exact"/>
        <w:rPr>
          <w:rFonts w:ascii="Arial" w:cs="Arial" w:eastAsia="Arial" w:hAnsi="Arial"/>
          <w:sz w:val="16"/>
          <w:szCs w:val="16"/>
          <w:color w:val="auto"/>
        </w:rPr>
      </w:pPr>
    </w:p>
    <w:p>
      <w:pPr>
        <w:ind w:left="660" w:right="40" w:hanging="206"/>
        <w:spacing w:after="0" w:line="28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28"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2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4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103" w:lineRule="exact"/>
        <w:rPr>
          <w:rFonts w:ascii="Arial" w:cs="Arial" w:eastAsia="Arial" w:hAnsi="Arial"/>
          <w:sz w:val="18"/>
          <w:szCs w:val="18"/>
          <w:color w:val="auto"/>
        </w:rPr>
      </w:pPr>
    </w:p>
    <w:p>
      <w:pPr>
        <w:ind w:left="900" w:right="200" w:hanging="217"/>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45" w:lineRule="exact"/>
        <w:rPr>
          <w:rFonts w:ascii="Arial" w:cs="Arial" w:eastAsia="Arial" w:hAnsi="Arial"/>
          <w:sz w:val="18"/>
          <w:szCs w:val="18"/>
          <w:color w:val="auto"/>
        </w:rPr>
      </w:pPr>
    </w:p>
    <w:p>
      <w:pPr>
        <w:ind w:left="900" w:hanging="217"/>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126" w:lineRule="exact"/>
        <w:rPr>
          <w:rFonts w:ascii="Arial" w:cs="Arial" w:eastAsia="Arial" w:hAnsi="Arial"/>
          <w:sz w:val="16"/>
          <w:szCs w:val="16"/>
          <w:color w:val="auto"/>
        </w:rPr>
      </w:pPr>
    </w:p>
    <w:p>
      <w:pPr>
        <w:ind w:left="660" w:right="180" w:hanging="20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45"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4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03" w:lineRule="exact"/>
        <w:rPr>
          <w:rFonts w:ascii="Arial" w:cs="Arial" w:eastAsia="Arial" w:hAnsi="Arial"/>
          <w:sz w:val="18"/>
          <w:szCs w:val="18"/>
          <w:color w:val="auto"/>
        </w:rPr>
      </w:pPr>
    </w:p>
    <w:p>
      <w:pPr>
        <w:ind w:left="660" w:right="20" w:hanging="206"/>
        <w:spacing w:after="0" w:line="32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20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37"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or release any subsidiary guarantors as permitted pursuant to the terms of the Indenture (see “—Possible Future Guarantees”);</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8"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03" w:lineRule="exact"/>
        <w:rPr>
          <w:rFonts w:ascii="Arial" w:cs="Arial" w:eastAsia="Arial" w:hAnsi="Arial"/>
          <w:sz w:val="18"/>
          <w:szCs w:val="18"/>
          <w:color w:val="auto"/>
        </w:rPr>
      </w:pPr>
    </w:p>
    <w:p>
      <w:pPr>
        <w:ind w:left="660" w:right="160" w:hanging="206"/>
        <w:spacing w:after="0" w:line="30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2" w:lineRule="exact"/>
        <w:rPr>
          <w:rFonts w:ascii="Arial" w:cs="Arial" w:eastAsia="Arial" w:hAnsi="Arial"/>
          <w:sz w:val="16"/>
          <w:szCs w:val="16"/>
          <w:color w:val="auto"/>
        </w:rPr>
      </w:pPr>
    </w:p>
    <w:p>
      <w:pPr>
        <w:ind w:left="6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45"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45" w:lineRule="exact"/>
        <w:rPr>
          <w:rFonts w:ascii="Arial" w:cs="Arial" w:eastAsia="Arial" w:hAnsi="Arial"/>
          <w:sz w:val="18"/>
          <w:szCs w:val="18"/>
          <w:color w:val="auto"/>
        </w:rPr>
      </w:pPr>
    </w:p>
    <w:p>
      <w:pPr>
        <w:ind w:left="660" w:right="38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45"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37"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45" w:lineRule="exact"/>
        <w:rPr>
          <w:rFonts w:ascii="Arial" w:cs="Arial" w:eastAsia="Arial" w:hAnsi="Arial"/>
          <w:sz w:val="18"/>
          <w:szCs w:val="18"/>
          <w:color w:val="auto"/>
        </w:rPr>
      </w:pPr>
    </w:p>
    <w:p>
      <w:pPr>
        <w:ind w:left="660" w:right="80" w:hanging="206"/>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25" w:lineRule="exact"/>
        <w:rPr>
          <w:rFonts w:ascii="Arial" w:cs="Arial" w:eastAsia="Arial" w:hAnsi="Arial"/>
          <w:sz w:val="16"/>
          <w:szCs w:val="16"/>
          <w:color w:val="auto"/>
        </w:rPr>
      </w:pPr>
    </w:p>
    <w:p>
      <w:pPr>
        <w:ind w:left="660" w:right="58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77" w:lineRule="exact"/>
        <w:rPr>
          <w:sz w:val="20"/>
          <w:szCs w:val="20"/>
          <w:color w:val="auto"/>
        </w:rPr>
      </w:pPr>
    </w:p>
    <w:p>
      <w:pPr>
        <w:ind w:left="660" w:right="24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03" w:lineRule="exact"/>
        <w:rPr>
          <w:rFonts w:ascii="Arial" w:cs="Arial" w:eastAsia="Arial" w:hAnsi="Arial"/>
          <w:sz w:val="18"/>
          <w:szCs w:val="18"/>
          <w:color w:val="auto"/>
        </w:rPr>
      </w:pPr>
    </w:p>
    <w:p>
      <w:pPr>
        <w:ind w:left="660" w:right="180" w:hanging="206"/>
        <w:spacing w:after="0" w:line="32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8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9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37"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103" w:lineRule="exact"/>
        <w:rPr>
          <w:rFonts w:ascii="Arial" w:cs="Arial" w:eastAsia="Arial" w:hAnsi="Arial"/>
          <w:sz w:val="18"/>
          <w:szCs w:val="18"/>
          <w:color w:val="auto"/>
        </w:rPr>
      </w:pPr>
    </w:p>
    <w:p>
      <w:pPr>
        <w:ind w:left="660" w:right="40" w:hanging="206"/>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77" w:lineRule="exact"/>
        <w:rPr>
          <w:sz w:val="20"/>
          <w:szCs w:val="20"/>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76"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76"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68"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37"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37" w:lineRule="exact"/>
        <w:rPr>
          <w:rFonts w:ascii="Arial" w:cs="Arial" w:eastAsia="Arial" w:hAnsi="Arial"/>
          <w:sz w:val="18"/>
          <w:szCs w:val="18"/>
          <w:color w:val="auto"/>
        </w:rPr>
      </w:pPr>
    </w:p>
    <w:p>
      <w:pPr>
        <w:ind w:left="460" w:right="240" w:firstLine="443"/>
        <w:spacing w:after="0" w:line="325" w:lineRule="auto"/>
        <w:tabs>
          <w:tab w:leader="none" w:pos="11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76" w:lineRule="exact"/>
        <w:rPr>
          <w:rFonts w:ascii="Arial" w:cs="Arial" w:eastAsia="Arial" w:hAnsi="Arial"/>
          <w:sz w:val="18"/>
          <w:szCs w:val="18"/>
          <w:color w:val="auto"/>
        </w:rPr>
      </w:pPr>
    </w:p>
    <w:p>
      <w:pPr>
        <w:ind w:left="460" w:firstLine="443"/>
        <w:spacing w:after="0" w:line="256" w:lineRule="auto"/>
        <w:tabs>
          <w:tab w:leader="none" w:pos="12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76" w:lineRule="exact"/>
        <w:rPr>
          <w:rFonts w:ascii="Arial" w:cs="Arial" w:eastAsia="Arial" w:hAnsi="Arial"/>
          <w:sz w:val="18"/>
          <w:szCs w:val="18"/>
          <w:color w:val="auto"/>
        </w:rPr>
      </w:pPr>
    </w:p>
    <w:p>
      <w:pPr>
        <w:ind w:left="460" w:firstLine="443"/>
        <w:spacing w:after="0" w:line="254" w:lineRule="auto"/>
        <w:tabs>
          <w:tab w:leader="none" w:pos="12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49" w:lineRule="exact"/>
        <w:rPr>
          <w:rFonts w:ascii="Arial" w:cs="Arial" w:eastAsia="Arial" w:hAnsi="Arial"/>
          <w:sz w:val="18"/>
          <w:szCs w:val="18"/>
          <w:color w:val="auto"/>
        </w:rPr>
      </w:pPr>
    </w:p>
    <w:p>
      <w:pPr>
        <w:ind w:left="460" w:right="460" w:firstLine="443"/>
        <w:spacing w:after="0" w:line="268" w:lineRule="auto"/>
        <w:tabs>
          <w:tab w:leader="none" w:pos="12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76"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 w:lineRule="exact"/>
        <w:rPr>
          <w:rFonts w:ascii="Arial" w:cs="Arial" w:eastAsia="Arial" w:hAnsi="Arial"/>
          <w:sz w:val="16"/>
          <w:szCs w:val="16"/>
          <w:color w:val="auto"/>
        </w:rPr>
      </w:pPr>
    </w:p>
    <w:p>
      <w:pPr>
        <w:ind w:left="460" w:right="160" w:firstLine="443"/>
        <w:spacing w:after="0" w:line="256" w:lineRule="auto"/>
        <w:tabs>
          <w:tab w:leader="none" w:pos="12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40" w:firstLine="443"/>
        <w:spacing w:after="0" w:line="298" w:lineRule="auto"/>
        <w:tabs>
          <w:tab w:leader="none" w:pos="12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8" w:lineRule="exact"/>
        <w:rPr>
          <w:rFonts w:ascii="Arial" w:cs="Arial" w:eastAsia="Arial" w:hAnsi="Arial"/>
          <w:sz w:val="16"/>
          <w:szCs w:val="16"/>
          <w:color w:val="auto"/>
        </w:rPr>
      </w:pPr>
    </w:p>
    <w:p>
      <w:pPr>
        <w:ind w:left="460" w:right="60" w:firstLine="443"/>
        <w:spacing w:after="0" w:line="268" w:lineRule="auto"/>
        <w:tabs>
          <w:tab w:leader="none" w:pos="12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77" w:lineRule="exact"/>
        <w:rPr>
          <w:sz w:val="20"/>
          <w:szCs w:val="20"/>
          <w:color w:val="auto"/>
        </w:rPr>
      </w:pPr>
    </w:p>
    <w:p>
      <w:pPr>
        <w:ind w:left="460" w:firstLine="443"/>
        <w:spacing w:after="0" w:line="259"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45" w:lineRule="exact"/>
        <w:rPr>
          <w:rFonts w:ascii="Arial" w:cs="Arial" w:eastAsia="Arial" w:hAnsi="Arial"/>
          <w:sz w:val="18"/>
          <w:szCs w:val="18"/>
          <w:color w:val="auto"/>
        </w:rPr>
      </w:pPr>
    </w:p>
    <w:p>
      <w:pPr>
        <w:ind w:left="460" w:right="200" w:firstLine="443"/>
        <w:spacing w:after="0" w:line="255"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2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77" w:lineRule="exact"/>
        <w:rPr>
          <w:sz w:val="20"/>
          <w:szCs w:val="20"/>
          <w:color w:val="auto"/>
        </w:rPr>
      </w:pPr>
    </w:p>
    <w:p>
      <w:pPr>
        <w:ind w:left="460" w:right="40" w:firstLine="443"/>
        <w:spacing w:after="0" w:line="306" w:lineRule="auto"/>
        <w:tabs>
          <w:tab w:leader="none" w:pos="11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2" w:lineRule="exact"/>
        <w:rPr>
          <w:rFonts w:ascii="Arial" w:cs="Arial" w:eastAsia="Arial" w:hAnsi="Arial"/>
          <w:sz w:val="16"/>
          <w:szCs w:val="16"/>
          <w:color w:val="auto"/>
        </w:rPr>
      </w:pPr>
    </w:p>
    <w:p>
      <w:pPr>
        <w:ind w:left="460" w:right="40" w:firstLine="443"/>
        <w:spacing w:after="0" w:line="332" w:lineRule="auto"/>
        <w:tabs>
          <w:tab w:leader="none" w:pos="11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 ENTRY, DELIVERY AND FORM</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1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02"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25"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6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460" w:firstLine="8"/>
        <w:spacing w:after="0" w:line="261"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01" w:lineRule="exact"/>
        <w:rPr>
          <w:sz w:val="20"/>
          <w:szCs w:val="20"/>
          <w:color w:val="auto"/>
        </w:rPr>
      </w:pPr>
    </w:p>
    <w:p>
      <w:pPr>
        <w:jc w:val="both"/>
        <w:ind w:right="180" w:firstLine="456"/>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0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37"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former citizens or long-term residents of the United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103" w:lineRule="exact"/>
        <w:rPr>
          <w:rFonts w:ascii="Arial" w:cs="Arial" w:eastAsia="Arial" w:hAnsi="Arial"/>
          <w:sz w:val="18"/>
          <w:szCs w:val="18"/>
          <w:color w:val="auto"/>
        </w:rPr>
      </w:pPr>
    </w:p>
    <w:p>
      <w:pPr>
        <w:ind w:left="660" w:right="84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the discussion does not consider the effect of U.S. federal estate tax laws or gift tax laws or of any applicable foreign, state, local or other tax laws or income tax treaties.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should consult their tax advisors about the U.S. federal income tax consequences of acquiring, owning and disposing of the Notes.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PROSPECTIVE INVESTORS ARE ADVISED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8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77"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political subdivision thereof;</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03"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sale, exchange, retirement, redemption or other taxable disposition of a Note, a U.S. Holder will generally recognize capital gain or loss equal to the difference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2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number, certified 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a “Non-U.S. Holder” means a beneficial owner of a Note that is an individual, corporation, estate or trust that is not a U.S. Holder.</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7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w:t>
      </w:r>
    </w:p>
    <w:p>
      <w:pPr>
        <w:spacing w:after="0" w:line="46"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a controlled foreign corporation for U.S. federal income tax purposes that is actually or constructively related to us; and</w:t>
      </w:r>
    </w:p>
    <w:p>
      <w:pPr>
        <w:spacing w:after="0" w:line="103"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Non-U.S. Holder properly certifies as to his foreign status as described below.</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portfolio interest exemption and several of the special rules for Non-U.S. Holders described below generally apply only if a Non-U.S. Holder appropriately certifies as to its foreign status. A Non-U.S. Holder can generally meet this certification requirement by providing a properly executed IRS Form W-8BEN (or applicable successor form) to the applicable withholding agent.</w:t>
      </w:r>
    </w:p>
    <w:p>
      <w:pPr>
        <w:spacing w:after="0" w:line="12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29"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If a Non-U.S. Holder cannot satisfy the requirements described in the preceding paragraphs, payments of interest made to the Non-U.S. Holder will be subject to a 30% U.S. federal withholding tax, unless the Non-U.S. Holder provides the applicable withholding agent with a properly executed IRS Form W-8BEN (or applicable successor form) claiming an exemption from or reduction of the rate of withholding under the benefit of an income tax treaty, or that the interest paid on the Note is effectively connected with the Non-U.S. 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conduct of a trade or business in the United States and the Non-U.S. Holder satisfies the certification requirements described below. See “—Income or Gain Effectively Connected with a U.S. Trade or Business.”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Generally, a Non-U.S. Holder will not be subject to U.S. federal income tax with respect to gain realized on the sale, exchange, retirement, redemption or other disposition of a Note unless:</w:t>
      </w:r>
    </w:p>
    <w:p>
      <w:pPr>
        <w:spacing w:after="0" w:line="37"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trade or business in the United States; or</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applicable treaty rate) of U.S. federal income tax on the gain derived from the sale or other disposition, which may be offset by U.S. source capital losses.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(or applicable successor form) claiming exemption under an applicable income tax treaty) to the applicable withholding agent.</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Payments to a Non-U.S. Holder of interest on a Note, and amounts withheld from such payments, if any, generally will be required to be reported to the IRS and to the Non-U.S. Holder. Copies of these information returns may also be made available to the tax authorities of the country in which the Non-U.S. Holder resides or is established under the provisions of a specific treaty or agreement.</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United States backup withholding generally will not apply to payments of interest and principal on a Note to a Non-U.S. Holder if the statement described in “—Payments of Interest” is duly provided by the holder or the holder otherwise establishes an exemption, provided that the applicable withholding agent does not have actual knowledge or reason to know that the holder is a United States person.</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Payment of the proceeds of a sale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46"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United States;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amount withheld from payments to a Non-U.S. Holder under the backup withholding rules may be credited against such holder’s U.S. federal income tax liability, if any, and any excess may be refundable if the proper information is timely provided to the IRS.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PRECEDING DISCUSSION OF MATERIAL U.S. FEDERAL INCOME TAX CONSEQUENCES IS FOR GENERAL INFORMATION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Subject to the terms and conditions set forth in an underwriting agreement, dated the date of this prospectus supplement, between us and the underwriters named below, we have agreed to sell to each of the underwriters, for whom Citigroup Global Markets Inc., SunTrust Robinson Humphrey, Inc., UBS Securities LLC and Wells Fargo Securities, LLC are acting as representatives, and the underwriters have agreed, severally and not jointly, to purchase the principal amount of the Notes set forth opposite their respective names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920" w:type="dxa"/>
            <w:vAlign w:val="bottom"/>
            <w:vMerge w:val="restart"/>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9920" w:type="dxa"/>
            <w:vAlign w:val="bottom"/>
            <w:vMerge w:val="continue"/>
          </w:tcPr>
          <w:p>
            <w:pPr>
              <w:spacing w:after="0"/>
              <w:rPr>
                <w:sz w:val="14"/>
                <w:szCs w:val="14"/>
                <w:color w:val="auto"/>
              </w:rPr>
            </w:pPr>
          </w:p>
        </w:tc>
        <w:tc>
          <w:tcPr>
            <w:tcW w:w="7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3"/>
        </w:trPr>
        <w:tc>
          <w:tcPr>
            <w:tcW w:w="10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620" w:type="dxa"/>
            <w:vAlign w:val="bottom"/>
            <w:tcBorders>
              <w:top w:val="single" w:sz="8" w:color="auto"/>
            </w:tcBorders>
            <w:shd w:val="clear" w:color="auto" w:fill="CCEEFF"/>
          </w:tcPr>
          <w:p>
            <w:pPr>
              <w:jc w:val="right"/>
              <w:ind w:right="442"/>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7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7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 of the principal amount of the Notes. The underwriters may allow a discount not in excess of % of the principal amount of the Notes, on sales to certain other brokers and dealers. After this initial public offering, the public offering price, concession and discount may be changed.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Underwriting</w:t>
            </w:r>
          </w:p>
        </w:tc>
      </w:tr>
      <w:tr>
        <w:trPr>
          <w:trHeight w:val="161"/>
        </w:trPr>
        <w:tc>
          <w:tcPr>
            <w:tcW w:w="9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Discount</w:t>
            </w:r>
          </w:p>
        </w:tc>
      </w:tr>
      <w:tr>
        <w:trPr>
          <w:trHeight w:val="210"/>
        </w:trPr>
        <w:tc>
          <w:tcPr>
            <w:tcW w:w="9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9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9440" w:type="dxa"/>
            <w:vAlign w:val="bottom"/>
          </w:tcPr>
          <w:p>
            <w:pPr>
              <w:ind w:left="460"/>
              <w:spacing w:after="0"/>
              <w:rPr>
                <w:sz w:val="20"/>
                <w:szCs w:val="20"/>
                <w:color w:val="auto"/>
              </w:rPr>
            </w:pPr>
            <w:r>
              <w:rPr>
                <w:rFonts w:ascii="Arial" w:cs="Arial" w:eastAsia="Arial" w:hAnsi="Arial"/>
                <w:sz w:val="18"/>
                <w:szCs w:val="18"/>
                <w:color w:val="auto"/>
                <w:w w:val="90"/>
              </w:rPr>
              <w:t>We estimate that our share of the total expenses of the offering, excluding the underwriting discount, will be approximately $</w:t>
            </w:r>
          </w:p>
        </w:tc>
        <w:tc>
          <w:tcPr>
            <w:tcW w:w="1980" w:type="dxa"/>
            <w:vAlign w:val="bottom"/>
            <w:gridSpan w:val="3"/>
          </w:tcPr>
          <w:p>
            <w:pPr>
              <w:jc w:val="right"/>
              <w:ind w:right="1132"/>
              <w:spacing w:after="0"/>
              <w:rPr>
                <w:sz w:val="20"/>
                <w:szCs w:val="20"/>
                <w:color w:val="auto"/>
              </w:rPr>
            </w:pPr>
            <w:r>
              <w:rPr>
                <w:rFonts w:ascii="Arial" w:cs="Arial" w:eastAsia="Arial" w:hAnsi="Arial"/>
                <w:sz w:val="18"/>
                <w:szCs w:val="18"/>
                <w:color w:val="auto"/>
              </w:rPr>
              <w:t>million.</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offering of the Notes, the underwriters may engage in transactions that stabilize, maintain or otherwise affect the price of the Notes. Specifically, the underwriters may overallot in connection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with the offering of the Notes, creating a syndicate short position. In addition, the underwriters may bid for, and purchase, Notes in the open market to cover syndicate short positions or to stabilize the price of the Notes.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8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expect delivery of the Notes will be made against payment therefor on or about , 2014, which is the business day following the date of pricing of the Notes (such settlement being referred to as “T+ ”). Under Rule 15c6-1 of the Exchange Act, trades in the secondary market generally are</w:t>
      </w:r>
    </w:p>
    <w:p>
      <w:pPr>
        <w:spacing w:after="0"/>
        <w:rPr>
          <w:sz w:val="20"/>
          <w:szCs w:val="20"/>
          <w:color w:val="auto"/>
        </w:rPr>
      </w:pPr>
      <w:r>
        <w:rPr>
          <w:rFonts w:ascii="Arial" w:cs="Arial" w:eastAsia="Arial" w:hAnsi="Arial"/>
          <w:sz w:val="15"/>
          <w:szCs w:val="15"/>
          <w:color w:val="auto"/>
        </w:rPr>
        <w:t>required to settle in three business days unless the parties to any such trade expressly agree otherwise. Accordingly, purchasers who wish to trade the Notes on the</w:t>
      </w:r>
    </w:p>
    <w:p>
      <w:pPr>
        <w:spacing w:after="0" w:line="38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12" w:lineRule="exact"/>
        <w:rPr>
          <w:sz w:val="20"/>
          <w:szCs w:val="20"/>
          <w:color w:val="auto"/>
        </w:rPr>
      </w:pPr>
    </w:p>
    <w:p>
      <w:pPr>
        <w:ind w:left="5540" w:right="4680" w:hanging="5086"/>
        <w:spacing w:after="0" w:line="561" w:lineRule="auto"/>
        <w:tabs>
          <w:tab w:leader="none" w:pos="6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 S-31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30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w:t>
      </w:r>
    </w:p>
    <w:p>
      <w:pPr>
        <w:spacing w:after="0" w:line="12"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Affiliates of certain of the underwriters are dealers under our commercial paper program and may hold commercial paper notes thereunder. Accordingly, they may receive a portion of the net proceeds from this offering.</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2013, have been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5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Annual Report on Form 10-K for the fiscal year ended December 31, 2013.</w:t>
      </w:r>
    </w:p>
    <w:p>
      <w:pPr>
        <w:spacing w:after="0" w:line="1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9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469265</wp:posOffset>
            </wp:positionV>
            <wp:extent cx="1697990" cy="540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80" w:hanging="1211"/>
        <w:spacing w:after="0"/>
        <w:tabs>
          <w:tab w:leader="none" w:pos="4580" w:val="left"/>
        </w:tabs>
        <w:numPr>
          <w:ilvl w:val="0"/>
          <w:numId w:val="76"/>
        </w:numPr>
        <w:rPr>
          <w:rFonts w:ascii="Arial" w:cs="Arial" w:eastAsia="Arial" w:hAnsi="Arial"/>
          <w:sz w:val="32"/>
          <w:szCs w:val="32"/>
          <w:b w:val="1"/>
          <w:bCs w:val="1"/>
          <w:color w:val="auto"/>
        </w:rPr>
      </w:pPr>
      <w:r>
        <w:rPr>
          <w:rFonts w:ascii="Arial" w:cs="Arial" w:eastAsia="Arial" w:hAnsi="Arial"/>
          <w:sz w:val="32"/>
          <w:szCs w:val="32"/>
          <w:b w:val="1"/>
          <w:bCs w:val="1"/>
          <w:color w:val="auto"/>
        </w:rPr>
        <w:t>% Senior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161290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left="2320"/>
        <w:spacing w:after="0"/>
        <w:tabs>
          <w:tab w:leader="none" w:pos="200" w:val="left"/>
        </w:tabs>
        <w:rPr>
          <w:sz w:val="20"/>
          <w:szCs w:val="20"/>
          <w:color w:val="auto"/>
        </w:rPr>
      </w:pPr>
      <w:r>
        <w:rPr>
          <w:rFonts w:ascii="Arial" w:cs="Arial" w:eastAsia="Arial" w:hAnsi="Arial"/>
          <w:sz w:val="18"/>
          <w:szCs w:val="18"/>
          <w:b w:val="1"/>
          <w:bCs w:val="1"/>
          <w:color w:val="auto"/>
        </w:rPr>
        <w:t>April</w:t>
        <w:tab/>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203835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Joint Book-Running Managers</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Citigroup</w:t>
      </w:r>
    </w:p>
    <w:p>
      <w:pPr>
        <w:spacing w:after="0" w:line="73" w:lineRule="exact"/>
        <w:rPr>
          <w:sz w:val="20"/>
          <w:szCs w:val="20"/>
          <w:color w:val="auto"/>
        </w:rPr>
      </w:pPr>
    </w:p>
    <w:p>
      <w:pPr>
        <w:jc w:val="center"/>
        <w:ind w:right="-1200"/>
        <w:spacing w:after="0"/>
        <w:rPr>
          <w:sz w:val="20"/>
          <w:szCs w:val="20"/>
          <w:color w:val="auto"/>
        </w:rPr>
      </w:pPr>
      <w:r>
        <w:rPr>
          <w:rFonts w:ascii="Arial" w:cs="Arial" w:eastAsia="Arial" w:hAnsi="Arial"/>
          <w:sz w:val="39"/>
          <w:szCs w:val="39"/>
          <w:b w:val="1"/>
          <w:bCs w:val="1"/>
          <w:color w:val="auto"/>
        </w:rPr>
        <w:t>SunTrust Robinson Humphrey</w:t>
      </w:r>
    </w:p>
    <w:p>
      <w:pPr>
        <w:spacing w:after="0" w:line="119"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UBS Investment Bank</w:t>
      </w:r>
    </w:p>
    <w:p>
      <w:pPr>
        <w:spacing w:after="0" w:line="73"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lvl w:ilvl="1">
      <w:lvlJc w:val="left"/>
      <w:lvlText w:val="•"/>
      <w:numFmt w:val="bullet"/>
      <w:start w:val="1"/>
    </w:lvl>
  </w:abstractNum>
  <w:abstractNum w:abstractNumId="13">
    <w:nsid w:val="57E4CCAF"/>
    <w:multiLevelType w:val="hybridMultilevel"/>
    <w:lvl w:ilvl="0">
      <w:lvlJc w:val="left"/>
      <w:lvlText w:val="•"/>
      <w:numFmt w:val="bullet"/>
      <w:start w:val="1"/>
    </w:lvl>
    <w:lvl w:ilvl="1">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lvl w:ilvl="1">
      <w:lvlJc w:val="left"/>
      <w:lvlText w:val="(%2)"/>
      <w:numFmt w:val="lowerLetter"/>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3"/>
    </w:lvl>
  </w:abstractNum>
  <w:abstractNum w:abstractNumId="22">
    <w:nsid w:val="579478FE"/>
    <w:multiLevelType w:val="hybridMultilevel"/>
    <w:lvl w:ilvl="0">
      <w:lvlJc w:val="left"/>
      <w:lvlText w:val="(%1)"/>
      <w:numFmt w:val="decimal"/>
      <w:start w:val="17"/>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lowerLetter"/>
      <w:start w:val="1"/>
    </w:lvl>
    <w:lvl w:ilvl="1">
      <w:lvlJc w:val="left"/>
      <w:lvlText w:val="(%2)"/>
      <w:numFmt w:val="decimal"/>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decimal"/>
      <w:start w:val="2"/>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lowerRoman"/>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decimal"/>
      <w:start w:val="1"/>
    </w:lvl>
    <w:lvl w:ilvl="1">
      <w:lvlJc w:val="left"/>
      <w:lvlText w:val="(%2)"/>
      <w:numFmt w:val="lowerLetter"/>
      <w:start w:val="1"/>
    </w:lvl>
  </w:abstractNum>
  <w:abstractNum w:abstractNumId="70">
    <w:nsid w:val="661E3F1E"/>
    <w:multiLevelType w:val="hybridMultilevel"/>
    <w:lvl w:ilvl="0">
      <w:lvlJc w:val="left"/>
      <w:lvlText w:val="%1"/>
      <w:numFmt w:val="decimal"/>
      <w:start w:val="1"/>
    </w:lvl>
    <w:lvl w:ilvl="1">
      <w:lvlJc w:val="left"/>
      <w:lvlText w:val="(%2)"/>
      <w:numFmt w:val="lowerLetter"/>
      <w:start w:val="3"/>
    </w:lvl>
  </w:abstractNum>
  <w:abstractNum w:abstractNumId="71">
    <w:nsid w:val="5DC79EA8"/>
    <w:multiLevelType w:val="hybridMultilevel"/>
    <w:lvl w:ilvl="0">
      <w:lvlJc w:val="left"/>
      <w:lvlText w:val="(%1)"/>
      <w:numFmt w:val="decimal"/>
      <w:start w:val="3"/>
    </w:lvl>
    <w:lvl w:ilvl="1">
      <w:lvlJc w:val="left"/>
      <w:lvlText w:val="%2"/>
      <w:numFmt w:val="lowerLetter"/>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2020-01-26T23:42:51Z</dcterms:created>
  <dcterms:modified xsi:type="dcterms:W3CDTF">2020-01-26T23:42:51Z</dcterms:modified>
</cp:coreProperties>
</file>