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98" w:orient="portrait"/>
          <w:cols w:equalWidth="0" w:num="1">
            <w:col w:w="11360"/>
          </w:cols>
          <w:pgMar w:left="240" w:top="544" w:right="2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98" w:orient="portrait"/>
          <w:cols w:equalWidth="0" w:num="3">
            <w:col w:w="4520" w:space="720"/>
            <w:col w:w="2960" w:space="720"/>
            <w:col w:w="2440"/>
          </w:cols>
          <w:pgMar w:left="240" w:top="544" w:right="29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333 Clay Street, Suite 1600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98" w:orient="portrait"/>
          <w:cols w:equalWidth="0" w:num="2">
            <w:col w:w="7500" w:space="720"/>
            <w:col w:w="3140"/>
          </w:cols>
          <w:pgMar w:left="240" w:top="544" w:right="299" w:bottom="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7"/>
          <w:szCs w:val="17"/>
          <w:color w:val="auto"/>
        </w:rPr>
        <w:t xml:space="preserve">As previously disclosed on Form 8-K filed on January 25, 2017 by </w:t>
      </w:r>
      <w:r>
        <w:rPr>
          <w:rFonts w:ascii="Arial" w:cs="Arial" w:eastAsia="Arial" w:hAnsi="Arial"/>
          <w:sz w:val="16"/>
          <w:szCs w:val="16"/>
          <w:color w:val="auto"/>
        </w:rPr>
        <w:t>Plains GP Holdings, L.P.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Plains Pipeline, L.P., a Texas limited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partnership (“</w:t>
      </w:r>
      <w:r>
        <w:rPr>
          <w:rFonts w:ascii="Arial" w:cs="Arial" w:eastAsia="Arial" w:hAnsi="Arial"/>
          <w:sz w:val="16"/>
          <w:szCs w:val="16"/>
          <w:b w:val="1"/>
          <w:bCs w:val="1"/>
          <w:i w:val="1"/>
          <w:iCs w:val="1"/>
          <w:color w:val="auto"/>
        </w:rPr>
        <w:t>PPLP</w:t>
      </w:r>
      <w:r>
        <w:rPr>
          <w:rFonts w:ascii="Arial" w:cs="Arial" w:eastAsia="Arial" w:hAnsi="Arial"/>
          <w:sz w:val="16"/>
          <w:szCs w:val="16"/>
          <w:color w:val="auto"/>
        </w:rPr>
        <w:t>”), a wholly owned subsidiary of Plains All American Pipeline, L.P. (“</w:t>
      </w:r>
      <w:r>
        <w:rPr>
          <w:rFonts w:ascii="Arial" w:cs="Arial" w:eastAsia="Arial" w:hAnsi="Arial"/>
          <w:sz w:val="16"/>
          <w:szCs w:val="16"/>
          <w:b w:val="1"/>
          <w:bCs w:val="1"/>
          <w:i w:val="1"/>
          <w:iCs w:val="1"/>
          <w:color w:val="auto"/>
        </w:rPr>
        <w:t>PAA</w:t>
      </w:r>
      <w:r>
        <w:rPr>
          <w:rFonts w:ascii="Arial" w:cs="Arial" w:eastAsia="Arial" w:hAnsi="Arial"/>
          <w:sz w:val="16"/>
          <w:szCs w:val="16"/>
          <w:color w:val="auto"/>
        </w:rPr>
        <w:t>”) and the Registrant, entered into (1) that certain Securities</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Purchase Agreement, dated January 19, 2017 (the “</w:t>
      </w:r>
      <w:r>
        <w:rPr>
          <w:rFonts w:ascii="Arial" w:cs="Arial" w:eastAsia="Arial" w:hAnsi="Arial"/>
          <w:sz w:val="16"/>
          <w:szCs w:val="16"/>
          <w:b w:val="1"/>
          <w:bCs w:val="1"/>
          <w:i w:val="1"/>
          <w:iCs w:val="1"/>
          <w:color w:val="auto"/>
        </w:rPr>
        <w:t>Class A Agreement</w:t>
      </w:r>
      <w:r>
        <w:rPr>
          <w:rFonts w:ascii="Arial" w:cs="Arial" w:eastAsia="Arial" w:hAnsi="Arial"/>
          <w:sz w:val="16"/>
          <w:szCs w:val="16"/>
          <w:color w:val="auto"/>
        </w:rPr>
        <w:t>”) with COG Operating LLC (“</w:t>
      </w:r>
      <w:r>
        <w:rPr>
          <w:rFonts w:ascii="Arial" w:cs="Arial" w:eastAsia="Arial" w:hAnsi="Arial"/>
          <w:sz w:val="16"/>
          <w:szCs w:val="16"/>
          <w:b w:val="1"/>
          <w:bCs w:val="1"/>
          <w:i w:val="1"/>
          <w:iCs w:val="1"/>
          <w:color w:val="auto"/>
        </w:rPr>
        <w:t>Class A Seller</w:t>
      </w:r>
      <w:r>
        <w:rPr>
          <w:rFonts w:ascii="Arial" w:cs="Arial" w:eastAsia="Arial" w:hAnsi="Arial"/>
          <w:sz w:val="16"/>
          <w:szCs w:val="16"/>
          <w:color w:val="auto"/>
        </w:rPr>
        <w:t>”), a wholly owned subsidiary of Concho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Resources Inc. (“</w:t>
      </w:r>
      <w:r>
        <w:rPr>
          <w:rFonts w:ascii="Arial" w:cs="Arial" w:eastAsia="Arial" w:hAnsi="Arial"/>
          <w:sz w:val="16"/>
          <w:szCs w:val="16"/>
          <w:b w:val="1"/>
          <w:bCs w:val="1"/>
          <w:i w:val="1"/>
          <w:iCs w:val="1"/>
          <w:color w:val="auto"/>
        </w:rPr>
        <w:t>Concho</w:t>
      </w:r>
      <w:r>
        <w:rPr>
          <w:rFonts w:ascii="Arial" w:cs="Arial" w:eastAsia="Arial" w:hAnsi="Arial"/>
          <w:sz w:val="16"/>
          <w:szCs w:val="16"/>
          <w:color w:val="auto"/>
        </w:rPr>
        <w:t>”), pursuant to which PPLP agreed to acquire all of the outstanding Class A Units of Alpha Holding Company,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and (2) that certain Securities Purchase Agreement, dated January 19, 2017 (the “</w:t>
      </w:r>
      <w:r>
        <w:rPr>
          <w:rFonts w:ascii="Arial" w:cs="Arial" w:eastAsia="Arial" w:hAnsi="Arial"/>
          <w:sz w:val="16"/>
          <w:szCs w:val="16"/>
          <w:b w:val="1"/>
          <w:bCs w:val="1"/>
          <w:i w:val="1"/>
          <w:iCs w:val="1"/>
          <w:color w:val="auto"/>
        </w:rPr>
        <w:t>Class B Agreement</w:t>
      </w:r>
      <w:r>
        <w:rPr>
          <w:rFonts w:ascii="Arial" w:cs="Arial" w:eastAsia="Arial" w:hAnsi="Arial"/>
          <w:sz w:val="16"/>
          <w:szCs w:val="16"/>
          <w:color w:val="auto"/>
        </w:rPr>
        <w:t>” and, together with the Class A Agreement,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with Frontier Midstream Solutions, LLC, pursuant to which PPLP agreed to acquire all of the outstanding Class B Units of the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i w:val="1"/>
          <w:iCs w:val="1"/>
          <w:color w:val="auto"/>
        </w:rPr>
        <w:t>Acquisition</w:t>
      </w:r>
      <w:r>
        <w:rPr>
          <w:rFonts w:ascii="Arial" w:cs="Arial" w:eastAsia="Arial" w:hAnsi="Arial"/>
          <w:sz w:val="16"/>
          <w:szCs w:val="16"/>
          <w:color w:val="auto"/>
        </w:rPr>
        <w:t>”). On February 14, 2017, PPLP assigned all of its right, title and interest in and to the Agreements to its wholly-owned subsidiary,</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Plains ACC Holdings LLC, a Delaware limited liability company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The Acquisition was consummated on February 14, 2017.</w:t>
      </w:r>
    </w:p>
    <w:p>
      <w:pPr>
        <w:spacing w:after="0" w:line="213"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Including a $40 million deposit paid upon signing of the Agreements, the total consideration paid consisted of a cash payment of approximately $1.216 billion, which amount is subject to adjustment following closing based on working capital amounts as of January 1, 2017, and other routine adjustments as provided in more detail in the Class A Agreement.</w:t>
      </w:r>
    </w:p>
    <w:p>
      <w:pPr>
        <w:spacing w:after="0" w:line="181" w:lineRule="exact"/>
        <w:rPr>
          <w:sz w:val="24"/>
          <w:szCs w:val="24"/>
          <w:color w:val="auto"/>
        </w:rPr>
      </w:pPr>
    </w:p>
    <w:p>
      <w:pPr>
        <w:ind w:firstLine="324"/>
        <w:spacing w:after="0" w:line="312" w:lineRule="auto"/>
        <w:rPr>
          <w:sz w:val="20"/>
          <w:szCs w:val="20"/>
          <w:color w:val="auto"/>
        </w:rPr>
      </w:pPr>
      <w:r>
        <w:rPr>
          <w:rFonts w:ascii="Arial" w:cs="Arial" w:eastAsia="Arial" w:hAnsi="Arial"/>
          <w:sz w:val="16"/>
          <w:szCs w:val="16"/>
          <w:color w:val="auto"/>
        </w:rPr>
        <w:t>As a result of the Acquisition, Purchaser is the indirect owner of the FERC regulated crude oil gathering system known as “Alpha Crude Connector” (the “</w:t>
      </w:r>
      <w:r>
        <w:rPr>
          <w:rFonts w:ascii="Arial" w:cs="Arial" w:eastAsia="Arial" w:hAnsi="Arial"/>
          <w:sz w:val="16"/>
          <w:szCs w:val="16"/>
          <w:b w:val="1"/>
          <w:bCs w:val="1"/>
          <w:i w:val="1"/>
          <w:iCs w:val="1"/>
          <w:color w:val="auto"/>
        </w:rPr>
        <w:t>System</w:t>
      </w:r>
      <w:r>
        <w:rPr>
          <w:rFonts w:ascii="Arial" w:cs="Arial" w:eastAsia="Arial" w:hAnsi="Arial"/>
          <w:sz w:val="16"/>
          <w:szCs w:val="16"/>
          <w:color w:val="auto"/>
        </w:rPr>
        <w:t>”) located in Eddy and Lea Counties, New Mexico and Culberson, Loving and Winkler Counties, Texas. The System is comprised of 515 miles of gathering and transmission lines and five market interconnects, including PAA’s Basin Pipeline system at Wink. Following closing of the Acquisition, PAA</w:t>
      </w:r>
    </w:p>
    <w:p>
      <w:pPr>
        <w:sectPr>
          <w:pgSz w:w="11900" w:h="16898" w:orient="portrait"/>
          <w:cols w:equalWidth="0" w:num="1">
            <w:col w:w="11360"/>
          </w:cols>
          <w:pgMar w:left="240" w:top="544" w:right="299" w:bottom="0" w:gutter="0" w:footer="0" w:header="0"/>
          <w:type w:val="continuous"/>
        </w:sectPr>
      </w:pPr>
    </w:p>
    <w:bookmarkStart w:id="1" w:name="page2"/>
    <w:bookmarkEnd w:id="1"/>
    <w:p>
      <w:pPr>
        <w:ind w:right="40"/>
        <w:spacing w:after="0" w:line="259" w:lineRule="auto"/>
        <w:rPr>
          <w:sz w:val="20"/>
          <w:szCs w:val="20"/>
          <w:color w:val="auto"/>
        </w:rPr>
      </w:pPr>
      <w:r>
        <w:rPr>
          <w:rFonts w:ascii="Arial" w:cs="Arial" w:eastAsia="Arial" w:hAnsi="Arial"/>
          <w:sz w:val="18"/>
          <w:szCs w:val="18"/>
          <w:color w:val="auto"/>
        </w:rPr>
        <w:t>intends to make three additional interconnects to PAA’s existing Northern Delaware Basin system as well as additional enhancements intended to increase the system capacity to approximately 350,000 barrels per day, depending on the level of volume at each delivery point. The System is supported by acreage dedications covering approximately 315,000 gross acres, the majority of which have 10-year terms, and include a significant acreage dedication from Concho, one of the largest Permian Basin producers.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5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580" w:type="dxa"/>
            <w:vAlign w:val="bottom"/>
          </w:tcPr>
          <w:p>
            <w:pPr>
              <w:spacing w:after="0"/>
              <w:rPr>
                <w:sz w:val="20"/>
                <w:szCs w:val="20"/>
                <w:color w:val="auto"/>
              </w:rPr>
            </w:pPr>
            <w:r>
              <w:rPr>
                <w:rFonts w:ascii="Arial" w:cs="Arial" w:eastAsia="Arial" w:hAnsi="Arial"/>
                <w:sz w:val="18"/>
                <w:szCs w:val="18"/>
                <w:color w:val="auto"/>
              </w:rPr>
              <w:t>Date: February 14, 2017</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80" w:type="dxa"/>
            <w:vAlign w:val="bottom"/>
          </w:tcPr>
          <w:p>
            <w:pPr>
              <w:ind w:left="566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2020-01-16T08:00:35Z</dcterms:created>
  <dcterms:modified xsi:type="dcterms:W3CDTF">2020-01-16T08:00:35Z</dcterms:modified>
</cp:coreProperties>
</file>