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1-31419_18ka.htm"/>
      <w:bookmarkStart w:id="1" w:name="ksa1131419_18ka"/>
      <w:bookmarkEnd w:id="0"/>
      <w:bookmarkEnd w:id="1"/>
      <w:r>
        <w:rPr>
          <w:bdr w:val="single" w:sz="24" w:space="1" w:color="000000"/>
        </w:rPr>
        <w:t> </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sz w:val="17"/>
        </w:rPr>
        <w:t xml:space="preserve">Date of Report (Date of earliest event reported)  </w:t>
      </w:r>
      <w:r>
        <w:rPr>
          <w:rFonts w:ascii="Times New Roman" w:hAnsi="Times New Roman"/>
          <w:b/>
          <w:sz w:val="17"/>
        </w:rPr>
        <w:t>April 1, 2012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b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p>
            <w:pPr>
              <w:pStyle w:val="TableContents"/>
              <w:spacing w:before="0" w:after="0"/>
              <w:ind w:left="0" w:right="0" w:hanging="0"/>
              <w:jc w:val="center"/>
              <w:rPr>
                <w:rFonts w:ascii="Times New Roman" w:hAnsi="Times New Roman"/>
                <w:sz w:val="17"/>
              </w:rPr>
            </w:pPr>
            <w:r>
              <w:rPr>
                <w:rFonts w:ascii="Times New Roman" w:hAnsi="Times New Roman"/>
                <w:sz w:val="17"/>
              </w:rPr>
              <w:t>(Commission 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p>
            <w:pPr>
              <w:pStyle w:val="TableContents"/>
              <w:spacing w:before="0" w:after="0"/>
              <w:ind w:left="0" w:right="0" w:hanging="0"/>
              <w:jc w:val="center"/>
              <w:rPr>
                <w:rFonts w:ascii="Times New Roman" w:hAnsi="Times New Roman"/>
                <w:sz w:val="17"/>
              </w:rPr>
            </w:pPr>
            <w:r>
              <w:rPr>
                <w:rFonts w:ascii="Times New Roman" w:hAnsi="Times New Roman"/>
                <w:sz w:val="17"/>
              </w:rPr>
              <w:t>(IRS Employer Identification No.)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333 Clay Street, Suite 1600, Houston, Texas 77002</w:t>
      </w:r>
      <w:r>
        <w:rPr>
          <w:rFonts w:ascii="Times New Roman" w:hAnsi="Times New Roman"/>
          <w:sz w:val="17"/>
        </w:rPr>
        <w:br/>
        <w:t>(Address of principal executive offices) (Zip Code)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rPr>
      </w:pPr>
      <w:r>
        <w:rPr>
          <w:rFonts w:ascii="Times New Roman" w:hAnsi="Times New Roman"/>
          <w:b/>
          <w:sz w:val="17"/>
        </w:rPr>
        <w:t>713-646-4100</w:t>
      </w:r>
      <w:r>
        <w:rPr>
          <w:rFonts w:ascii="Times New Roman" w:hAnsi="Times New Roman"/>
          <w:sz w:val="17"/>
        </w:rPr>
        <w:br/>
        <w:t>(Registrants telephone number, including area code)</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r>
        <w:rPr>
          <w:rFonts w:ascii="Times New Roman" w:hAnsi="Times New Roman"/>
          <w:sz w:val="17"/>
        </w:rPr>
        <w:t>(Former name or former address, if changed since last report)</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 xml:space="preserve">o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 xml:space="preserve">o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 xml:space="preserve">o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b/>
          <w:sz w:val="17"/>
        </w:rPr>
      </w:pPr>
      <w:r>
        <w:rPr>
          <w:rFonts w:ascii="Times New Roman" w:hAnsi="Times New Roman"/>
          <w:b/>
          <w:sz w:val="17"/>
        </w:rPr>
        <w:t>EXPLANATORY NOTE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April 5, 2012, Plains All American Pipeline, L.P. (the Partnership or PAA) filed a current report on Form 8-K (the Original Filing) in connection with the acquisition on April 1, 2012 (the Closing Date) by a subsidiary of PAA of all of the outstanding shares of BP Canada Energy Company (BPCEC), an indirect subsidiary of BP Corporation North America (BP North America). As a result of the closing of such acquisition and after giving effect to a series of reorganization transactions completed prior to the Closing Date, PAA became the indirect owner of all of BP North Americas Canadian based natural gas liquids (NGL) business and certain of BP North Americas NGL assets located in the upper-Midwest United States (collectively, the Acquired Business). The Partnership is filing this Form 8-K/A to provide the financial statements and unaudited pro forma financial information required by Item 9.01(a) and Item 9.01(b) of Form 8-K. This information was not included in the Original Filing.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The historical financial statements that are provided in the exhibits reflect the results of operations from, and the assets and liabilities that are a part of, the Acquired Business, which is referred to in such exhibits as Project Argyle; however, such historical financial statements also reflect certain assets and liabilities (and associated results of operations) that were not a part of the Acquired Business on the Closing Date.</w:t>
      </w:r>
      <w:r>
        <w:rPr>
          <w:rFonts w:ascii="Times New Roman" w:hAnsi="Times New Roman"/>
        </w:rPr>
        <w:t xml:space="preserve"> </w:t>
      </w:r>
      <w:r>
        <w:rPr>
          <w:rFonts w:ascii="Times New Roman" w:hAnsi="Times New Roman"/>
          <w:sz w:val="17"/>
        </w:rPr>
        <w:t>The historical financial statements provided have been prepared in accordance with International Financial Reporting Standards.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Item 9.01.</w:t>
      </w:r>
      <w:r>
        <w:rPr>
          <w:rFonts w:ascii="Times New Roman" w:hAnsi="Times New Roman"/>
        </w:rPr>
        <w:t xml:space="preserve">         </w:t>
      </w:r>
      <w:r>
        <w:rPr>
          <w:rFonts w:ascii="Times New Roman" w:hAnsi="Times New Roman"/>
          <w:b/>
          <w:i/>
          <w:sz w:val="17"/>
        </w:rPr>
        <w:t>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  </w:t>
      </w:r>
      <w:r>
        <w:rPr>
          <w:rFonts w:ascii="Times New Roman" w:hAnsi="Times New Roman"/>
          <w:sz w:val="17"/>
          <w:u w:val="single"/>
        </w:rPr>
        <w:t>Financial Statements of Businesses Acquired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audited financial statements of Project Argyle as of and for the years ended December 31, 2011 and 2010, including the notes thereto, are filed herewith as Exhibit 99.2.</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(b)  </w:t>
      </w:r>
      <w:r>
        <w:rPr>
          <w:rFonts w:ascii="Times New Roman" w:hAnsi="Times New Roman"/>
          <w:sz w:val="17"/>
          <w:u w:val="single"/>
        </w:rPr>
        <w:t>Pro Forma Financial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combined financial statements of Plains All American Pipeline, L.P. as of and for the three months ended March 31, 2012 and for the twelve months ended December 31, 2011, including the notes thereto, are filed herewith as Exhibit 99.1.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(d)  </w:t>
      </w:r>
      <w:r>
        <w:rPr>
          <w:rFonts w:ascii="Times New Roman" w:hAnsi="Times New Roman"/>
          <w:sz w:val="17"/>
          <w:u w:val="single"/>
        </w:rPr>
        <w:t>Exhibits</w:t>
      </w:r>
    </w:p>
    <w:p>
      <w:pPr>
        <w:pStyle w:val="TextBody"/>
        <w:spacing w:before="0" w:after="0"/>
        <w:ind w:left="0" w:right="0" w:hanging="0"/>
        <w:rPr/>
      </w:pPr>
      <w:r>
        <w:rPr/>
        <w:t> </w:t>
      </w:r>
    </w:p>
    <w:tbl>
      <w:tblPr>
        <w:tblW w:w="4500" w:type="pct"/>
        <w:jc w:val="left"/>
        <w:tblInd w:w="0" w:type="dxa"/>
        <w:tblCellMar>
          <w:top w:w="0" w:type="dxa"/>
          <w:left w:w="0" w:type="dxa"/>
          <w:bottom w:w="28" w:type="dxa"/>
          <w:right w:w="0" w:type="dxa"/>
        </w:tblCellMar>
      </w:tblPr>
      <w:tblGrid>
        <w:gridCol w:w="749"/>
        <w:gridCol w:w="187"/>
        <w:gridCol w:w="8248"/>
      </w:tblGrid>
      <w:tr>
        <w:trPr/>
        <w:tc>
          <w:tcPr>
            <w:tcW w:w="749"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No.</w:t>
            </w:r>
          </w:p>
        </w:tc>
        <w:tc>
          <w:tcPr>
            <w:tcW w:w="187" w:type="dxa"/>
            <w:tcBorders/>
            <w:shd w:fill="auto" w:val="clear"/>
            <w:tcMar>
              <w:bottom w:w="0" w:type="dxa"/>
            </w:tcMar>
            <w:vAlign w:val="bottom"/>
          </w:tcPr>
          <w:p>
            <w:pPr>
              <w:pStyle w:val="TableContents"/>
              <w:spacing w:before="0" w:after="0"/>
              <w:ind w:left="0" w:right="0" w:hanging="0"/>
              <w:jc w:val="center"/>
              <w:rPr/>
            </w:pPr>
            <w:r>
              <w:rPr/>
              <w:t> </w:t>
            </w:r>
          </w:p>
        </w:tc>
        <w:tc>
          <w:tcPr>
            <w:tcW w:w="8248"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Exhibit Title</w:t>
            </w:r>
          </w:p>
        </w:tc>
      </w:tr>
      <w:tr>
        <w:trPr/>
        <w:tc>
          <w:tcPr>
            <w:tcW w:w="749" w:type="dxa"/>
            <w:tcBorders/>
            <w:shd w:fill="auto" w:val="clear"/>
            <w:tcMar>
              <w:bottom w:w="0" w:type="dxa"/>
            </w:tcMar>
          </w:tcPr>
          <w:p>
            <w:pPr>
              <w:pStyle w:val="TableContents"/>
              <w:spacing w:before="0" w:after="0"/>
              <w:ind w:left="0" w:right="0" w:hanging="0"/>
              <w:rPr/>
            </w:pPr>
            <w:r>
              <w:rPr/>
              <w:t> </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pPr>
            <w:r>
              <w:rPr/>
              <w:t> </w:t>
            </w:r>
          </w:p>
        </w:tc>
      </w:tr>
      <w:tr>
        <w:trPr/>
        <w:tc>
          <w:tcPr>
            <w:tcW w:w="7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23.1</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Consent of Ernst &amp; Young, LLP, Independent Certified Public Accountants for Project Argyle.</w:t>
            </w:r>
          </w:p>
        </w:tc>
      </w:tr>
      <w:tr>
        <w:trPr/>
        <w:tc>
          <w:tcPr>
            <w:tcW w:w="749" w:type="dxa"/>
            <w:tcBorders/>
            <w:shd w:fill="auto" w:val="clear"/>
            <w:tcMar>
              <w:bottom w:w="0" w:type="dxa"/>
            </w:tcMar>
          </w:tcPr>
          <w:p>
            <w:pPr>
              <w:pStyle w:val="TableContents"/>
              <w:spacing w:before="0" w:after="0"/>
              <w:ind w:left="0" w:right="0" w:hanging="0"/>
              <w:rPr/>
            </w:pPr>
            <w:r>
              <w:rPr/>
              <w:t> </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pPr>
            <w:r>
              <w:rPr/>
              <w:t> </w:t>
            </w:r>
          </w:p>
        </w:tc>
      </w:tr>
      <w:tr>
        <w:trPr/>
        <w:tc>
          <w:tcPr>
            <w:tcW w:w="7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Unaudited pro forma condensed combined financial statements of Plains All American Pipeline, L.P. as of and for the three months ended March 31, 2012 and for the twelve months ended December 31, 2011, including the notes thereto.</w:t>
            </w:r>
          </w:p>
        </w:tc>
      </w:tr>
      <w:tr>
        <w:trPr/>
        <w:tc>
          <w:tcPr>
            <w:tcW w:w="749" w:type="dxa"/>
            <w:tcBorders/>
            <w:shd w:fill="auto" w:val="clear"/>
            <w:tcMar>
              <w:bottom w:w="0" w:type="dxa"/>
            </w:tcMar>
          </w:tcPr>
          <w:p>
            <w:pPr>
              <w:pStyle w:val="TableContents"/>
              <w:spacing w:before="0" w:after="0"/>
              <w:ind w:left="0" w:right="0" w:hanging="0"/>
              <w:rPr/>
            </w:pPr>
            <w:r>
              <w:rPr/>
              <w:t> </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pPr>
            <w:r>
              <w:rPr/>
              <w:t> </w:t>
            </w:r>
          </w:p>
        </w:tc>
      </w:tr>
      <w:tr>
        <w:trPr/>
        <w:tc>
          <w:tcPr>
            <w:tcW w:w="749"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99.2</w:t>
            </w:r>
          </w:p>
        </w:tc>
        <w:tc>
          <w:tcPr>
            <w:tcW w:w="187" w:type="dxa"/>
            <w:tcBorders/>
            <w:shd w:fill="auto" w:val="clear"/>
            <w:tcMar>
              <w:bottom w:w="0" w:type="dxa"/>
            </w:tcMar>
            <w:vAlign w:val="bottom"/>
          </w:tcPr>
          <w:p>
            <w:pPr>
              <w:pStyle w:val="TableContents"/>
              <w:spacing w:before="0" w:after="0"/>
              <w:ind w:left="0" w:right="0" w:hanging="0"/>
              <w:rPr/>
            </w:pPr>
            <w:r>
              <w:rPr/>
              <w:t> </w:t>
            </w:r>
          </w:p>
        </w:tc>
        <w:tc>
          <w:tcPr>
            <w:tcW w:w="8248"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Audited financial statements of Project Argyle as of </w:t>
            </w:r>
            <w:r>
              <w:rPr>
                <w:sz w:val="17"/>
              </w:rPr>
              <w:t>and for the years ended December 31, 2011 and 2010, including the notes thereto.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82616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75"/>
        <w:gridCol w:w="517"/>
        <w:gridCol w:w="165"/>
        <w:gridCol w:w="4348"/>
      </w:tblGrid>
      <w:tr>
        <w:trPr/>
        <w:tc>
          <w:tcPr>
            <w:tcW w:w="5175" w:type="dxa"/>
            <w:tcBorders/>
            <w:shd w:fill="auto" w:val="clear"/>
          </w:tcPr>
          <w:p>
            <w:pPr>
              <w:pStyle w:val="TableContents"/>
              <w:spacing w:before="0" w:after="0"/>
              <w:ind w:left="0" w:right="0" w:hanging="0"/>
              <w:rPr/>
            </w:pPr>
            <w:r>
              <w:rPr/>
              <w:t> </w:t>
            </w:r>
          </w:p>
        </w:tc>
        <w:tc>
          <w:tcPr>
            <w:tcW w:w="5030"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75" w:type="dxa"/>
            <w:tcBorders/>
            <w:shd w:fill="auto" w:val="clear"/>
          </w:tcPr>
          <w:p>
            <w:pPr>
              <w:pStyle w:val="TableContents"/>
              <w:spacing w:before="0" w:after="0"/>
              <w:ind w:left="0" w:right="0" w:hanging="0"/>
              <w:rPr/>
            </w:pPr>
            <w:r>
              <w:rPr/>
              <w:t> </w:t>
            </w:r>
          </w:p>
        </w:tc>
        <w:tc>
          <w:tcPr>
            <w:tcW w:w="517" w:type="dxa"/>
            <w:tcBorders/>
            <w:shd w:fill="auto" w:val="clear"/>
          </w:tcPr>
          <w:p>
            <w:pPr>
              <w:pStyle w:val="TableContents"/>
              <w:spacing w:before="0" w:after="0"/>
              <w:ind w:left="0" w:right="0" w:hanging="0"/>
              <w:rPr/>
            </w:pPr>
            <w:r>
              <w:rPr/>
              <w:t> </w:t>
            </w:r>
          </w:p>
        </w:tc>
        <w:tc>
          <w:tcPr>
            <w:tcW w:w="4513" w:type="dxa"/>
            <w:gridSpan w:val="2"/>
            <w:tcBorders/>
            <w:shd w:fill="auto" w:val="clear"/>
          </w:tcPr>
          <w:p>
            <w:pPr>
              <w:pStyle w:val="TableContents"/>
              <w:spacing w:before="0" w:after="0"/>
              <w:ind w:left="0" w:right="0" w:hanging="0"/>
              <w:rPr/>
            </w:pPr>
            <w:r>
              <w:rPr/>
              <w:t> </w:t>
            </w:r>
          </w:p>
        </w:tc>
      </w:tr>
      <w:tr>
        <w:trPr/>
        <w:tc>
          <w:tcPr>
            <w:tcW w:w="517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Date: May 29, 2012</w:t>
            </w:r>
          </w:p>
        </w:tc>
        <w:tc>
          <w:tcPr>
            <w:tcW w:w="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1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75" w:type="dxa"/>
            <w:tcBorders/>
            <w:shd w:fill="auto" w:val="clear"/>
          </w:tcPr>
          <w:p>
            <w:pPr>
              <w:pStyle w:val="TableContents"/>
              <w:spacing w:before="0" w:after="0"/>
              <w:ind w:left="0" w:right="0" w:hanging="0"/>
              <w:rPr/>
            </w:pPr>
            <w:r>
              <w:rPr/>
              <w:t> </w:t>
            </w:r>
          </w:p>
        </w:tc>
        <w:tc>
          <w:tcPr>
            <w:tcW w:w="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1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75" w:type="dxa"/>
            <w:tcBorders/>
            <w:shd w:fill="auto" w:val="clear"/>
          </w:tcPr>
          <w:p>
            <w:pPr>
              <w:pStyle w:val="TableContents"/>
              <w:spacing w:before="0" w:after="0"/>
              <w:ind w:left="0" w:right="0" w:hanging="0"/>
              <w:rPr/>
            </w:pPr>
            <w:r>
              <w:rPr/>
              <w:t> </w:t>
            </w:r>
          </w:p>
        </w:tc>
        <w:tc>
          <w:tcPr>
            <w:tcW w:w="5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51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75" w:type="dxa"/>
            <w:tcBorders/>
            <w:shd w:fill="auto" w:val="clear"/>
          </w:tcPr>
          <w:p>
            <w:pPr>
              <w:pStyle w:val="TableContents"/>
              <w:spacing w:before="0" w:after="0"/>
              <w:ind w:left="0" w:right="0" w:hanging="0"/>
              <w:rPr/>
            </w:pPr>
            <w:r>
              <w:rPr/>
              <w:t> </w:t>
            </w:r>
          </w:p>
        </w:tc>
        <w:tc>
          <w:tcPr>
            <w:tcW w:w="517" w:type="dxa"/>
            <w:tcBorders/>
            <w:shd w:fill="auto" w:val="clear"/>
          </w:tcPr>
          <w:p>
            <w:pPr>
              <w:pStyle w:val="TableContents"/>
              <w:spacing w:before="0" w:after="0"/>
              <w:ind w:left="0" w:right="0" w:hanging="0"/>
              <w:rPr/>
            </w:pPr>
            <w:r>
              <w:rPr/>
              <w:t> </w:t>
            </w:r>
          </w:p>
        </w:tc>
        <w:tc>
          <w:tcPr>
            <w:tcW w:w="4513" w:type="dxa"/>
            <w:gridSpan w:val="2"/>
            <w:tcBorders/>
            <w:shd w:fill="auto" w:val="clear"/>
          </w:tcPr>
          <w:p>
            <w:pPr>
              <w:pStyle w:val="TableContents"/>
              <w:spacing w:before="0" w:after="0"/>
              <w:ind w:left="0" w:right="0" w:hanging="0"/>
              <w:rPr/>
            </w:pPr>
            <w:r>
              <w:rPr/>
              <w:t> </w:t>
            </w:r>
          </w:p>
        </w:tc>
      </w:tr>
      <w:tr>
        <w:trPr/>
        <w:tc>
          <w:tcPr>
            <w:tcW w:w="5175" w:type="dxa"/>
            <w:tcBorders/>
            <w:shd w:fill="auto" w:val="clear"/>
          </w:tcPr>
          <w:p>
            <w:pPr>
              <w:pStyle w:val="TableContents"/>
              <w:spacing w:before="0" w:after="0"/>
              <w:ind w:left="0" w:right="0" w:hanging="0"/>
              <w:rPr/>
            </w:pPr>
            <w:r>
              <w:rPr/>
              <w:t> </w:t>
            </w:r>
          </w:p>
        </w:tc>
        <w:tc>
          <w:tcPr>
            <w:tcW w:w="5030" w:type="dxa"/>
            <w:gridSpan w:val="3"/>
            <w:tcBorders/>
            <w:shd w:fill="auto" w:val="clear"/>
          </w:tcPr>
          <w:p>
            <w:pPr>
              <w:pStyle w:val="TableContents"/>
              <w:spacing w:before="0" w:after="0"/>
              <w:ind w:left="0" w:right="0" w:hanging="0"/>
              <w:rPr/>
            </w:pPr>
            <w:r>
              <w:rPr/>
              <w:t> </w:t>
            </w:r>
          </w:p>
        </w:tc>
      </w:tr>
      <w:tr>
        <w:trPr/>
        <w:tc>
          <w:tcPr>
            <w:tcW w:w="5175" w:type="dxa"/>
            <w:tcBorders/>
            <w:shd w:fill="auto" w:val="clear"/>
          </w:tcPr>
          <w:p>
            <w:pPr>
              <w:pStyle w:val="TableContents"/>
              <w:spacing w:before="0" w:after="0"/>
              <w:ind w:left="0" w:right="0" w:hanging="0"/>
              <w:rPr/>
            </w:pPr>
            <w:r>
              <w:rPr/>
              <w:t> </w:t>
            </w:r>
          </w:p>
        </w:tc>
        <w:tc>
          <w:tcPr>
            <w:tcW w:w="68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348"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Chris Herbold</w:t>
            </w:r>
          </w:p>
        </w:tc>
      </w:tr>
      <w:tr>
        <w:trPr/>
        <w:tc>
          <w:tcPr>
            <w:tcW w:w="5175" w:type="dxa"/>
            <w:tcBorders/>
            <w:shd w:fill="auto" w:val="clear"/>
          </w:tcPr>
          <w:p>
            <w:pPr>
              <w:pStyle w:val="TableContents"/>
              <w:spacing w:before="0" w:after="0"/>
              <w:ind w:left="0" w:right="0" w:hanging="0"/>
              <w:rPr/>
            </w:pPr>
            <w:r>
              <w:rPr/>
              <w:t> </w:t>
            </w:r>
          </w:p>
        </w:tc>
        <w:tc>
          <w:tcPr>
            <w:tcW w:w="68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3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Chris Herbold</w:t>
            </w:r>
          </w:p>
        </w:tc>
      </w:tr>
      <w:tr>
        <w:trPr/>
        <w:tc>
          <w:tcPr>
            <w:tcW w:w="5175" w:type="dxa"/>
            <w:tcBorders/>
            <w:shd w:fill="auto" w:val="clear"/>
          </w:tcPr>
          <w:p>
            <w:pPr>
              <w:pStyle w:val="TableContents"/>
              <w:spacing w:before="0" w:after="0"/>
              <w:ind w:left="0" w:right="0" w:hanging="0"/>
              <w:rPr/>
            </w:pPr>
            <w:r>
              <w:rPr/>
              <w:t> </w:t>
            </w:r>
          </w:p>
        </w:tc>
        <w:tc>
          <w:tcPr>
            <w:tcW w:w="682"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34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Vice President - Accounting and Chief Accounting Officer</w:t>
            </w:r>
          </w:p>
        </w:tc>
      </w:tr>
      <w:tr>
        <w:trPr/>
        <w:tc>
          <w:tcPr>
            <w:tcW w:w="5175"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4348"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82848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1041"/>
        <w:gridCol w:w="207"/>
        <w:gridCol w:w="8957"/>
      </w:tblGrid>
      <w:tr>
        <w:trPr/>
        <w:tc>
          <w:tcPr>
            <w:tcW w:w="1041"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 No.</w:t>
            </w:r>
          </w:p>
        </w:tc>
        <w:tc>
          <w:tcPr>
            <w:tcW w:w="207" w:type="dxa"/>
            <w:tcBorders/>
            <w:shd w:fill="auto" w:val="clear"/>
            <w:tcMar>
              <w:bottom w:w="0" w:type="dxa"/>
            </w:tcMar>
            <w:vAlign w:val="bottom"/>
          </w:tcPr>
          <w:p>
            <w:pPr>
              <w:pStyle w:val="TableContents"/>
              <w:spacing w:before="0" w:after="0"/>
              <w:ind w:left="0" w:right="0" w:hanging="0"/>
              <w:jc w:val="center"/>
              <w:rPr/>
            </w:pPr>
            <w:r>
              <w:rPr/>
              <w:t> </w:t>
            </w:r>
          </w:p>
        </w:tc>
        <w:tc>
          <w:tcPr>
            <w:tcW w:w="8957" w:type="dxa"/>
            <w:tcBorders>
              <w:bottom w:val="single" w:sz="8" w:space="0" w:color="000000"/>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Exhibit Title</w:t>
            </w:r>
          </w:p>
        </w:tc>
      </w:tr>
      <w:tr>
        <w:trPr/>
        <w:tc>
          <w:tcPr>
            <w:tcW w:w="1041"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pPr>
            <w:r>
              <w:rPr/>
              <w:t> </w:t>
            </w:r>
          </w:p>
        </w:tc>
      </w:tr>
      <w:tr>
        <w:trPr/>
        <w:tc>
          <w:tcPr>
            <w:tcW w:w="104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23.1</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Consent of Ernst &amp; Young, LLP, Independent Certified Public Accountants for Project Argyle.</w:t>
            </w:r>
          </w:p>
        </w:tc>
      </w:tr>
      <w:tr>
        <w:trPr/>
        <w:tc>
          <w:tcPr>
            <w:tcW w:w="1041"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pPr>
            <w:r>
              <w:rPr/>
              <w:t> </w:t>
            </w:r>
          </w:p>
        </w:tc>
      </w:tr>
      <w:tr>
        <w:trPr/>
        <w:tc>
          <w:tcPr>
            <w:tcW w:w="104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Unaudited pro forma condensed combined financial statements of Plains All American Pipeline, L.P. as of and for the three months ended March 31, 2012 and for the twelve months ended December 31, 2011, including the notes thereto.</w:t>
            </w:r>
          </w:p>
        </w:tc>
      </w:tr>
      <w:tr>
        <w:trPr/>
        <w:tc>
          <w:tcPr>
            <w:tcW w:w="1041" w:type="dxa"/>
            <w:tcBorders/>
            <w:shd w:fill="auto" w:val="clear"/>
            <w:tcMar>
              <w:bottom w:w="0" w:type="dxa"/>
            </w:tcMar>
          </w:tcPr>
          <w:p>
            <w:pPr>
              <w:pStyle w:val="TableContents"/>
              <w:spacing w:before="0" w:after="0"/>
              <w:ind w:left="0" w:right="0" w:hanging="0"/>
              <w:rPr/>
            </w:pPr>
            <w:r>
              <w:rPr/>
              <w:t> </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pPr>
            <w:r>
              <w:rPr/>
              <w:t> </w:t>
            </w:r>
          </w:p>
        </w:tc>
      </w:tr>
      <w:tr>
        <w:trPr/>
        <w:tc>
          <w:tcPr>
            <w:tcW w:w="1041"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99.2</w:t>
            </w:r>
          </w:p>
        </w:tc>
        <w:tc>
          <w:tcPr>
            <w:tcW w:w="207" w:type="dxa"/>
            <w:tcBorders/>
            <w:shd w:fill="auto" w:val="clear"/>
            <w:tcMar>
              <w:bottom w:w="0" w:type="dxa"/>
            </w:tcMar>
            <w:vAlign w:val="bottom"/>
          </w:tcPr>
          <w:p>
            <w:pPr>
              <w:pStyle w:val="TableContents"/>
              <w:spacing w:before="0" w:after="0"/>
              <w:ind w:left="0" w:right="0" w:hanging="0"/>
              <w:rPr/>
            </w:pPr>
            <w:r>
              <w:rPr/>
              <w:t> </w:t>
            </w:r>
          </w:p>
        </w:tc>
        <w:tc>
          <w:tcPr>
            <w:tcW w:w="8957" w:type="dxa"/>
            <w:tcBorders/>
            <w:shd w:fill="auto" w:val="clear"/>
            <w:tcMar>
              <w:bottom w:w="0" w:type="dxa"/>
            </w:tcMar>
          </w:tcPr>
          <w:p>
            <w:pPr>
              <w:pStyle w:val="TableContents"/>
              <w:spacing w:before="0" w:after="0"/>
              <w:ind w:left="0" w:right="0" w:hanging="0"/>
              <w:rPr/>
            </w:pPr>
            <w:r>
              <w:rPr>
                <w:rFonts w:ascii="Times New Roman" w:hAnsi="Times New Roman"/>
                <w:sz w:val="17"/>
              </w:rPr>
              <w:t xml:space="preserve">Audited financial statements of Project Argyle as of </w:t>
            </w:r>
            <w:r>
              <w:rPr>
                <w:sz w:val="17"/>
              </w:rPr>
              <w:t>and for the years ended December 31, 2011 and 2010, including the notes thereto.</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82933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 w:name="a11-31419_1ex23d1.htm"/>
      <w:bookmarkStart w:id="6" w:name="ksa1131419_1ex23d1"/>
      <w:bookmarkEnd w:id="5"/>
      <w:bookmarkEnd w:id="6"/>
      <w:r>
        <w:rPr>
          <w:rFonts w:ascii="Times New Roman" w:hAnsi="Times New Roman"/>
          <w:b/>
          <w:sz w:val="17"/>
        </w:rPr>
        <w:t>Exhibit 23.1</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Consent of Independent Auditors</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We consent to the incorporation by reference of our report dated March 22, 2012 relating to the financial statements of Project Argyle, a business owned by BP p.l.c. and affiliates, in the Registration Statements of Plains All American Pipeline, L.P. on Form S-3 (No. 333-138888, 333-155673, 333-162475, 333-162476 and 333-162477) and on Form S-8 (No. 333-91141, 333-54118, 333-74920, 333-122806 and 333-141185), which report is included in the Current Report on Form 8-K/A of Plains All American Pipeline, L.P. filed on May 29, 2012 with the Securities and Exchange Commission.</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 ERNST &amp; YOUNG LLP</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Canada</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pPr>
            <w:r>
              <w:rPr/>
              <w:t> </w:t>
            </w:r>
          </w:p>
        </w:tc>
        <w:tc>
          <w:tcPr>
            <w:tcW w:w="5103" w:type="dxa"/>
            <w:tcBorders/>
            <w:shd w:fill="auto" w:val="clear"/>
          </w:tcPr>
          <w:p>
            <w:pPr>
              <w:pStyle w:val="TableContents"/>
              <w:spacing w:before="0" w:after="0"/>
              <w:ind w:left="0" w:right="0" w:hanging="0"/>
              <w:rPr/>
            </w:pPr>
            <w:r>
              <w:rPr/>
              <w:t> </w:t>
            </w:r>
          </w:p>
        </w:tc>
      </w:tr>
      <w:tr>
        <w:trPr/>
        <w:tc>
          <w:tcPr>
            <w:tcW w:w="510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May 29, 2012</w:t>
            </w:r>
          </w:p>
        </w:tc>
        <w:tc>
          <w:tcPr>
            <w:tcW w:w="5103"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bookmarkStart w:id="7" w:name="a11-31419_1ex99d1.htm"/>
        <w:bookmarkStart w:id="8" w:name="ksa1131419_1ex99d1"/>
        <w:bookmarkEnd w:id="7"/>
        <w:bookmarkEnd w:id="8"/>
        <w:r>
          <w:rPr>
            <w:rStyle w:val="InternetLink"/>
            <w:rFonts w:ascii="Times New Roman" w:hAnsi="Times New Roman"/>
            <w:sz w:val="17"/>
          </w:rPr>
          <w:t>Table of Contents</w:t>
        </w:r>
      </w:hyperlink>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99.1</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Unaudited pro forma condensed combined financial statements of Plains All American Pipeline, L.P. as of and for the three months ended March 31, 2012 and for the year ended December 31, 2011, including the notes thereto.</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r>
    </w:p>
    <w:p>
      <w:pPr>
        <w:pStyle w:val="TextBody"/>
        <w:spacing w:before="0" w:after="0"/>
        <w:ind w:left="0" w:right="0" w:hanging="0"/>
        <w:jc w:val="center"/>
        <w:rPr>
          <w:rFonts w:ascii="Times New Roman" w:hAnsi="Times New Roman"/>
          <w:b/>
          <w:sz w:val="17"/>
        </w:rPr>
      </w:pPr>
      <w:r>
        <w:rPr>
          <w:rFonts w:ascii="Times New Roman" w:hAnsi="Times New Roman"/>
          <w:b/>
          <w:sz w:val="17"/>
        </w:rPr>
        <w:t>INDEX TO UNAUDITED PRO FORMA CONDENSED COMBINED FINANCIAL STATEMENTS</w:t>
      </w:r>
      <w:bookmarkStart w:id="9" w:name="TableOfContents"/>
      <w:bookmarkEnd w:id="9"/>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9692"/>
        <w:gridCol w:w="513"/>
      </w:tblGrid>
      <w:tr>
        <w:trPr/>
        <w:tc>
          <w:tcPr>
            <w:tcW w:w="9692" w:type="dxa"/>
            <w:tcBorders/>
            <w:shd w:fill="auto" w:val="clear"/>
          </w:tcPr>
          <w:p>
            <w:pPr>
              <w:pStyle w:val="TableContents"/>
              <w:spacing w:before="0" w:after="0"/>
              <w:ind w:left="0" w:right="0" w:hanging="0"/>
              <w:rPr/>
            </w:pPr>
            <w:hyperlink w:anchor="PlainsAllAmericanPipelineL_p_Unau_221849">
              <w:r>
                <w:rPr>
                  <w:rStyle w:val="InternetLink"/>
                  <w:rFonts w:ascii="Times New Roman" w:hAnsi="Times New Roman"/>
                  <w:sz w:val="17"/>
                  <w:u w:val="single"/>
                </w:rPr>
                <w:t>Introduction</w:t>
              </w:r>
            </w:hyperlink>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F-2</w:t>
            </w:r>
          </w:p>
        </w:tc>
      </w:tr>
      <w:tr>
        <w:trPr/>
        <w:tc>
          <w:tcPr>
            <w:tcW w:w="9692" w:type="dxa"/>
            <w:tcBorders/>
            <w:shd w:fill="auto" w:val="clear"/>
          </w:tcPr>
          <w:p>
            <w:pPr>
              <w:pStyle w:val="TableContents"/>
              <w:spacing w:before="0" w:after="0"/>
              <w:ind w:left="0" w:right="0" w:hanging="0"/>
              <w:rPr/>
            </w:pPr>
            <w:hyperlink w:anchor="UnauditedProFormaCondensedCombine_221914">
              <w:r>
                <w:rPr>
                  <w:rStyle w:val="InternetLink"/>
                  <w:rFonts w:ascii="Times New Roman" w:hAnsi="Times New Roman"/>
                  <w:sz w:val="17"/>
                  <w:u w:val="single"/>
                </w:rPr>
                <w:t>Unaudited Pro Forma Condensed Combined Balance Sheet as of March 31, 2012</w:t>
              </w:r>
            </w:hyperlink>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F-3</w:t>
            </w:r>
          </w:p>
        </w:tc>
      </w:tr>
      <w:tr>
        <w:trPr/>
        <w:tc>
          <w:tcPr>
            <w:tcW w:w="9692" w:type="dxa"/>
            <w:tcBorders/>
            <w:shd w:fill="auto" w:val="clear"/>
          </w:tcPr>
          <w:p>
            <w:pPr>
              <w:pStyle w:val="TableContents"/>
              <w:spacing w:before="0" w:after="0"/>
              <w:ind w:left="0" w:right="0" w:hanging="0"/>
              <w:rPr/>
            </w:pPr>
            <w:hyperlink w:anchor="UnauditedProFormaCondensedStateme_221920">
              <w:r>
                <w:rPr>
                  <w:rStyle w:val="InternetLink"/>
                  <w:rFonts w:ascii="Times New Roman" w:hAnsi="Times New Roman"/>
                  <w:sz w:val="17"/>
                  <w:u w:val="single"/>
                </w:rPr>
                <w:t>Unaudited Pro Forma Condensed Statement of Combined Operations for the Three Months Ended March 31, 2012</w:t>
              </w:r>
            </w:hyperlink>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F-4</w:t>
            </w:r>
          </w:p>
        </w:tc>
      </w:tr>
      <w:tr>
        <w:trPr/>
        <w:tc>
          <w:tcPr>
            <w:tcW w:w="9692" w:type="dxa"/>
            <w:tcBorders/>
            <w:shd w:fill="auto" w:val="clear"/>
          </w:tcPr>
          <w:p>
            <w:pPr>
              <w:pStyle w:val="TableContents"/>
              <w:spacing w:before="0" w:after="0"/>
              <w:ind w:left="0" w:right="0" w:hanging="0"/>
              <w:rPr/>
            </w:pPr>
            <w:hyperlink w:anchor="UnauditedProFormaCondensedStateme_221925">
              <w:r>
                <w:rPr>
                  <w:rStyle w:val="InternetLink"/>
                  <w:rFonts w:ascii="Times New Roman" w:hAnsi="Times New Roman"/>
                  <w:sz w:val="17"/>
                  <w:u w:val="single"/>
                </w:rPr>
                <w:t>Unaudited Pro Forma Condensed Statement of Combined Operations for the Year Ended December 31, 2011</w:t>
              </w:r>
            </w:hyperlink>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F-5</w:t>
            </w:r>
          </w:p>
        </w:tc>
      </w:tr>
      <w:tr>
        <w:trPr/>
        <w:tc>
          <w:tcPr>
            <w:tcW w:w="9692" w:type="dxa"/>
            <w:tcBorders/>
            <w:shd w:fill="auto" w:val="clear"/>
          </w:tcPr>
          <w:p>
            <w:pPr>
              <w:pStyle w:val="TableContents"/>
              <w:spacing w:before="0" w:after="0"/>
              <w:ind w:left="0" w:right="0" w:hanging="0"/>
              <w:rPr/>
            </w:pPr>
            <w:hyperlink w:anchor="NotesToUnauditedProFormaCondensed_221930">
              <w:r>
                <w:rPr>
                  <w:rStyle w:val="InternetLink"/>
                  <w:rFonts w:ascii="Times New Roman" w:hAnsi="Times New Roman"/>
                  <w:sz w:val="17"/>
                  <w:u w:val="single"/>
                </w:rPr>
                <w:t>Notes to the Unaudited Pro Forma Condensed Combined Financial Statements</w:t>
              </w:r>
            </w:hyperlink>
          </w:p>
        </w:tc>
        <w:tc>
          <w:tcPr>
            <w:tcW w:w="51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F-6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F-1</w:t>
      </w:r>
      <w:bookmarkStart w:id="10" w:name="PB_1_154129_5796"/>
      <w:bookmarkEnd w:id="1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br/>
        <w:t>UNAUDITED PRO FORMA CONDENSED COMBINED FINANCIAL STATEMENTS</w:t>
      </w:r>
      <w:bookmarkStart w:id="11" w:name="PlainsAllAmericanPipelineL_p_Unau_221849"/>
      <w:bookmarkEnd w:id="11"/>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unaudited pro forma condensed combined financial statements give effect to the acquisition by Plains All American Pipeline, L.P. (PAA) of BP Canada Energy Company (BPCEC), an indirect subsidiary of BP Corporation North America (BP North America) from Amoco Canada International Holdings B.V. (the Seller) for approximately $1.68 billion in cash, including $17 million of imputed interest, subject to working capital adjustments. As a result of the closing of such acquisition and after giving effect to a series of reorganization transactions completed prior to the Closing Date, PAA became the indirect owner of all of BP North Americas Canadian based natural gas liquids (NGL) business and certain of BP North Americas NGL assets located in the upper-Midwest United States (collectively, the Acquired Business).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unaudited pro forma condensed statements of combined operations for the three months ended March 31, 2012 and for the year ended December 31, 2011 have been prepared as if the transaction described above had taken place on January 1, 2011. The unaudited pro forma condensed combined balance sheet at March 31, 2012 assumes the transaction was consummated on that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financial statements should be read in conjunction with and are qualified in their entirety by reference to the notes accompanying such unaudited pro forma financial statements as well as the historical financial statements and notes included in PAAs Quarterly Report on Form 10-Q for the period ended March 31, 2012 and PAAs Annual Report on Form 10-K for the year ended December 31, 2011 and the historical financial statements included in Exhibit 99.2 of this filing. The historical financial statements that are provided in the exhibits reflect the results of operations from, and the assets and liabilities that are a part of, the Acquired Business, which is referred to in such exhibits as Project Argyle; however, such historical financial statements also reflect certain assets and liabilities (and associated results of operations) that were not a part of the Acquired Business on the Closing Date. For the purposes of these pro forma financial statements and footnotes, we will refer to the historical financial statements of Project Argyle as the BPCEC historical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combined financial statements have been prepared giving effect to the acquisition, which is accounted for as a purchase business combination in accordance with Financial Accounting Standards Board Accounting Standards Codification 805, Business Combinations. The unaudited pro forma financial statements are based on assumptions that we believe are reasonable under the circumstances and are intended for informational purposes only. They reflect managements preliminary estimates of the values of the tangible and intangible assets and liabilities acquired, pending the completion of valuation procedures. A change in the unaudited pro forma adjustments of the purchase price for the acquisition would primarily result in an adjustment to the determined fair values assigned to tangible and intangible assets. The income statement effect of these changes will depend on the nature and amount of the assets or liabilities adjusted.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unaudited pro forma condensed combined financial statements are not necessarily indicative of the results of the actual or future operations or financial condition that would have been achieved had the transactions occurred at the dates assumed (as noted above). The actual results in the periods following the acquisition may differ significantly from those reflected in the unaudited pro forma condensed combined financial statements for a number of reasons including, but not limited to, differences between the assumptions used to prepare the unaudited pro forma condensed combined financial data and the actual amounts and the completion of a final valuation of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BPCEC historical financial statements were prepared in accordance with International Financial Reporting Standards as adopted by the IASB (IFRS) which is a method of accounting different from accounting principles generally accepted in the United States of America (U.S. GAAP). However, no significant adjustments were necessary to conform the IFRS information to U.S. GAAP.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F-2</w:t>
      </w:r>
      <w:bookmarkStart w:id="12" w:name="PB_2_154424_2897"/>
      <w:bookmarkEnd w:id="1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 PRO FORMA CONDENSED COMBINED BALANCE SHEET</w:t>
      </w:r>
      <w:bookmarkStart w:id="13" w:name="UnauditedProFormaCondensedCombine_221914"/>
      <w:bookmarkEnd w:id="13"/>
    </w:p>
    <w:p>
      <w:pPr>
        <w:pStyle w:val="TextBody"/>
        <w:spacing w:before="0" w:after="0"/>
        <w:ind w:left="0" w:right="0" w:hanging="0"/>
        <w:jc w:val="center"/>
        <w:rPr>
          <w:rFonts w:ascii="Times New Roman" w:hAnsi="Times New Roman"/>
          <w:b/>
          <w:sz w:val="17"/>
        </w:rPr>
      </w:pPr>
      <w:r>
        <w:rPr>
          <w:rFonts w:ascii="Times New Roman" w:hAnsi="Times New Roman"/>
          <w:b/>
          <w:sz w:val="17"/>
        </w:rPr>
        <w:t>March 31, 2012</w:t>
        <w:br/>
        <w:t>(in millions)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376"/>
        <w:gridCol w:w="190"/>
        <w:gridCol w:w="142"/>
        <w:gridCol w:w="927"/>
        <w:gridCol w:w="190"/>
        <w:gridCol w:w="153"/>
        <w:gridCol w:w="916"/>
        <w:gridCol w:w="190"/>
        <w:gridCol w:w="182"/>
        <w:gridCol w:w="957"/>
        <w:gridCol w:w="471"/>
        <w:gridCol w:w="377"/>
        <w:gridCol w:w="934"/>
        <w:gridCol w:w="200"/>
      </w:tblGrid>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0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190" w:type="dxa"/>
            <w:tcBorders/>
            <w:shd w:fill="auto" w:val="clear"/>
            <w:vAlign w:val="bottom"/>
          </w:tcPr>
          <w:p>
            <w:pPr>
              <w:pStyle w:val="TableContents"/>
              <w:spacing w:before="0" w:after="0"/>
              <w:ind w:left="0" w:right="0" w:hanging="0"/>
              <w:jc w:val="center"/>
              <w:rPr/>
            </w:pPr>
            <w:r>
              <w:rPr/>
              <w:t> </w:t>
            </w:r>
          </w:p>
        </w:tc>
        <w:tc>
          <w:tcPr>
            <w:tcW w:w="106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BPCEC</w:t>
            </w:r>
          </w:p>
        </w:tc>
        <w:tc>
          <w:tcPr>
            <w:tcW w:w="190" w:type="dxa"/>
            <w:tcBorders/>
            <w:shd w:fill="auto" w:val="clear"/>
            <w:vAlign w:val="bottom"/>
          </w:tcPr>
          <w:p>
            <w:pPr>
              <w:pStyle w:val="TableContents"/>
              <w:spacing w:before="0" w:after="0"/>
              <w:ind w:left="0" w:right="0" w:hanging="0"/>
              <w:jc w:val="center"/>
              <w:rPr/>
            </w:pPr>
            <w:r>
              <w:rPr/>
              <w:t> </w:t>
            </w:r>
          </w:p>
        </w:tc>
        <w:tc>
          <w:tcPr>
            <w:tcW w:w="113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471" w:type="dxa"/>
            <w:tcBorders/>
            <w:shd w:fill="auto" w:val="clear"/>
            <w:vAlign w:val="bottom"/>
          </w:tcPr>
          <w:p>
            <w:pPr>
              <w:pStyle w:val="TableContents"/>
              <w:spacing w:before="0" w:after="0"/>
              <w:ind w:left="0" w:right="0" w:hanging="0"/>
              <w:jc w:val="center"/>
              <w:rPr/>
            </w:pPr>
            <w:r>
              <w:rPr/>
              <w:t> </w:t>
            </w:r>
          </w:p>
        </w:tc>
        <w:tc>
          <w:tcPr>
            <w:tcW w:w="1311"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0" w:type="dxa"/>
            <w:tcBorders/>
            <w:shd w:fill="auto" w:val="clear"/>
            <w:vAlign w:val="bottom"/>
          </w:tcPr>
          <w:p>
            <w:pPr>
              <w:pStyle w:val="TableContents"/>
              <w:spacing w:before="0" w:after="0"/>
              <w:ind w:left="0" w:right="0" w:hanging="0"/>
              <w:jc w:val="center"/>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jc w:val="center"/>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190" w:type="dxa"/>
            <w:tcBorders/>
            <w:shd w:fill="auto" w:val="clear"/>
            <w:vAlign w:val="bottom"/>
          </w:tcPr>
          <w:p>
            <w:pPr>
              <w:pStyle w:val="TableContents"/>
              <w:spacing w:before="0" w:after="0"/>
              <w:ind w:left="0" w:right="0" w:hanging="0"/>
              <w:jc w:val="center"/>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190" w:type="dxa"/>
            <w:tcBorders/>
            <w:shd w:fill="auto" w:val="clear"/>
            <w:vAlign w:val="bottom"/>
          </w:tcPr>
          <w:p>
            <w:pPr>
              <w:pStyle w:val="TableContents"/>
              <w:spacing w:before="0" w:after="0"/>
              <w:ind w:left="0" w:right="0" w:hanging="0"/>
              <w:jc w:val="center"/>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471" w:type="dxa"/>
            <w:tcBorders/>
            <w:shd w:fill="auto" w:val="clear"/>
            <w:vAlign w:val="bottom"/>
          </w:tcPr>
          <w:p>
            <w:pPr>
              <w:pStyle w:val="TableContents"/>
              <w:spacing w:before="0" w:after="0"/>
              <w:ind w:left="0" w:right="0" w:hanging="0"/>
              <w:jc w:val="center"/>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200" w:type="dxa"/>
            <w:tcBorders/>
            <w:shd w:fill="auto" w:val="clear"/>
            <w:vAlign w:val="bottom"/>
          </w:tcPr>
          <w:p>
            <w:pPr>
              <w:pStyle w:val="TableContents"/>
              <w:spacing w:before="0" w:after="0"/>
              <w:ind w:left="0" w:right="0" w:hanging="0"/>
              <w:jc w:val="center"/>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ASSETS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Cash and cash equivalents</w:t>
            </w:r>
          </w:p>
        </w:tc>
        <w:tc>
          <w:tcPr>
            <w:tcW w:w="190" w:type="dxa"/>
            <w:tcBorders/>
            <w:shd w:fill="CCEEFF" w:val="clear"/>
            <w:vAlign w:val="bottom"/>
          </w:tcPr>
          <w:p>
            <w:pPr>
              <w:pStyle w:val="TableContents"/>
              <w:spacing w:before="0" w:after="0"/>
              <w:ind w:left="0" w:right="0" w:hanging="0"/>
              <w:rPr/>
            </w:pPr>
            <w:r>
              <w:rPr/>
              <w:t> </w:t>
            </w:r>
          </w:p>
        </w:tc>
        <w:tc>
          <w:tcPr>
            <w:tcW w:w="14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190" w:type="dxa"/>
            <w:tcBorders/>
            <w:shd w:fill="CCEEFF" w:val="clear"/>
            <w:vAlign w:val="bottom"/>
          </w:tcPr>
          <w:p>
            <w:pPr>
              <w:pStyle w:val="TableContents"/>
              <w:spacing w:before="0" w:after="0"/>
              <w:ind w:left="0" w:right="0" w:hanging="0"/>
              <w:rPr/>
            </w:pPr>
            <w:r>
              <w:rPr/>
              <w:t> </w:t>
            </w:r>
          </w:p>
        </w:tc>
        <w:tc>
          <w:tcPr>
            <w:tcW w:w="1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w:t>
            </w:r>
          </w:p>
        </w:tc>
        <w:tc>
          <w:tcPr>
            <w:tcW w:w="37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Trade accounts receivable and other receivables, net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2,902</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3,152</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Inventory</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1,079</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399</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1,211</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assets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171</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(k)</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4,166</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656</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4,740</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Property and equipment, net</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7,975</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9,042</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assets</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1,879</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2,123</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Restricted cash</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1,632</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(1,632</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Linefill and base gas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661</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146</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(h)</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312</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Investments in unconsolidated entities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192</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net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514</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646</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other assets, net</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4,940</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(1,006</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3,934</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190"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17,081</w:t>
            </w:r>
          </w:p>
        </w:tc>
        <w:tc>
          <w:tcPr>
            <w:tcW w:w="19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1,207</w:t>
            </w:r>
          </w:p>
        </w:tc>
        <w:tc>
          <w:tcPr>
            <w:tcW w:w="190"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7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17,716</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LIABILITIES, PARTNERS CAPITAL AND NET PARENT INVESTMENT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Accounts payable and accrued liabilities</w:t>
            </w:r>
          </w:p>
        </w:tc>
        <w:tc>
          <w:tcPr>
            <w:tcW w:w="190" w:type="dxa"/>
            <w:tcBorders/>
            <w:shd w:fill="auto" w:val="clear"/>
            <w:vAlign w:val="bottom"/>
          </w:tcPr>
          <w:p>
            <w:pPr>
              <w:pStyle w:val="TableContents"/>
              <w:spacing w:before="0" w:after="0"/>
              <w:ind w:left="0" w:right="0" w:hanging="0"/>
              <w:rPr/>
            </w:pPr>
            <w:r>
              <w:rPr/>
              <w:t> </w:t>
            </w:r>
          </w:p>
        </w:tc>
        <w:tc>
          <w:tcPr>
            <w:tcW w:w="14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3,489</w:t>
            </w:r>
          </w:p>
        </w:tc>
        <w:tc>
          <w:tcPr>
            <w:tcW w:w="190" w:type="dxa"/>
            <w:tcBorders/>
            <w:shd w:fill="auto" w:val="clear"/>
            <w:vAlign w:val="bottom"/>
          </w:tcPr>
          <w:p>
            <w:pPr>
              <w:pStyle w:val="TableContents"/>
              <w:spacing w:before="0" w:after="0"/>
              <w:ind w:left="0" w:right="0" w:hanging="0"/>
              <w:rPr/>
            </w:pPr>
            <w:r>
              <w:rPr/>
              <w:t> </w:t>
            </w:r>
          </w:p>
        </w:tc>
        <w:tc>
          <w:tcPr>
            <w:tcW w:w="1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w:t>
            </w:r>
          </w:p>
        </w:tc>
        <w:tc>
          <w:tcPr>
            <w:tcW w:w="190" w:type="dxa"/>
            <w:tcBorders/>
            <w:shd w:fill="auto" w:val="clear"/>
            <w:vAlign w:val="bottom"/>
          </w:tcPr>
          <w:p>
            <w:pPr>
              <w:pStyle w:val="TableContents"/>
              <w:spacing w:before="0" w:after="0"/>
              <w:ind w:left="0" w:right="0" w:hanging="0"/>
              <w:rPr/>
            </w:pPr>
            <w:r>
              <w:rPr/>
              <w:t> </w:t>
            </w:r>
          </w:p>
        </w:tc>
        <w:tc>
          <w:tcPr>
            <w:tcW w:w="1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37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3,779</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Short-term debt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757</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current liabilities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285</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(k)</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4,442</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4,821</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liabilities</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Senior notes, net of unamortized discount</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5,510</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Long-term debt under credit facilities and other</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long-term liabilities and deferred credits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332</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long-term liabilities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6,126</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213</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6,389</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Commitments and contingencies</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pPr>
            <w:r>
              <w:rPr/>
              <w:t> </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Partners capital and net parent investment</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pPr>
            <w:r>
              <w:rPr/>
              <w:t> </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 xml:space="preserve">Common unitholders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5,779</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5,772</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CCEEFF" w:val="clear"/>
            <w:vAlign w:val="bottom"/>
          </w:tcPr>
          <w:p>
            <w:pPr>
              <w:pStyle w:val="TableContents"/>
              <w:spacing w:before="0" w:after="0"/>
              <w:ind w:left="0" w:right="0" w:hanging="0"/>
              <w:rPr/>
            </w:pPr>
            <w:r>
              <w:rPr/>
              <w:t> </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Net parent investment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(874</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w:t>
            </w:r>
          </w:p>
        </w:tc>
        <w:tc>
          <w:tcPr>
            <w:tcW w:w="131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pPr>
            <w:r>
              <w:rPr/>
              <w:t> </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311"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and net parent investment excluding noncontrolling interests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5,997</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(749</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5,990</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Noncontrolling interests</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190" w:type="dxa"/>
            <w:tcBorders/>
            <w:shd w:fill="auto"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0" w:type="dxa"/>
            <w:tcBorders/>
            <w:shd w:fill="auto"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71" w:type="dxa"/>
            <w:tcBorders/>
            <w:shd w:fill="auto" w:val="clear"/>
            <w:vAlign w:val="bottom"/>
          </w:tcPr>
          <w:p>
            <w:pPr>
              <w:pStyle w:val="TableContents"/>
              <w:spacing w:before="0" w:after="0"/>
              <w:ind w:left="0" w:right="0" w:hanging="0"/>
              <w:rPr/>
            </w:pPr>
            <w:r>
              <w:rPr/>
              <w:t> </w:t>
            </w:r>
          </w:p>
        </w:tc>
        <w:tc>
          <w:tcPr>
            <w:tcW w:w="131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516</w:t>
            </w:r>
          </w:p>
        </w:tc>
        <w:tc>
          <w:tcPr>
            <w:tcW w:w="200" w:type="dxa"/>
            <w:tcBorders/>
            <w:shd w:fill="auto" w:val="clear"/>
            <w:vAlign w:val="bottom"/>
          </w:tcPr>
          <w:p>
            <w:pPr>
              <w:pStyle w:val="TableContents"/>
              <w:spacing w:before="0" w:after="0"/>
              <w:ind w:left="0" w:right="0" w:hanging="0"/>
              <w:rPr/>
            </w:pPr>
            <w:r>
              <w:rPr/>
              <w:t> </w:t>
            </w:r>
          </w:p>
        </w:tc>
      </w:tr>
      <w:tr>
        <w:trPr/>
        <w:tc>
          <w:tcPr>
            <w:tcW w:w="43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partners capital and net parent investment excluding noncontrolling interests</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6,513</w:t>
            </w:r>
          </w:p>
        </w:tc>
        <w:tc>
          <w:tcPr>
            <w:tcW w:w="190" w:type="dxa"/>
            <w:tcBorders/>
            <w:shd w:fill="CCEEFF" w:val="clear"/>
            <w:vAlign w:val="bottom"/>
          </w:tcPr>
          <w:p>
            <w:pPr>
              <w:pStyle w:val="TableContents"/>
              <w:spacing w:before="0" w:after="0"/>
              <w:ind w:left="0" w:right="0" w:hanging="0"/>
              <w:rPr/>
            </w:pPr>
            <w:r>
              <w:rPr/>
              <w:t> </w:t>
            </w:r>
          </w:p>
        </w:tc>
        <w:tc>
          <w:tcPr>
            <w:tcW w:w="106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742</w:t>
            </w:r>
          </w:p>
        </w:tc>
        <w:tc>
          <w:tcPr>
            <w:tcW w:w="190" w:type="dxa"/>
            <w:tcBorders/>
            <w:shd w:fill="CCEEFF" w:val="clear"/>
            <w:vAlign w:val="bottom"/>
          </w:tcPr>
          <w:p>
            <w:pPr>
              <w:pStyle w:val="TableContents"/>
              <w:spacing w:before="0" w:after="0"/>
              <w:ind w:left="0" w:right="0" w:hanging="0"/>
              <w:rPr/>
            </w:pPr>
            <w:r>
              <w:rPr/>
              <w:t> </w:t>
            </w:r>
          </w:p>
        </w:tc>
        <w:tc>
          <w:tcPr>
            <w:tcW w:w="113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(749</w:t>
            </w:r>
          </w:p>
        </w:tc>
        <w:tc>
          <w:tcPr>
            <w:tcW w:w="4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1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6,506</w:t>
            </w:r>
          </w:p>
        </w:tc>
        <w:tc>
          <w:tcPr>
            <w:tcW w:w="200" w:type="dxa"/>
            <w:tcBorders/>
            <w:shd w:fill="CCEEFF" w:val="clear"/>
            <w:vAlign w:val="bottom"/>
          </w:tcPr>
          <w:p>
            <w:pPr>
              <w:pStyle w:val="TableContents"/>
              <w:spacing w:before="0" w:after="0"/>
              <w:ind w:left="0" w:right="0" w:hanging="0"/>
              <w:rPr/>
            </w:pPr>
            <w:r>
              <w:rPr/>
              <w:t> </w:t>
            </w:r>
          </w:p>
        </w:tc>
      </w:tr>
      <w:tr>
        <w:trPr/>
        <w:tc>
          <w:tcPr>
            <w:tcW w:w="43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liabilities, partners capital and net parent investment</w:t>
            </w:r>
          </w:p>
        </w:tc>
        <w:tc>
          <w:tcPr>
            <w:tcW w:w="190" w:type="dxa"/>
            <w:tcBorders/>
            <w:shd w:fill="auto" w:val="clear"/>
            <w:vAlign w:val="bottom"/>
          </w:tcPr>
          <w:p>
            <w:pPr>
              <w:pStyle w:val="TableContents"/>
              <w:spacing w:before="0" w:after="0"/>
              <w:ind w:left="0" w:right="0" w:hanging="0"/>
              <w:rPr/>
            </w:pPr>
            <w:r>
              <w:rPr/>
              <w:t> </w:t>
            </w:r>
          </w:p>
        </w:tc>
        <w:tc>
          <w:tcPr>
            <w:tcW w:w="14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17,081</w:t>
            </w:r>
          </w:p>
        </w:tc>
        <w:tc>
          <w:tcPr>
            <w:tcW w:w="190" w:type="dxa"/>
            <w:tcBorders/>
            <w:shd w:fill="auto" w:val="clear"/>
            <w:vAlign w:val="bottom"/>
          </w:tcPr>
          <w:p>
            <w:pPr>
              <w:pStyle w:val="TableContents"/>
              <w:spacing w:before="0" w:after="0"/>
              <w:ind w:left="0" w:right="0" w:hanging="0"/>
              <w:rPr/>
            </w:pPr>
            <w:r>
              <w:rPr/>
              <w:t> </w:t>
            </w:r>
          </w:p>
        </w:tc>
        <w:tc>
          <w:tcPr>
            <w:tcW w:w="153"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6"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1,207</w:t>
            </w:r>
          </w:p>
        </w:tc>
        <w:tc>
          <w:tcPr>
            <w:tcW w:w="190" w:type="dxa"/>
            <w:tcBorders/>
            <w:shd w:fill="auto" w:val="clear"/>
            <w:vAlign w:val="bottom"/>
          </w:tcPr>
          <w:p>
            <w:pPr>
              <w:pStyle w:val="TableContents"/>
              <w:spacing w:before="0" w:after="0"/>
              <w:ind w:left="0" w:right="0" w:hanging="0"/>
              <w:rPr/>
            </w:pPr>
            <w:r>
              <w:rPr/>
              <w:t> </w:t>
            </w:r>
          </w:p>
        </w:tc>
        <w:tc>
          <w:tcPr>
            <w:tcW w:w="182"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5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(572</w:t>
            </w:r>
          </w:p>
        </w:tc>
        <w:tc>
          <w:tcPr>
            <w:tcW w:w="4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77"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34"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17,716</w:t>
            </w:r>
          </w:p>
        </w:tc>
        <w:tc>
          <w:tcPr>
            <w:tcW w:w="200"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Pro Forma Condensed Combined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F-3</w:t>
      </w:r>
      <w:bookmarkStart w:id="14" w:name="PB_3_170256_7056"/>
      <w:bookmarkEnd w:id="1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 PRO FORMA CONDENSED STATEMENT OF COMBINED OPERATIONS</w:t>
      </w:r>
      <w:bookmarkStart w:id="15" w:name="UnauditedProFormaCondensedStateme_221920"/>
      <w:bookmarkEnd w:id="15"/>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For the Three Months Ended March 31, 2012 </w:t>
        <w:b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860"/>
        <w:gridCol w:w="184"/>
        <w:gridCol w:w="171"/>
        <w:gridCol w:w="948"/>
        <w:gridCol w:w="200"/>
        <w:gridCol w:w="206"/>
        <w:gridCol w:w="913"/>
        <w:gridCol w:w="200"/>
        <w:gridCol w:w="316"/>
        <w:gridCol w:w="1172"/>
        <w:gridCol w:w="492"/>
        <w:gridCol w:w="364"/>
        <w:gridCol w:w="972"/>
        <w:gridCol w:w="207"/>
      </w:tblGrid>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0" w:type="dxa"/>
            <w:tcBorders/>
            <w:shd w:fill="auto" w:val="clear"/>
            <w:vAlign w:val="bottom"/>
          </w:tcPr>
          <w:p>
            <w:pPr>
              <w:pStyle w:val="TableContents"/>
              <w:spacing w:before="0" w:after="0"/>
              <w:ind w:left="0" w:right="0" w:hanging="0"/>
              <w:jc w:val="center"/>
              <w:rPr/>
            </w:pPr>
            <w:r>
              <w:rPr/>
              <w:t> </w:t>
            </w:r>
          </w:p>
        </w:tc>
        <w:tc>
          <w:tcPr>
            <w:tcW w:w="1119"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BPCEC</w:t>
            </w:r>
          </w:p>
        </w:tc>
        <w:tc>
          <w:tcPr>
            <w:tcW w:w="200" w:type="dxa"/>
            <w:tcBorders/>
            <w:shd w:fill="auto" w:val="clear"/>
            <w:vAlign w:val="bottom"/>
          </w:tcPr>
          <w:p>
            <w:pPr>
              <w:pStyle w:val="TableContents"/>
              <w:spacing w:before="0" w:after="0"/>
              <w:ind w:left="0" w:right="0" w:hanging="0"/>
              <w:jc w:val="center"/>
              <w:rPr/>
            </w:pPr>
            <w:r>
              <w:rPr/>
              <w:t> </w:t>
            </w:r>
          </w:p>
        </w:tc>
        <w:tc>
          <w:tcPr>
            <w:tcW w:w="1488"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492" w:type="dxa"/>
            <w:tcBorders/>
            <w:shd w:fill="auto" w:val="clear"/>
            <w:vAlign w:val="bottom"/>
          </w:tcPr>
          <w:p>
            <w:pPr>
              <w:pStyle w:val="TableContents"/>
              <w:spacing w:before="0" w:after="0"/>
              <w:ind w:left="0" w:right="0" w:hanging="0"/>
              <w:jc w:val="center"/>
              <w:rPr/>
            </w:pPr>
            <w:r>
              <w:rPr/>
              <w:t> </w:t>
            </w:r>
          </w:p>
        </w:tc>
        <w:tc>
          <w:tcPr>
            <w:tcW w:w="133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7" w:type="dxa"/>
            <w:tcBorders/>
            <w:shd w:fill="auto" w:val="clear"/>
            <w:vAlign w:val="bottom"/>
          </w:tcPr>
          <w:p>
            <w:pPr>
              <w:pStyle w:val="TableContents"/>
              <w:spacing w:before="0" w:after="0"/>
              <w:ind w:left="0" w:right="0" w:hanging="0"/>
              <w:jc w:val="center"/>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0" w:type="dxa"/>
            <w:tcBorders/>
            <w:shd w:fill="auto" w:val="clear"/>
            <w:vAlign w:val="bottom"/>
          </w:tcPr>
          <w:p>
            <w:pPr>
              <w:pStyle w:val="TableContents"/>
              <w:spacing w:before="0" w:after="0"/>
              <w:ind w:left="0" w:right="0" w:hanging="0"/>
              <w:jc w:val="center"/>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0" w:type="dxa"/>
            <w:tcBorders/>
            <w:shd w:fill="auto" w:val="clear"/>
            <w:vAlign w:val="bottom"/>
          </w:tcPr>
          <w:p>
            <w:pPr>
              <w:pStyle w:val="TableContents"/>
              <w:spacing w:before="0" w:after="0"/>
              <w:ind w:left="0" w:right="0" w:hanging="0"/>
              <w:jc w:val="center"/>
              <w:rPr/>
            </w:pPr>
            <w:r>
              <w:rPr/>
              <w:t> </w:t>
            </w:r>
          </w:p>
        </w:tc>
        <w:tc>
          <w:tcPr>
            <w:tcW w:w="1488"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492" w:type="dxa"/>
            <w:tcBorders/>
            <w:shd w:fill="auto" w:val="clear"/>
            <w:vAlign w:val="bottom"/>
          </w:tcPr>
          <w:p>
            <w:pPr>
              <w:pStyle w:val="TableContents"/>
              <w:spacing w:before="0" w:after="0"/>
              <w:ind w:left="0" w:right="0" w:hanging="0"/>
              <w:jc w:val="center"/>
              <w:rPr/>
            </w:pPr>
            <w:r>
              <w:rPr/>
              <w:t> </w:t>
            </w:r>
          </w:p>
        </w:tc>
        <w:tc>
          <w:tcPr>
            <w:tcW w:w="133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207" w:type="dxa"/>
            <w:tcBorders/>
            <w:shd w:fill="auto" w:val="clear"/>
            <w:vAlign w:val="bottom"/>
          </w:tcPr>
          <w:p>
            <w:pPr>
              <w:pStyle w:val="TableContents"/>
              <w:spacing w:before="0" w:after="0"/>
              <w:ind w:left="0" w:right="0" w:hanging="0"/>
              <w:jc w:val="center"/>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84"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9,218</w:t>
            </w:r>
          </w:p>
        </w:tc>
        <w:tc>
          <w:tcPr>
            <w:tcW w:w="200" w:type="dxa"/>
            <w:tcBorders/>
            <w:shd w:fill="CCEEFF" w:val="clear"/>
            <w:vAlign w:val="bottom"/>
          </w:tcPr>
          <w:p>
            <w:pPr>
              <w:pStyle w:val="TableContents"/>
              <w:spacing w:before="0" w:after="0"/>
              <w:ind w:left="0" w:right="0" w:hanging="0"/>
              <w:rPr/>
            </w:pPr>
            <w:r>
              <w:rPr/>
              <w:t> </w:t>
            </w:r>
          </w:p>
        </w:tc>
        <w:tc>
          <w:tcPr>
            <w:tcW w:w="20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824</w:t>
            </w:r>
          </w:p>
        </w:tc>
        <w:tc>
          <w:tcPr>
            <w:tcW w:w="200" w:type="dxa"/>
            <w:tcBorders/>
            <w:shd w:fill="CCEEFF" w:val="clear"/>
            <w:vAlign w:val="bottom"/>
          </w:tcPr>
          <w:p>
            <w:pPr>
              <w:pStyle w:val="TableContents"/>
              <w:spacing w:before="0" w:after="0"/>
              <w:ind w:left="0" w:right="0" w:hanging="0"/>
              <w:rPr/>
            </w:pPr>
            <w:r>
              <w:rPr/>
              <w:t> </w:t>
            </w:r>
          </w:p>
        </w:tc>
        <w:tc>
          <w:tcPr>
            <w:tcW w:w="31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92" w:type="dxa"/>
            <w:tcBorders/>
            <w:shd w:fill="CCEEFF" w:val="clear"/>
            <w:vAlign w:val="bottom"/>
          </w:tcPr>
          <w:p>
            <w:pPr>
              <w:pStyle w:val="TableContents"/>
              <w:spacing w:before="0" w:after="0"/>
              <w:ind w:left="0" w:right="0" w:hanging="0"/>
              <w:rPr/>
            </w:pPr>
            <w:r>
              <w:rPr/>
              <w:t> </w:t>
            </w:r>
          </w:p>
        </w:tc>
        <w:tc>
          <w:tcPr>
            <w:tcW w:w="3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10,042</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795</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9,267</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288</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)(m)</w:t>
            </w:r>
          </w:p>
        </w:tc>
        <w:tc>
          <w:tcPr>
            <w:tcW w:w="13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pPr>
            <w:r>
              <w:rPr/>
              <w:t> </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336"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3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8,905</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3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9,731</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311</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(75</w:t>
            </w:r>
          </w:p>
        </w:tc>
        <w:tc>
          <w:tcPr>
            <w:tcW w:w="20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245</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w:t>
            </w:r>
          </w:p>
        </w:tc>
        <w:tc>
          <w:tcPr>
            <w:tcW w:w="13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228</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9"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184" w:type="dxa"/>
            <w:tcBorders/>
            <w:shd w:fill="CCEEFF" w:val="clear"/>
            <w:vAlign w:val="bottom"/>
          </w:tcPr>
          <w:p>
            <w:pPr>
              <w:pStyle w:val="TableContents"/>
              <w:spacing w:before="0" w:after="0"/>
              <w:ind w:left="0" w:right="0" w:hanging="0"/>
              <w:rPr/>
            </w:pPr>
            <w:r>
              <w:rPr/>
              <w:t> </w:t>
            </w:r>
          </w:p>
        </w:tc>
        <w:tc>
          <w:tcPr>
            <w:tcW w:w="17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230</w:t>
            </w:r>
          </w:p>
        </w:tc>
        <w:tc>
          <w:tcPr>
            <w:tcW w:w="200" w:type="dxa"/>
            <w:tcBorders/>
            <w:shd w:fill="CCEEFF" w:val="clear"/>
            <w:vAlign w:val="bottom"/>
          </w:tcPr>
          <w:p>
            <w:pPr>
              <w:pStyle w:val="TableContents"/>
              <w:spacing w:before="0" w:after="0"/>
              <w:ind w:left="0" w:right="0" w:hanging="0"/>
              <w:rPr/>
            </w:pPr>
            <w:r>
              <w:rPr/>
              <w:t> </w:t>
            </w:r>
          </w:p>
        </w:tc>
        <w:tc>
          <w:tcPr>
            <w:tcW w:w="20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3"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316"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w:t>
            </w:r>
          </w:p>
        </w:tc>
        <w:tc>
          <w:tcPr>
            <w:tcW w:w="492" w:type="dxa"/>
            <w:tcBorders/>
            <w:shd w:fill="CCEEFF" w:val="clear"/>
            <w:vAlign w:val="bottom"/>
          </w:tcPr>
          <w:p>
            <w:pPr>
              <w:pStyle w:val="TableContents"/>
              <w:spacing w:before="0" w:after="0"/>
              <w:ind w:left="0" w:right="0" w:hanging="0"/>
              <w:rPr/>
            </w:pPr>
            <w:r>
              <w:rPr/>
              <w:t> </w:t>
            </w:r>
          </w:p>
        </w:tc>
        <w:tc>
          <w:tcPr>
            <w:tcW w:w="364"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221</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18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3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184"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3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per limited partner unit (basic and diluted) </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units</w:t>
            </w:r>
          </w:p>
        </w:tc>
        <w:tc>
          <w:tcPr>
            <w:tcW w:w="184" w:type="dxa"/>
            <w:tcBorders/>
            <w:shd w:fill="auto" w:val="clear"/>
            <w:vAlign w:val="bottom"/>
          </w:tcPr>
          <w:p>
            <w:pPr>
              <w:pStyle w:val="TableContents"/>
              <w:spacing w:before="0" w:after="0"/>
              <w:ind w:left="0" w:right="0" w:hanging="0"/>
              <w:rPr/>
            </w:pPr>
            <w:r>
              <w:rPr/>
              <w:t> </w:t>
            </w:r>
          </w:p>
        </w:tc>
        <w:tc>
          <w:tcPr>
            <w:tcW w:w="17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36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0.97</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units</w:t>
            </w:r>
          </w:p>
        </w:tc>
        <w:tc>
          <w:tcPr>
            <w:tcW w:w="184" w:type="dxa"/>
            <w:tcBorders/>
            <w:shd w:fill="CCEEFF" w:val="clear"/>
            <w:vAlign w:val="bottom"/>
          </w:tcPr>
          <w:p>
            <w:pPr>
              <w:pStyle w:val="TableContents"/>
              <w:spacing w:before="0" w:after="0"/>
              <w:ind w:left="0" w:right="0" w:hanging="0"/>
              <w:rPr/>
            </w:pPr>
            <w:r>
              <w:rPr/>
              <w:t> </w:t>
            </w:r>
          </w:p>
        </w:tc>
        <w:tc>
          <w:tcPr>
            <w:tcW w:w="17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36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7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0.96</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pPr>
            <w:r>
              <w:rPr/>
              <w:t> </w:t>
            </w:r>
          </w:p>
        </w:tc>
        <w:tc>
          <w:tcPr>
            <w:tcW w:w="492" w:type="dxa"/>
            <w:tcBorders/>
            <w:shd w:fill="auto" w:val="clear"/>
            <w:vAlign w:val="bottom"/>
          </w:tcPr>
          <w:p>
            <w:pPr>
              <w:pStyle w:val="TableContents"/>
              <w:spacing w:before="0" w:after="0"/>
              <w:ind w:left="0" w:right="0" w:hanging="0"/>
              <w:rPr/>
            </w:pPr>
            <w:r>
              <w:rPr/>
              <w:t> </w:t>
            </w:r>
          </w:p>
        </w:tc>
        <w:tc>
          <w:tcPr>
            <w:tcW w:w="1336"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Limited partner units outstanding </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pPr>
            <w:r>
              <w:rPr/>
              <w:t> </w:t>
            </w:r>
          </w:p>
        </w:tc>
        <w:tc>
          <w:tcPr>
            <w:tcW w:w="492" w:type="dxa"/>
            <w:tcBorders/>
            <w:shd w:fill="CCEEFF" w:val="clear"/>
            <w:vAlign w:val="bottom"/>
          </w:tcPr>
          <w:p>
            <w:pPr>
              <w:pStyle w:val="TableContents"/>
              <w:spacing w:before="0" w:after="0"/>
              <w:ind w:left="0" w:right="0" w:hanging="0"/>
              <w:rPr/>
            </w:pPr>
            <w:r>
              <w:rPr/>
              <w:t> </w:t>
            </w:r>
          </w:p>
        </w:tc>
        <w:tc>
          <w:tcPr>
            <w:tcW w:w="1336"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r>
      <w:tr>
        <w:trPr/>
        <w:tc>
          <w:tcPr>
            <w:tcW w:w="386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184"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w:t>
            </w:r>
          </w:p>
        </w:tc>
        <w:tc>
          <w:tcPr>
            <w:tcW w:w="200" w:type="dxa"/>
            <w:tcBorders/>
            <w:shd w:fill="auto" w:val="clear"/>
            <w:vAlign w:val="bottom"/>
          </w:tcPr>
          <w:p>
            <w:pPr>
              <w:pStyle w:val="TableContents"/>
              <w:spacing w:before="0" w:after="0"/>
              <w:ind w:left="0" w:right="0" w:hanging="0"/>
              <w:rPr/>
            </w:pPr>
            <w:r>
              <w:rPr/>
              <w:t> </w:t>
            </w:r>
          </w:p>
        </w:tc>
        <w:tc>
          <w:tcPr>
            <w:tcW w:w="1119"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488"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49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33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207" w:type="dxa"/>
            <w:tcBorders/>
            <w:shd w:fill="auto" w:val="clear"/>
            <w:vAlign w:val="bottom"/>
          </w:tcPr>
          <w:p>
            <w:pPr>
              <w:pStyle w:val="TableContents"/>
              <w:spacing w:before="0" w:after="0"/>
              <w:ind w:left="0" w:right="0" w:hanging="0"/>
              <w:rPr/>
            </w:pPr>
            <w:r>
              <w:rPr/>
              <w:t> </w:t>
            </w:r>
          </w:p>
        </w:tc>
      </w:tr>
      <w:tr>
        <w:trPr/>
        <w:tc>
          <w:tcPr>
            <w:tcW w:w="386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184"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w:t>
            </w:r>
          </w:p>
        </w:tc>
        <w:tc>
          <w:tcPr>
            <w:tcW w:w="200" w:type="dxa"/>
            <w:tcBorders/>
            <w:shd w:fill="CCEEFF" w:val="clear"/>
            <w:vAlign w:val="bottom"/>
          </w:tcPr>
          <w:p>
            <w:pPr>
              <w:pStyle w:val="TableContents"/>
              <w:spacing w:before="0" w:after="0"/>
              <w:ind w:left="0" w:right="0" w:hanging="0"/>
              <w:rPr/>
            </w:pPr>
            <w:r>
              <w:rPr/>
              <w:t> </w:t>
            </w:r>
          </w:p>
        </w:tc>
        <w:tc>
          <w:tcPr>
            <w:tcW w:w="1119"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488"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49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33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w:t>
            </w:r>
          </w:p>
        </w:tc>
        <w:tc>
          <w:tcPr>
            <w:tcW w:w="20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Pro Forma Condensed Combined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F-4</w:t>
      </w:r>
      <w:bookmarkStart w:id="16" w:name="PB_4_172419_5335"/>
      <w:bookmarkEnd w:id="1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 AND SUBSIDIARIES</w:t>
      </w:r>
    </w:p>
    <w:p>
      <w:pPr>
        <w:pStyle w:val="TextBody"/>
        <w:spacing w:before="0" w:after="0"/>
        <w:ind w:left="0" w:right="0" w:hanging="0"/>
        <w:jc w:val="center"/>
        <w:rPr>
          <w:rFonts w:ascii="Times New Roman" w:hAnsi="Times New Roman"/>
          <w:b/>
          <w:sz w:val="17"/>
        </w:rPr>
      </w:pPr>
      <w:r>
        <w:rPr>
          <w:rFonts w:ascii="Times New Roman" w:hAnsi="Times New Roman"/>
          <w:b/>
          <w:sz w:val="17"/>
        </w:rPr>
        <w:t>UNAUDITED PRO FORMA CONDENSED STATEMENT OF COMBINED OPERATIONS</w:t>
      </w:r>
      <w:bookmarkStart w:id="17" w:name="UnauditedProFormaCondensedStateme_221925"/>
      <w:bookmarkEnd w:id="17"/>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For the Year Ended December 31, 2011 </w:t>
        <w:br/>
        <w:t>(in millions, except per unit data)</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4093"/>
        <w:gridCol w:w="188"/>
        <w:gridCol w:w="141"/>
        <w:gridCol w:w="922"/>
        <w:gridCol w:w="200"/>
        <w:gridCol w:w="152"/>
        <w:gridCol w:w="911"/>
        <w:gridCol w:w="200"/>
        <w:gridCol w:w="182"/>
        <w:gridCol w:w="1184"/>
        <w:gridCol w:w="365"/>
        <w:gridCol w:w="143"/>
        <w:gridCol w:w="929"/>
        <w:gridCol w:w="595"/>
      </w:tblGrid>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0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200" w:type="dxa"/>
            <w:tcBorders/>
            <w:shd w:fill="auto" w:val="clear"/>
            <w:vAlign w:val="bottom"/>
          </w:tcPr>
          <w:p>
            <w:pPr>
              <w:pStyle w:val="TableContents"/>
              <w:spacing w:before="0" w:after="0"/>
              <w:ind w:left="0" w:right="0" w:hanging="0"/>
              <w:jc w:val="center"/>
              <w:rPr/>
            </w:pPr>
            <w:r>
              <w:rPr/>
              <w:t> </w:t>
            </w:r>
          </w:p>
        </w:tc>
        <w:tc>
          <w:tcPr>
            <w:tcW w:w="1063"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BPCEC</w:t>
            </w:r>
          </w:p>
        </w:tc>
        <w:tc>
          <w:tcPr>
            <w:tcW w:w="200" w:type="dxa"/>
            <w:tcBorders/>
            <w:shd w:fill="auto" w:val="clear"/>
            <w:vAlign w:val="bottom"/>
          </w:tcPr>
          <w:p>
            <w:pPr>
              <w:pStyle w:val="TableContents"/>
              <w:spacing w:before="0" w:after="0"/>
              <w:ind w:left="0" w:right="0" w:hanging="0"/>
              <w:jc w:val="center"/>
              <w:rPr/>
            </w:pPr>
            <w:r>
              <w:rPr/>
              <w:t> </w:t>
            </w:r>
          </w:p>
        </w:tc>
        <w:tc>
          <w:tcPr>
            <w:tcW w:w="1366"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365" w:type="dxa"/>
            <w:tcBorders/>
            <w:shd w:fill="auto" w:val="clear"/>
            <w:vAlign w:val="bottom"/>
          </w:tcPr>
          <w:p>
            <w:pPr>
              <w:pStyle w:val="TableContents"/>
              <w:spacing w:before="0" w:after="0"/>
              <w:ind w:left="0" w:right="0" w:hanging="0"/>
              <w:jc w:val="center"/>
              <w:rPr/>
            </w:pPr>
            <w:r>
              <w:rPr/>
              <w:t> </w:t>
            </w:r>
          </w:p>
        </w:tc>
        <w:tc>
          <w:tcPr>
            <w:tcW w:w="1072" w:type="dxa"/>
            <w:gridSpan w:val="2"/>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PAA</w:t>
            </w:r>
          </w:p>
        </w:tc>
        <w:tc>
          <w:tcPr>
            <w:tcW w:w="595" w:type="dxa"/>
            <w:tcBorders/>
            <w:shd w:fill="auto" w:val="clear"/>
            <w:vAlign w:val="bottom"/>
          </w:tcPr>
          <w:p>
            <w:pPr>
              <w:pStyle w:val="TableContents"/>
              <w:spacing w:before="0" w:after="0"/>
              <w:ind w:left="0" w:right="0" w:hanging="0"/>
              <w:jc w:val="center"/>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0" w:type="dxa"/>
            <w:tcBorders/>
            <w:shd w:fill="auto" w:val="clear"/>
            <w:vAlign w:val="bottom"/>
          </w:tcPr>
          <w:p>
            <w:pPr>
              <w:pStyle w:val="TableContents"/>
              <w:spacing w:before="0" w:after="0"/>
              <w:ind w:left="0" w:right="0" w:hanging="0"/>
              <w:jc w:val="center"/>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Historical</w:t>
            </w:r>
          </w:p>
        </w:tc>
        <w:tc>
          <w:tcPr>
            <w:tcW w:w="200" w:type="dxa"/>
            <w:tcBorders/>
            <w:shd w:fill="auto" w:val="clear"/>
            <w:vAlign w:val="bottom"/>
          </w:tcPr>
          <w:p>
            <w:pPr>
              <w:pStyle w:val="TableContents"/>
              <w:spacing w:before="0" w:after="0"/>
              <w:ind w:left="0" w:right="0" w:hanging="0"/>
              <w:jc w:val="center"/>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Adjustments</w:t>
            </w:r>
          </w:p>
        </w:tc>
        <w:tc>
          <w:tcPr>
            <w:tcW w:w="365" w:type="dxa"/>
            <w:tcBorders/>
            <w:shd w:fill="auto" w:val="clear"/>
            <w:vAlign w:val="bottom"/>
          </w:tcPr>
          <w:p>
            <w:pPr>
              <w:pStyle w:val="TableContents"/>
              <w:spacing w:before="0" w:after="0"/>
              <w:ind w:left="0" w:right="0" w:hanging="0"/>
              <w:jc w:val="center"/>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Pro Forma</w:t>
            </w:r>
          </w:p>
        </w:tc>
        <w:tc>
          <w:tcPr>
            <w:tcW w:w="595" w:type="dxa"/>
            <w:tcBorders/>
            <w:shd w:fill="auto" w:val="clear"/>
            <w:vAlign w:val="bottom"/>
          </w:tcPr>
          <w:p>
            <w:pPr>
              <w:pStyle w:val="TableContents"/>
              <w:spacing w:before="0" w:after="0"/>
              <w:ind w:left="0" w:right="0" w:hanging="0"/>
              <w:jc w:val="center"/>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Revenues</w:t>
            </w:r>
          </w:p>
        </w:tc>
        <w:tc>
          <w:tcPr>
            <w:tcW w:w="18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34,275</w:t>
            </w:r>
          </w:p>
        </w:tc>
        <w:tc>
          <w:tcPr>
            <w:tcW w:w="200" w:type="dxa"/>
            <w:tcBorders/>
            <w:shd w:fill="CCEEFF" w:val="clear"/>
            <w:vAlign w:val="bottom"/>
          </w:tcPr>
          <w:p>
            <w:pPr>
              <w:pStyle w:val="TableContents"/>
              <w:spacing w:before="0" w:after="0"/>
              <w:ind w:left="0" w:right="0" w:hanging="0"/>
              <w:rPr/>
            </w:pPr>
            <w:r>
              <w:rPr/>
              <w:t> </w:t>
            </w:r>
          </w:p>
        </w:tc>
        <w:tc>
          <w:tcPr>
            <w:tcW w:w="15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3,391</w:t>
            </w:r>
          </w:p>
        </w:tc>
        <w:tc>
          <w:tcPr>
            <w:tcW w:w="200" w:type="dxa"/>
            <w:tcBorders/>
            <w:shd w:fill="CCEEFF" w:val="clear"/>
            <w:vAlign w:val="bottom"/>
          </w:tcPr>
          <w:p>
            <w:pPr>
              <w:pStyle w:val="TableContents"/>
              <w:spacing w:before="0" w:after="0"/>
              <w:ind w:left="0" w:right="0" w:hanging="0"/>
              <w:rPr/>
            </w:pPr>
            <w:r>
              <w:rPr/>
              <w:t> </w:t>
            </w:r>
          </w:p>
        </w:tc>
        <w:tc>
          <w:tcPr>
            <w:tcW w:w="1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37,456</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Costs and expenses</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Purchases and related costs</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31,564</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2,789</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34,128</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Field operating costs</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870</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1,086</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and administrative expenses</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294</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330</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)(c)</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323</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072"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pPr>
            <w:r>
              <w:rPr/>
              <w:t> </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Total costs and expenses</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32,977</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3,074</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(184</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35,867</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Operating income</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1,298</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317</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1,589</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Other income/(expense)</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Equity earnings in unconsolidated entities</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Interest expense</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)(e)</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w:t>
            </w:r>
          </w:p>
        </w:tc>
        <w:tc>
          <w:tcPr>
            <w:tcW w:w="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93" w:type="dxa"/>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w:t>
            </w:r>
          </w:p>
        </w:tc>
        <w:tc>
          <w:tcPr>
            <w:tcW w:w="1072" w:type="dxa"/>
            <w:gridSpan w:val="2"/>
            <w:tcBorders/>
            <w:shd w:fill="CCEEFF" w:val="clear"/>
            <w:vAlign w:val="bottom"/>
          </w:tcPr>
          <w:p>
            <w:pPr>
              <w:pStyle w:val="TableContents"/>
              <w:spacing w:before="0" w:after="0"/>
              <w:ind w:left="0" w:right="0" w:hanging="0"/>
              <w:jc w:val="right"/>
              <w:rPr/>
            </w:pPr>
            <w:r>
              <w:rPr/>
              <w:t> </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Other income/(expense), net</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c>
          <w:tcPr>
            <w:tcW w:w="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Income before tax</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1,039</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1,286</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Income tax (expense)/benefit</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(j)</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(115</w:t>
            </w:r>
          </w:p>
        </w:tc>
        <w:tc>
          <w:tcPr>
            <w:tcW w:w="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994</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1,171</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Less: Net income attributable to noncontrolling interests</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3"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w:t>
            </w:r>
          </w:p>
        </w:tc>
        <w:tc>
          <w:tcPr>
            <w:tcW w:w="5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188" w:type="dxa"/>
            <w:tcBorders/>
            <w:shd w:fill="CCEEFF" w:val="clear"/>
            <w:vAlign w:val="bottom"/>
          </w:tcPr>
          <w:p>
            <w:pPr>
              <w:pStyle w:val="TableContents"/>
              <w:spacing w:before="0" w:after="0"/>
              <w:ind w:left="0" w:right="0" w:hanging="0"/>
              <w:rPr/>
            </w:pPr>
            <w:r>
              <w:rPr/>
              <w:t> </w:t>
            </w:r>
          </w:p>
        </w:tc>
        <w:tc>
          <w:tcPr>
            <w:tcW w:w="141"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966</w:t>
            </w:r>
          </w:p>
        </w:tc>
        <w:tc>
          <w:tcPr>
            <w:tcW w:w="200" w:type="dxa"/>
            <w:tcBorders/>
            <w:shd w:fill="CCEEFF" w:val="clear"/>
            <w:vAlign w:val="bottom"/>
          </w:tcPr>
          <w:p>
            <w:pPr>
              <w:pStyle w:val="TableContents"/>
              <w:spacing w:before="0" w:after="0"/>
              <w:ind w:left="0" w:right="0" w:hanging="0"/>
              <w:rPr/>
            </w:pPr>
            <w:r>
              <w:rPr/>
              <w:t> </w:t>
            </w:r>
          </w:p>
        </w:tc>
        <w:tc>
          <w:tcPr>
            <w:tcW w:w="15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1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w:t>
            </w:r>
          </w:p>
        </w:tc>
        <w:tc>
          <w:tcPr>
            <w:tcW w:w="200" w:type="dxa"/>
            <w:tcBorders/>
            <w:shd w:fill="CCEEFF" w:val="clear"/>
            <w:vAlign w:val="bottom"/>
          </w:tcPr>
          <w:p>
            <w:pPr>
              <w:pStyle w:val="TableContents"/>
              <w:spacing w:before="0" w:after="0"/>
              <w:ind w:left="0" w:right="0" w:hanging="0"/>
              <w:rPr/>
            </w:pPr>
            <w:r>
              <w:rPr/>
              <w:t> </w:t>
            </w:r>
          </w:p>
        </w:tc>
        <w:tc>
          <w:tcPr>
            <w:tcW w:w="182"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4"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43"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1,143</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Net income attributable to PAA</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365"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Limited partners</w:t>
            </w:r>
          </w:p>
        </w:tc>
        <w:tc>
          <w:tcPr>
            <w:tcW w:w="18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730</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918</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General partner</w:t>
            </w:r>
          </w:p>
        </w:tc>
        <w:tc>
          <w:tcPr>
            <w:tcW w:w="18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236</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36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225</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 xml:space="preserve">Net income per limited partner unit (basic and diluted) </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365"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net income per limited partner units</w:t>
            </w:r>
          </w:p>
        </w:tc>
        <w:tc>
          <w:tcPr>
            <w:tcW w:w="188" w:type="dxa"/>
            <w:tcBorders/>
            <w:shd w:fill="auto" w:val="clear"/>
            <w:vAlign w:val="bottom"/>
          </w:tcPr>
          <w:p>
            <w:pPr>
              <w:pStyle w:val="TableContents"/>
              <w:spacing w:before="0" w:after="0"/>
              <w:ind w:left="0" w:right="0" w:hanging="0"/>
              <w:rPr/>
            </w:pPr>
            <w:r>
              <w:rPr/>
              <w:t> </w:t>
            </w:r>
          </w:p>
        </w:tc>
        <w:tc>
          <w:tcPr>
            <w:tcW w:w="14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4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5.95</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net income per limited partner units</w:t>
            </w:r>
          </w:p>
        </w:tc>
        <w:tc>
          <w:tcPr>
            <w:tcW w:w="188" w:type="dxa"/>
            <w:tcBorders/>
            <w:shd w:fill="CCEEFF" w:val="clear"/>
            <w:vAlign w:val="bottom"/>
          </w:tcPr>
          <w:p>
            <w:pPr>
              <w:pStyle w:val="TableContents"/>
              <w:spacing w:before="0" w:after="0"/>
              <w:ind w:left="0" w:right="0" w:hanging="0"/>
              <w:rPr/>
            </w:pPr>
            <w:r>
              <w:rPr/>
              <w:t> </w:t>
            </w:r>
          </w:p>
        </w:tc>
        <w:tc>
          <w:tcPr>
            <w:tcW w:w="14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2"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4.88</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365" w:type="dxa"/>
            <w:tcBorders/>
            <w:shd w:fill="CCEEFF" w:val="clear"/>
            <w:vAlign w:val="bottom"/>
          </w:tcPr>
          <w:p>
            <w:pPr>
              <w:pStyle w:val="TableContents"/>
              <w:spacing w:before="0" w:after="0"/>
              <w:ind w:left="0" w:right="0" w:hanging="0"/>
              <w:rPr/>
            </w:pPr>
            <w:r>
              <w:rPr/>
              <w:t> </w:t>
            </w:r>
          </w:p>
        </w:tc>
        <w:tc>
          <w:tcPr>
            <w:tcW w:w="14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5.91</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Limited partner units outstanding</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pPr>
            <w:r>
              <w:rPr/>
              <w:t> </w:t>
            </w:r>
          </w:p>
        </w:tc>
        <w:tc>
          <w:tcPr>
            <w:tcW w:w="365" w:type="dxa"/>
            <w:tcBorders/>
            <w:shd w:fill="CCEEFF" w:val="clear"/>
            <w:vAlign w:val="bottom"/>
          </w:tcPr>
          <w:p>
            <w:pPr>
              <w:pStyle w:val="TableContents"/>
              <w:spacing w:before="0" w:after="0"/>
              <w:ind w:left="0" w:right="0" w:hanging="0"/>
              <w:rPr/>
            </w:pPr>
            <w:r>
              <w:rPr/>
              <w:t> </w:t>
            </w:r>
          </w:p>
        </w:tc>
        <w:tc>
          <w:tcPr>
            <w:tcW w:w="1072" w:type="dxa"/>
            <w:gridSpan w:val="2"/>
            <w:tcBorders/>
            <w:shd w:fill="CCEEFF" w:val="clear"/>
            <w:vAlign w:val="bottom"/>
          </w:tcPr>
          <w:p>
            <w:pPr>
              <w:pStyle w:val="TableContents"/>
              <w:spacing w:before="0" w:after="0"/>
              <w:ind w:left="0" w:right="0" w:hanging="0"/>
              <w:jc w:val="right"/>
              <w:rPr/>
            </w:pPr>
            <w:r>
              <w:rPr/>
              <w:t> </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Basic weighted average units outstanding</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6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072"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155</w:t>
            </w:r>
          </w:p>
        </w:tc>
        <w:tc>
          <w:tcPr>
            <w:tcW w:w="595" w:type="dxa"/>
            <w:tcBorders/>
            <w:shd w:fill="auto" w:val="clear"/>
            <w:vAlign w:val="bottom"/>
          </w:tcPr>
          <w:p>
            <w:pPr>
              <w:pStyle w:val="TableContents"/>
              <w:spacing w:before="0" w:after="0"/>
              <w:ind w:left="0" w:right="0" w:hanging="0"/>
              <w:rPr/>
            </w:pPr>
            <w:r>
              <w:rPr/>
              <w:t> </w:t>
            </w:r>
          </w:p>
        </w:tc>
      </w:tr>
      <w:tr>
        <w:trPr/>
        <w:tc>
          <w:tcPr>
            <w:tcW w:w="409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Diluted weighted average units outstanding</w:t>
            </w:r>
          </w:p>
        </w:tc>
        <w:tc>
          <w:tcPr>
            <w:tcW w:w="188"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150</w:t>
            </w:r>
          </w:p>
        </w:tc>
        <w:tc>
          <w:tcPr>
            <w:tcW w:w="200" w:type="dxa"/>
            <w:tcBorders/>
            <w:shd w:fill="CCEEFF" w:val="clear"/>
            <w:vAlign w:val="bottom"/>
          </w:tcPr>
          <w:p>
            <w:pPr>
              <w:pStyle w:val="TableContents"/>
              <w:spacing w:before="0" w:after="0"/>
              <w:ind w:left="0" w:right="0" w:hanging="0"/>
              <w:rPr/>
            </w:pPr>
            <w:r>
              <w:rPr/>
              <w:t> </w:t>
            </w:r>
          </w:p>
        </w:tc>
        <w:tc>
          <w:tcPr>
            <w:tcW w:w="1063" w:type="dxa"/>
            <w:gridSpan w:val="2"/>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366"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c>
          <w:tcPr>
            <w:tcW w:w="36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(a)</w:t>
            </w:r>
          </w:p>
        </w:tc>
        <w:tc>
          <w:tcPr>
            <w:tcW w:w="1072"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156</w:t>
            </w:r>
          </w:p>
        </w:tc>
        <w:tc>
          <w:tcPr>
            <w:tcW w:w="595" w:type="dxa"/>
            <w:tcBorders/>
            <w:shd w:fill="CCEEFF" w:val="clear"/>
            <w:vAlign w:val="bottom"/>
          </w:tcPr>
          <w:p>
            <w:pPr>
              <w:pStyle w:val="TableContents"/>
              <w:spacing w:before="0" w:after="0"/>
              <w:ind w:left="0" w:right="0" w:hanging="0"/>
              <w:rPr/>
            </w:pPr>
            <w:r>
              <w:rPr/>
              <w:t> </w:t>
            </w:r>
          </w:p>
        </w:tc>
      </w:tr>
      <w:tr>
        <w:trPr/>
        <w:tc>
          <w:tcPr>
            <w:tcW w:w="4093" w:type="dxa"/>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063" w:type="dxa"/>
            <w:gridSpan w:val="2"/>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366" w:type="dxa"/>
            <w:gridSpan w:val="2"/>
            <w:tcBorders/>
            <w:shd w:fill="auto" w:val="clear"/>
            <w:vAlign w:val="bottom"/>
          </w:tcPr>
          <w:p>
            <w:pPr>
              <w:pStyle w:val="TableContents"/>
              <w:spacing w:before="0" w:after="0"/>
              <w:ind w:left="0" w:right="0" w:hanging="0"/>
              <w:jc w:val="right"/>
              <w:rPr/>
            </w:pPr>
            <w:r>
              <w:rPr/>
              <w:t> </w:t>
            </w:r>
          </w:p>
        </w:tc>
        <w:tc>
          <w:tcPr>
            <w:tcW w:w="365" w:type="dxa"/>
            <w:tcBorders/>
            <w:shd w:fill="auto" w:val="clear"/>
            <w:vAlign w:val="bottom"/>
          </w:tcPr>
          <w:p>
            <w:pPr>
              <w:pStyle w:val="TableContents"/>
              <w:spacing w:before="0" w:after="0"/>
              <w:ind w:left="0" w:right="0" w:hanging="0"/>
              <w:rPr/>
            </w:pPr>
            <w:r>
              <w:rPr/>
              <w:t> </w:t>
            </w:r>
          </w:p>
        </w:tc>
        <w:tc>
          <w:tcPr>
            <w:tcW w:w="1072" w:type="dxa"/>
            <w:gridSpan w:val="2"/>
            <w:tcBorders/>
            <w:shd w:fill="auto" w:val="clear"/>
            <w:vAlign w:val="bottom"/>
          </w:tcPr>
          <w:p>
            <w:pPr>
              <w:pStyle w:val="TableContents"/>
              <w:spacing w:before="0" w:after="0"/>
              <w:ind w:left="0" w:right="0" w:hanging="0"/>
              <w:jc w:val="right"/>
              <w:rPr/>
            </w:pPr>
            <w:r>
              <w:rPr/>
              <w:t> </w:t>
            </w:r>
          </w:p>
        </w:tc>
        <w:tc>
          <w:tcPr>
            <w:tcW w:w="595"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The accompanying notes are an integral part of these Unaudited Pro Forma Condensed Combined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F-5</w:t>
      </w:r>
      <w:bookmarkStart w:id="18" w:name="PB_5_172450_5796"/>
      <w:bookmarkEnd w:id="1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PLAINS ALL AMERICAN PIPELINE, L.P. AND SUBSIDIARIES </w:t>
      </w:r>
    </w:p>
    <w:p>
      <w:pPr>
        <w:pStyle w:val="TextBody"/>
        <w:spacing w:before="0" w:after="0"/>
        <w:ind w:left="0" w:right="0" w:hanging="0"/>
        <w:jc w:val="center"/>
        <w:rPr>
          <w:rFonts w:ascii="Times New Roman" w:hAnsi="Times New Roman"/>
          <w:b/>
          <w:sz w:val="17"/>
        </w:rPr>
      </w:pPr>
      <w:r>
        <w:rPr>
          <w:rFonts w:ascii="Times New Roman" w:hAnsi="Times New Roman"/>
          <w:b/>
          <w:sz w:val="17"/>
        </w:rPr>
        <w:t>NOTES TO UNAUDITED PRO FORMA CONDENSED COMBINED FINANCIAL STATEMENTS</w:t>
      </w:r>
      <w:bookmarkStart w:id="19" w:name="NotesToUnauditedProFormaCondensed_221930"/>
      <w:bookmarkEnd w:id="19"/>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unaudited pro forma condensed combined financial statements and underlying pro forma adjustments are based upon currently available information and certain estimates and assumptions made by management; therefore, actual results could differ materially from the pro forma information. However, we believe the assumptions provide a reasonable basis for presenting the significant effects of the transactions noted herein.  We believe the pro forma adjustments give appropriate effect to those assumptions and are properly applied in the pro forma information.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acquisition of BPCEC presented in these pro forma statements has been accounted for using the acquisition method of accounting and the determination of the fair value of the assets and liabilities acquired has been estimated in accordance with the applicable accounting literature.  The following table shows our preliminary determination of the fair value of those assets and liabilities (in millions):</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960"/>
        <w:gridCol w:w="242"/>
        <w:gridCol w:w="111"/>
        <w:gridCol w:w="1110"/>
        <w:gridCol w:w="249"/>
        <w:gridCol w:w="1393"/>
        <w:gridCol w:w="99"/>
      </w:tblGrid>
      <w:tr>
        <w:trPr/>
        <w:tc>
          <w:tcPr>
            <w:tcW w:w="4960" w:type="dxa"/>
            <w:tcBorders/>
            <w:shd w:fill="auto" w:val="clear"/>
            <w:vAlign w:val="bottom"/>
          </w:tcPr>
          <w:p>
            <w:pPr>
              <w:pStyle w:val="TableContents"/>
              <w:spacing w:before="0" w:after="0"/>
              <w:ind w:left="0" w:right="0" w:hanging="0"/>
              <w:rPr/>
            </w:pPr>
            <w:r>
              <w:rPr/>
              <w:t> </w:t>
            </w:r>
          </w:p>
        </w:tc>
        <w:tc>
          <w:tcPr>
            <w:tcW w:w="242" w:type="dxa"/>
            <w:tcBorders/>
            <w:shd w:fill="auto" w:val="clear"/>
            <w:vAlign w:val="bottom"/>
          </w:tcPr>
          <w:p>
            <w:pPr>
              <w:pStyle w:val="TableContents"/>
              <w:spacing w:before="0" w:after="0"/>
              <w:ind w:left="0" w:right="0" w:hanging="0"/>
              <w:jc w:val="center"/>
              <w:rPr/>
            </w:pPr>
            <w:r>
              <w:rPr/>
              <w:t> </w:t>
            </w:r>
          </w:p>
        </w:tc>
        <w:tc>
          <w:tcPr>
            <w:tcW w:w="1221" w:type="dxa"/>
            <w:gridSpan w:val="2"/>
            <w:tcBorders/>
            <w:shd w:fill="auto" w:val="clear"/>
            <w:vAlign w:val="bottom"/>
          </w:tcPr>
          <w:p>
            <w:pPr>
              <w:pStyle w:val="TableContents"/>
              <w:spacing w:before="0" w:after="0"/>
              <w:ind w:left="0" w:right="0" w:hanging="0"/>
              <w:jc w:val="center"/>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39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Average</w:t>
            </w:r>
          </w:p>
        </w:tc>
        <w:tc>
          <w:tcPr>
            <w:tcW w:w="99" w:type="dxa"/>
            <w:tcBorders/>
            <w:shd w:fill="auto" w:val="clear"/>
            <w:vAlign w:val="bottom"/>
          </w:tcPr>
          <w:p>
            <w:pPr>
              <w:pStyle w:val="TableContents"/>
              <w:spacing w:before="0" w:after="0"/>
              <w:ind w:left="0" w:right="0" w:hanging="0"/>
              <w:jc w:val="center"/>
              <w:rPr/>
            </w:pPr>
            <w:r>
              <w:rPr/>
              <w:t> </w:t>
            </w:r>
          </w:p>
        </w:tc>
      </w:tr>
      <w:tr>
        <w:trPr/>
        <w:tc>
          <w:tcPr>
            <w:tcW w:w="4960" w:type="dxa"/>
            <w:tcBorders/>
            <w:shd w:fill="auto" w:val="clear"/>
            <w:vAlign w:val="bottom"/>
          </w:tcPr>
          <w:p>
            <w:pPr>
              <w:pStyle w:val="TableContents"/>
              <w:spacing w:before="0" w:after="0"/>
              <w:ind w:left="0" w:right="0" w:hanging="0"/>
              <w:rPr/>
            </w:pPr>
            <w:r>
              <w:rPr/>
              <w:t> </w:t>
            </w:r>
          </w:p>
        </w:tc>
        <w:tc>
          <w:tcPr>
            <w:tcW w:w="242" w:type="dxa"/>
            <w:tcBorders/>
            <w:shd w:fill="auto" w:val="clear"/>
            <w:vAlign w:val="bottom"/>
          </w:tcPr>
          <w:p>
            <w:pPr>
              <w:pStyle w:val="TableContents"/>
              <w:spacing w:before="0" w:after="0"/>
              <w:ind w:left="0" w:right="0" w:hanging="0"/>
              <w:jc w:val="center"/>
              <w:rPr/>
            </w:pPr>
            <w:r>
              <w:rPr/>
              <w:t> </w:t>
            </w:r>
          </w:p>
        </w:tc>
        <w:tc>
          <w:tcPr>
            <w:tcW w:w="1221" w:type="dxa"/>
            <w:gridSpan w:val="2"/>
            <w:tcBorders/>
            <w:shd w:fill="auto" w:val="clear"/>
            <w:vAlign w:val="bottom"/>
          </w:tcPr>
          <w:p>
            <w:pPr>
              <w:pStyle w:val="TableContents"/>
              <w:spacing w:before="0" w:after="0"/>
              <w:ind w:left="0" w:right="0" w:hanging="0"/>
              <w:jc w:val="center"/>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393"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Depreciable</w:t>
            </w:r>
          </w:p>
        </w:tc>
        <w:tc>
          <w:tcPr>
            <w:tcW w:w="99" w:type="dxa"/>
            <w:tcBorders/>
            <w:shd w:fill="auto" w:val="clear"/>
            <w:vAlign w:val="bottom"/>
          </w:tcPr>
          <w:p>
            <w:pPr>
              <w:pStyle w:val="TableContents"/>
              <w:spacing w:before="0" w:after="0"/>
              <w:ind w:left="0" w:right="0" w:hanging="0"/>
              <w:jc w:val="center"/>
              <w:rPr/>
            </w:pPr>
            <w:r>
              <w:rPr/>
              <w:t> </w:t>
            </w:r>
          </w:p>
        </w:tc>
      </w:tr>
      <w:tr>
        <w:trPr/>
        <w:tc>
          <w:tcPr>
            <w:tcW w:w="496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Description</w:t>
            </w:r>
          </w:p>
        </w:tc>
        <w:tc>
          <w:tcPr>
            <w:tcW w:w="242" w:type="dxa"/>
            <w:tcBorders/>
            <w:shd w:fill="auto" w:val="clear"/>
            <w:vAlign w:val="bottom"/>
          </w:tcPr>
          <w:p>
            <w:pPr>
              <w:pStyle w:val="TableContents"/>
              <w:spacing w:before="0" w:after="0"/>
              <w:ind w:left="0" w:right="0" w:hanging="0"/>
              <w:jc w:val="center"/>
              <w:rPr/>
            </w:pPr>
            <w:r>
              <w:rPr/>
              <w:t> </w:t>
            </w:r>
          </w:p>
        </w:tc>
        <w:tc>
          <w:tcPr>
            <w:tcW w:w="122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Amount</w:t>
            </w:r>
          </w:p>
        </w:tc>
        <w:tc>
          <w:tcPr>
            <w:tcW w:w="249" w:type="dxa"/>
            <w:tcBorders/>
            <w:shd w:fill="auto" w:val="clear"/>
            <w:vAlign w:val="bottom"/>
          </w:tcPr>
          <w:p>
            <w:pPr>
              <w:pStyle w:val="TableContents"/>
              <w:spacing w:before="0" w:after="0"/>
              <w:ind w:left="0" w:right="0" w:hanging="0"/>
              <w:jc w:val="center"/>
              <w:rPr/>
            </w:pPr>
            <w:r>
              <w:rPr/>
              <w:t> </w:t>
            </w:r>
          </w:p>
        </w:tc>
        <w:tc>
          <w:tcPr>
            <w:tcW w:w="139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Life (in years)</w:t>
            </w:r>
          </w:p>
        </w:tc>
        <w:tc>
          <w:tcPr>
            <w:tcW w:w="99" w:type="dxa"/>
            <w:tcBorders/>
            <w:shd w:fill="auto" w:val="clear"/>
            <w:vAlign w:val="bottom"/>
          </w:tcPr>
          <w:p>
            <w:pPr>
              <w:pStyle w:val="TableContents"/>
              <w:spacing w:before="0" w:after="0"/>
              <w:ind w:left="0" w:right="0" w:hanging="0"/>
              <w:jc w:val="center"/>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Working capital</w:t>
            </w:r>
          </w:p>
        </w:tc>
        <w:tc>
          <w:tcPr>
            <w:tcW w:w="242" w:type="dxa"/>
            <w:tcBorders/>
            <w:shd w:fill="CCEEFF" w:val="clear"/>
            <w:vAlign w:val="bottom"/>
          </w:tcPr>
          <w:p>
            <w:pPr>
              <w:pStyle w:val="TableContents"/>
              <w:spacing w:before="0" w:after="0"/>
              <w:ind w:left="0" w:right="0" w:hanging="0"/>
              <w:rPr/>
            </w:pPr>
            <w:r>
              <w:rPr/>
              <w:t> </w:t>
            </w:r>
          </w:p>
        </w:tc>
        <w:tc>
          <w:tcPr>
            <w:tcW w:w="111"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253</w:t>
            </w:r>
          </w:p>
        </w:tc>
        <w:tc>
          <w:tcPr>
            <w:tcW w:w="249" w:type="dxa"/>
            <w:tcBorders/>
            <w:shd w:fill="CCEEFF" w:val="clear"/>
            <w:vAlign w:val="bottom"/>
          </w:tcPr>
          <w:p>
            <w:pPr>
              <w:pStyle w:val="TableContents"/>
              <w:spacing w:before="0" w:after="0"/>
              <w:ind w:left="0" w:right="0" w:hanging="0"/>
              <w:rPr/>
            </w:pPr>
            <w:r>
              <w:rPr/>
              <w:t> </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&amp; Equipment</w:t>
            </w:r>
          </w:p>
        </w:tc>
        <w:tc>
          <w:tcPr>
            <w:tcW w:w="24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249" w:type="dxa"/>
            <w:tcBorders/>
            <w:shd w:fill="auto" w:val="clear"/>
            <w:vAlign w:val="bottom"/>
          </w:tcPr>
          <w:p>
            <w:pPr>
              <w:pStyle w:val="TableContents"/>
              <w:spacing w:before="0" w:after="0"/>
              <w:ind w:left="0" w:right="0" w:hanging="0"/>
              <w:rPr/>
            </w:pPr>
            <w:r>
              <w:rPr/>
              <w:t> </w:t>
            </w:r>
          </w:p>
        </w:tc>
        <w:tc>
          <w:tcPr>
            <w:tcW w:w="13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5 - 70</w:t>
            </w:r>
          </w:p>
        </w:tc>
        <w:tc>
          <w:tcPr>
            <w:tcW w:w="99" w:type="dxa"/>
            <w:tcBorders/>
            <w:shd w:fill="auto" w:val="clear"/>
            <w:vAlign w:val="bottom"/>
          </w:tcPr>
          <w:p>
            <w:pPr>
              <w:pStyle w:val="TableContents"/>
              <w:spacing w:before="0" w:after="0"/>
              <w:ind w:left="0" w:right="0" w:hanging="0"/>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Linefill</w:t>
            </w:r>
          </w:p>
        </w:tc>
        <w:tc>
          <w:tcPr>
            <w:tcW w:w="242"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w:t>
            </w:r>
          </w:p>
        </w:tc>
        <w:tc>
          <w:tcPr>
            <w:tcW w:w="249" w:type="dxa"/>
            <w:tcBorders/>
            <w:shd w:fill="CCEEFF" w:val="clear"/>
            <w:vAlign w:val="bottom"/>
          </w:tcPr>
          <w:p>
            <w:pPr>
              <w:pStyle w:val="TableContents"/>
              <w:spacing w:before="0" w:after="0"/>
              <w:ind w:left="0" w:right="0" w:hanging="0"/>
              <w:rPr/>
            </w:pPr>
            <w:r>
              <w:rPr/>
              <w:t> </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Long-term inventory</w:t>
            </w:r>
          </w:p>
        </w:tc>
        <w:tc>
          <w:tcPr>
            <w:tcW w:w="24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166</w:t>
            </w:r>
          </w:p>
        </w:tc>
        <w:tc>
          <w:tcPr>
            <w:tcW w:w="249" w:type="dxa"/>
            <w:tcBorders/>
            <w:shd w:fill="auto" w:val="clear"/>
            <w:vAlign w:val="bottom"/>
          </w:tcPr>
          <w:p>
            <w:pPr>
              <w:pStyle w:val="TableContents"/>
              <w:spacing w:before="0" w:after="0"/>
              <w:ind w:left="0" w:right="0" w:hanging="0"/>
              <w:rPr/>
            </w:pPr>
            <w:r>
              <w:rPr/>
              <w:t> </w:t>
            </w:r>
          </w:p>
        </w:tc>
        <w:tc>
          <w:tcPr>
            <w:tcW w:w="13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auto" w:val="clear"/>
            <w:vAlign w:val="bottom"/>
          </w:tcPr>
          <w:p>
            <w:pPr>
              <w:pStyle w:val="TableContents"/>
              <w:spacing w:before="0" w:after="0"/>
              <w:ind w:left="0" w:right="0" w:hanging="0"/>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Intangible assets (contract)</w:t>
            </w:r>
          </w:p>
        </w:tc>
        <w:tc>
          <w:tcPr>
            <w:tcW w:w="242"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132</w:t>
            </w:r>
          </w:p>
        </w:tc>
        <w:tc>
          <w:tcPr>
            <w:tcW w:w="249" w:type="dxa"/>
            <w:tcBorders/>
            <w:shd w:fill="CCEEFF" w:val="clear"/>
            <w:vAlign w:val="bottom"/>
          </w:tcPr>
          <w:p>
            <w:pPr>
              <w:pStyle w:val="TableContents"/>
              <w:spacing w:before="0" w:after="0"/>
              <w:ind w:left="0" w:right="0" w:hanging="0"/>
              <w:rPr/>
            </w:pPr>
            <w:r>
              <w:rPr/>
              <w:t> </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Goodwill</w:t>
            </w:r>
          </w:p>
        </w:tc>
        <w:tc>
          <w:tcPr>
            <w:tcW w:w="24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49" w:type="dxa"/>
            <w:tcBorders/>
            <w:shd w:fill="auto" w:val="clear"/>
            <w:vAlign w:val="bottom"/>
          </w:tcPr>
          <w:p>
            <w:pPr>
              <w:pStyle w:val="TableContents"/>
              <w:spacing w:before="0" w:after="0"/>
              <w:ind w:left="0" w:right="0" w:hanging="0"/>
              <w:rPr/>
            </w:pPr>
            <w:r>
              <w:rPr/>
              <w:t> </w:t>
            </w:r>
          </w:p>
        </w:tc>
        <w:tc>
          <w:tcPr>
            <w:tcW w:w="13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auto" w:val="clear"/>
            <w:vAlign w:val="bottom"/>
          </w:tcPr>
          <w:p>
            <w:pPr>
              <w:pStyle w:val="TableContents"/>
              <w:spacing w:before="0" w:after="0"/>
              <w:ind w:left="0" w:right="0" w:hanging="0"/>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Receivable for indemnified contingent tax liability</w:t>
            </w:r>
          </w:p>
        </w:tc>
        <w:tc>
          <w:tcPr>
            <w:tcW w:w="242"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49" w:type="dxa"/>
            <w:tcBorders/>
            <w:shd w:fill="CCEEFF" w:val="clear"/>
            <w:vAlign w:val="bottom"/>
          </w:tcPr>
          <w:p>
            <w:pPr>
              <w:pStyle w:val="TableContents"/>
              <w:spacing w:before="0" w:after="0"/>
              <w:ind w:left="0" w:right="0" w:hanging="0"/>
              <w:rPr/>
            </w:pPr>
            <w:r>
              <w:rPr/>
              <w:t> </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Contingent tax liability</w:t>
            </w:r>
          </w:p>
        </w:tc>
        <w:tc>
          <w:tcPr>
            <w:tcW w:w="24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(89</w:t>
            </w:r>
          </w:p>
        </w:tc>
        <w:tc>
          <w:tcPr>
            <w:tcW w:w="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auto" w:val="clear"/>
            <w:vAlign w:val="bottom"/>
          </w:tcPr>
          <w:p>
            <w:pPr>
              <w:pStyle w:val="TableContents"/>
              <w:spacing w:before="0" w:after="0"/>
              <w:ind w:left="0" w:right="0" w:hanging="0"/>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tax liability</w:t>
            </w:r>
          </w:p>
        </w:tc>
        <w:tc>
          <w:tcPr>
            <w:tcW w:w="242" w:type="dxa"/>
            <w:tcBorders/>
            <w:shd w:fill="CCEEFF" w:val="clear"/>
            <w:vAlign w:val="bottom"/>
          </w:tcPr>
          <w:p>
            <w:pPr>
              <w:pStyle w:val="TableContents"/>
              <w:spacing w:before="0" w:after="0"/>
              <w:ind w:left="0" w:right="0" w:hanging="0"/>
              <w:rPr/>
            </w:pPr>
            <w:r>
              <w:rPr/>
              <w:t> </w:t>
            </w:r>
          </w:p>
        </w:tc>
        <w:tc>
          <w:tcPr>
            <w:tcW w:w="122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(244</w:t>
            </w:r>
          </w:p>
        </w:tc>
        <w:tc>
          <w:tcPr>
            <w:tcW w:w="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Environmental liability</w:t>
            </w:r>
          </w:p>
        </w:tc>
        <w:tc>
          <w:tcPr>
            <w:tcW w:w="242" w:type="dxa"/>
            <w:tcBorders/>
            <w:shd w:fill="auto" w:val="clear"/>
            <w:vAlign w:val="bottom"/>
          </w:tcPr>
          <w:p>
            <w:pPr>
              <w:pStyle w:val="TableContents"/>
              <w:spacing w:before="0" w:after="0"/>
              <w:ind w:left="0" w:right="0" w:hanging="0"/>
              <w:rPr/>
            </w:pPr>
            <w:r>
              <w:rPr/>
              <w:t> </w:t>
            </w:r>
          </w:p>
        </w:tc>
        <w:tc>
          <w:tcPr>
            <w:tcW w:w="122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w:t>
            </w:r>
          </w:p>
        </w:tc>
        <w:tc>
          <w:tcPr>
            <w:tcW w:w="24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auto" w:val="clear"/>
            <w:vAlign w:val="bottom"/>
          </w:tcPr>
          <w:p>
            <w:pPr>
              <w:pStyle w:val="TableContents"/>
              <w:spacing w:before="0" w:after="0"/>
              <w:ind w:left="0" w:right="0" w:hanging="0"/>
              <w:rPr/>
            </w:pPr>
            <w:r>
              <w:rPr/>
              <w:t> </w:t>
            </w:r>
          </w:p>
        </w:tc>
      </w:tr>
      <w:tr>
        <w:trPr/>
        <w:tc>
          <w:tcPr>
            <w:tcW w:w="496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long-term liabilities</w:t>
            </w:r>
          </w:p>
        </w:tc>
        <w:tc>
          <w:tcPr>
            <w:tcW w:w="242" w:type="dxa"/>
            <w:tcBorders/>
            <w:shd w:fill="CCEEFF" w:val="clear"/>
            <w:vAlign w:val="bottom"/>
          </w:tcPr>
          <w:p>
            <w:pPr>
              <w:pStyle w:val="TableContents"/>
              <w:spacing w:before="0" w:after="0"/>
              <w:ind w:left="0" w:right="0" w:hanging="0"/>
              <w:rPr/>
            </w:pPr>
            <w:r>
              <w:rPr/>
              <w:t> </w:t>
            </w:r>
          </w:p>
        </w:tc>
        <w:tc>
          <w:tcPr>
            <w:tcW w:w="122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c>
          <w:tcPr>
            <w:tcW w:w="24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39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n/a</w:t>
            </w:r>
          </w:p>
        </w:tc>
        <w:tc>
          <w:tcPr>
            <w:tcW w:w="99" w:type="dxa"/>
            <w:tcBorders/>
            <w:shd w:fill="CCEEFF" w:val="clear"/>
            <w:vAlign w:val="bottom"/>
          </w:tcPr>
          <w:p>
            <w:pPr>
              <w:pStyle w:val="TableContents"/>
              <w:spacing w:before="0" w:after="0"/>
              <w:ind w:left="0" w:right="0" w:hanging="0"/>
              <w:rPr/>
            </w:pPr>
            <w:r>
              <w:rPr/>
              <w:t> </w:t>
            </w:r>
          </w:p>
        </w:tc>
      </w:tr>
      <w:tr>
        <w:trPr/>
        <w:tc>
          <w:tcPr>
            <w:tcW w:w="496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42" w:type="dxa"/>
            <w:tcBorders/>
            <w:shd w:fill="auto" w:val="clear"/>
            <w:vAlign w:val="bottom"/>
          </w:tcPr>
          <w:p>
            <w:pPr>
              <w:pStyle w:val="TableContents"/>
              <w:spacing w:before="0" w:after="0"/>
              <w:ind w:left="0" w:right="0" w:hanging="0"/>
              <w:rPr/>
            </w:pPr>
            <w:r>
              <w:rPr/>
              <w:t> </w:t>
            </w:r>
          </w:p>
        </w:tc>
        <w:tc>
          <w:tcPr>
            <w:tcW w:w="111"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1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1,683</w:t>
            </w:r>
          </w:p>
        </w:tc>
        <w:tc>
          <w:tcPr>
            <w:tcW w:w="249" w:type="dxa"/>
            <w:tcBorders/>
            <w:shd w:fill="auto" w:val="clear"/>
            <w:vAlign w:val="bottom"/>
          </w:tcPr>
          <w:p>
            <w:pPr>
              <w:pStyle w:val="TableContents"/>
              <w:spacing w:before="0" w:after="0"/>
              <w:ind w:left="0" w:right="0" w:hanging="0"/>
              <w:rPr/>
            </w:pPr>
            <w:r>
              <w:rPr/>
              <w:t> </w:t>
            </w:r>
          </w:p>
        </w:tc>
        <w:tc>
          <w:tcPr>
            <w:tcW w:w="1393" w:type="dxa"/>
            <w:tcBorders/>
            <w:shd w:fill="auto" w:val="clear"/>
            <w:vAlign w:val="bottom"/>
          </w:tcPr>
          <w:p>
            <w:pPr>
              <w:pStyle w:val="TableContents"/>
              <w:spacing w:before="0" w:after="0"/>
              <w:ind w:left="0" w:right="0" w:hanging="0"/>
              <w:jc w:val="right"/>
              <w:rPr/>
            </w:pPr>
            <w:r>
              <w:rPr/>
              <w:t> </w:t>
            </w:r>
          </w:p>
        </w:tc>
        <w:tc>
          <w:tcPr>
            <w:tcW w:w="99"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determination of the fair value of the assets and liabilities acquired is preliminary pending the completion of valuation procedures and other potential adjustments.  To the extent that any amount is assigned to a tangible or finite lived intangible asset, this amount will be depreciated or amortized (as appropriate) to earnings over the expected period of benefit of the asset. To the extent that any amount remains as goodwill or indefinite lived intangible assets, this amount would not be subject to depreciation or amortization, but would be subject to periodic impairment testing and, if necessary, would be written down to fair value should circumstances warrant.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preliminary allocation of fair value to intangible assets above is comprised of a contract with a 14 year life.  Amortization of the contract under the declining balance method of amortization is estimated to be approximately $39 million for the remaining nine months of 2012 and approximately $30 million, $10 million, $8 million, $7 million and $6 million for each of the five years thereafter.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acquisition was pre-funded through various means including the issuance of PAAs common units in March 2012 and the issuance of senior notes in March 2012.  For purposes of the pro forma financial statements, we have assumed that the short-term portion of the acquisition (consisting of short-term inventory of approximately $132 million and cash acquired of approximately $120 million) was funded through short-term borrowings under our credit facilities.  PAA has assumed that the $120 million of short-term borrowings discussed above was immediately repaid through the cash acquired and thus, did not incur any additional interest expense. Total long-term funding was approximately $1.43 billion and we have assumed that $455 million was funded through the March 2012 equity issuance and the remaining balance of $976 was funded through the March 2012 issuance of senior notes.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F-6</w:t>
      </w:r>
      <w:bookmarkStart w:id="20" w:name="PB_6_172500_2897"/>
      <w:bookmarkEnd w:id="2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PLAINS ALL AMERICAN PIPELINE, L.P. AND SUBSIDIARIES </w:t>
        <w:br/>
        <w:t>NOTES TO UNAUDITED PRO FORMA CONDENSED COMBINED FINANCIAL STATEMENTS</w:t>
      </w:r>
    </w:p>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b/>
          <w:i/>
          <w:sz w:val="17"/>
        </w:rPr>
      </w:pPr>
      <w:r>
        <w:rPr>
          <w:rFonts w:ascii="Times New Roman" w:hAnsi="Times New Roman"/>
          <w:b/>
          <w:i/>
          <w:sz w:val="17"/>
        </w:rPr>
        <w:t>Pro Forma Adjustments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Reflects the impact of the March 2012 issuance of PAAs common units on the weighted average number of units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Reflects the cash paid and the adjustments to fair value of the assets purchased and liabilities assumed in the acquisition of BPCEC based on the acquisition method of accounting. A deposit of $50 million had been paid during 2011 towards the purchase price and that deposit (and the related interest of approximately $1 million) is reflected as an adjustment to Other current assets on the Pro Forma Condensed Combined Balance Sheet. The remaining $1.63 billion of the purchase price is reflected as a reduction to Restricted cash on the Pro Forma Condensed Combined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Reflects the reversal of the historical depreciation and amortization recorded by BPCEC (excluding that associated with asset retirement obligations  see note g.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Reflects the depreciation on the acquired property and equipment based on the straight-line method of depreciation over remaining average useful lives ranging from 5 to 70 years. Also reflects the amortization of the intangible asset (contract) on the declining balance method resulting in amortization expense of $52 million and $13 million for the year ended December 31, 2011 and the quarter ended March 31, 2012.  The pro forma amortization expense is calculated based on an extrapolation of the estimated $39 million amortization expense for the remaining nine months of 2012, using the declining balance method of amortization as discussed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Reflects the adjustment to Interest expense for the increase in Short-term debt of $132 million and for the increase in Senior notes of $976 million. This adjustment assumes an interest rate applied to short-term debt of 2.3% (PAAs current rate) and an interest rate of 4.3% applied to the senior notes.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Reflects the adjustments required to conform the BPCEC historical financial statements to PAAs accounting policy for inventory costing. BPCECs inventory is valued at the lower of cost or net realizable value with cost determined by the first-in, first out method.  PAA inventory is valued at the lower of cost or market with cost determined using an average cost method within specific inventory pools.  The pro forma adjustments to conform the BPCEC financial statements to the PAA accounting policy impacts the cost of the inventory sold as reflected in Purchases and related costs in the Pro Forma Condensed Statement of Combined Operations.  The pro forma value for Inventory as reflected in the Pro Forma Condensed Combined Balance Sheet is based on the fair value of the inventory as discussed in footnote 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Reflects the adjustments required to conform the BPCEC historical financial statements to PAAs accounting policy for asset retirement obligations. BPCEC has obligations to decommission oil and natural gas facilities and related pipelines.  Provision has been made in the BPCEC historical financial statements for the asset retirement obligations (ARO) and the related assets as well as associated amortization and accretion expense.  There is uncertainty regarding both the amount and the timing of these costs, given the long-term nature of these obligations.  BPCEC has historically assessed the timing of the decommissioning and their ability to estimate the future costs based on the operation of the assets in conjunction with other assets owned by BP p.l.c. and its affiliates.  We have considered that the related assets have been in existence for many years and with regular maintenance will continue in service for many years to come.  We do not believe that it is possible to predict when demand for these facilities will cease, and we do not believe that such demand will cease for the foreseeable future.  As such, we believe that the assets have indeterminate lives and consequently that an ARO cannot be estimated.  Therefore, the unaudited pro forma condensed combined financial statements include an adjustment to conform the ARO-related balances in the BPCEC historical financial statements to our accounting policy.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Reflects the adjustments required to conform the BPCEC historical financial statements to PAAs accounting policy for Linefill and Long-term inventory. The BPCEC historical financials include all balances related to inventory in current assets. PAA classifies as Linefill those barrels (i) used to pack the pipeline such that when an incremental product is injected into or enters a pipeline it forces product out at another location and (ii) that represent the minimum working requirements in tanks that we own. Minimum working inventory requirements in third-party assets and other working inventory in our assets that is needed for our commercial operations are included within specific inventory pools. At the end of each period, we reclassify the inventory not expected to be liquidated within the succeeding twelve months out of Inventory and into Long-term inventory, which is reflected as a separate line item in Other assets on the consolidated balance sheet. Therefore, the unaudited pro forma condensed combined financial statements include an adjustment to conform the linefill-related balances and long-term inventory-related balances in the BPCEC historical financial statements to our accounting policy.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F-7</w:t>
      </w:r>
      <w:bookmarkStart w:id="21" w:name="PB_7_172552_3020"/>
      <w:bookmarkEnd w:id="2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 xml:space="preserve">PLAINS ALL AMERICAN PIPELINE, L.P. AND SUBSIDIARIES </w:t>
        <w:br/>
        <w:t>NOTES TO UNAUDITED PRO FORMA CONDENSED COMBINED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Reflects adjustments to eliminate the income and expenses associated with certain assets and liabilities that are included in the BPCEC historical financial statements but were disposed of prior to closing the acquisition.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Reflects the impact of the adjustments in footnotes a through i (above) and footnote m (below) on Income tax expense for the periods presented, based on the capitalization and financing structure of our Canadian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Reflects an adjustment to present a contingent tax liability and the offsetting indemnification of that amount. BPCEC has a contingent tax liability provision of $89 million related to benefits recorded in Canada for uncertain tax positions as at March 31, 2012.  Pursuant to the Share Purchase Agreement, the Seller is required to indemnify PAA for all periods prior to the acquisition for any tax liabilities including interest and penalties arising from all entities that PAA is acquiring.  The contingent tax liability and associated indemnification are presented on the Pro Forma Condensed Combined Balance Sheet in Other current liabilities and Other current assets,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Reflects the cash paid to PAA by the Seller upon closing the acquisition. In accordance with the terms of the Share Purchase Agreement, PAA was entitled to the cash flows from the operations of BPCEC for the period between October 1, 2011 and the closing date of the acquisition. The cash flows for that period are estimated to be $120 million and that amount was paid to PAA upon closing. The cash paid to PAA also includes an amount of $34 million related to a pension liability that was not included on the March 31, 2012 historical balance sheet of Project Argyle. That liability was assumed by PAA and cash equivalent to the liability was provided to PAA by the Seller through an escrow account. The pension liability was settled by PAA on April 2, 2012. The total $154 million cash was not included on the historical balance sheet of Project Argyle as of March 31, 2012 but was paid to PAA upon closing the acquisition on April 1,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Reflects transaction and other costs that are directly attributable to the acquisition. Costs that had been incurred prior to closing the acquisition have been removed from General and administrative expenses on the Pro Forma Condensed Statement of Combined Operations. Costs that are expected to be incurred subsequent to closing the acquisition are reflected as an adjustment to Accounts payable and accrued liabilities on the Pro Forma Condensed Combined Balance Sheet, with the offset to Partners capital and net parent investment.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Pro Forma Net Income Per Limited Partner Unit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 forma net income per unit is determined by dividing the pro forma net income that would have been allocated, in accordance with the provisions of PAAs limited partnership agreement, to the limited partner unitholders by the number of common units outstanding during the applicable periods. For purposes of this calculation, we assumed that distributions were equal to historical PAA distributions for the respective periods; all remaining excess earnings were assumed to be allocated between the limited partners and the general partner according to the contractual terms of the partnership agreement. If an additional portion of the earnings had been distributed to the general partner, then the pro forma net income available to limited partners would have decreased and consequently, the pro forma net income per limited partner unit would also have decreased. Because the limited partnership agreement requires us to distribute available cash rather than earnings reflected in our statement of operations and the pro forma net income per unit calculation has been prepared on an annual basis in lieu of a quarterly basis, actual cash distributions declared and paid by us may vary significantly from reported pro forma net income per limited partner unit.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F-8</w:t>
      </w:r>
      <w:bookmarkStart w:id="22" w:name="PB_8_172557_7748"/>
      <w:bookmarkEnd w:id="2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bookmarkStart w:id="23" w:name="a11-31419_1ex99d2.htm"/>
        <w:bookmarkStart w:id="24" w:name="ksa1131419_1ex99d2"/>
        <w:bookmarkEnd w:id="23"/>
        <w:bookmarkEnd w:id="24"/>
        <w:r>
          <w:rPr>
            <w:rStyle w:val="InternetLink"/>
            <w:rFonts w:ascii="Times New Roman" w:hAnsi="Times New Roman"/>
            <w:sz w:val="17"/>
          </w:rPr>
          <w:t>Table of Contents</w:t>
        </w:r>
      </w:hyperlink>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sz w:val="17"/>
        </w:rPr>
      </w:pPr>
      <w:r>
        <w:rPr>
          <w:rFonts w:ascii="Times New Roman" w:hAnsi="Times New Roman"/>
          <w:b/>
          <w:sz w:val="17"/>
        </w:rPr>
        <w:t>Exhibit 99.2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(With Independent Auditors Report Thereon)</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bookmarkStart w:id="25" w:name="TableOfContents1"/>
      <w:bookmarkEnd w:id="25"/>
      <w:r>
        <w:rPr>
          <w:rFonts w:ascii="Times New Roman" w:hAnsi="Times New Roman"/>
          <w:b/>
          <w:sz w:val="17"/>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9586"/>
        <w:gridCol w:w="103"/>
        <w:gridCol w:w="516"/>
      </w:tblGrid>
      <w:tr>
        <w:trPr/>
        <w:tc>
          <w:tcPr>
            <w:tcW w:w="9586" w:type="dxa"/>
            <w:tcBorders/>
            <w:shd w:fill="auto" w:val="clear"/>
            <w:vAlign w:val="bottom"/>
          </w:tcPr>
          <w:p>
            <w:pPr>
              <w:pStyle w:val="TableContents"/>
              <w:spacing w:before="0" w:after="0"/>
              <w:ind w:left="0" w:right="0" w:hanging="0"/>
              <w:rPr/>
            </w:pPr>
            <w:r>
              <w:rPr/>
              <w:t> </w:t>
            </w:r>
          </w:p>
        </w:tc>
        <w:tc>
          <w:tcPr>
            <w:tcW w:w="103" w:type="dxa"/>
            <w:tcBorders/>
            <w:shd w:fill="auto" w:val="clear"/>
            <w:vAlign w:val="bottom"/>
          </w:tcPr>
          <w:p>
            <w:pPr>
              <w:pStyle w:val="TableContents"/>
              <w:spacing w:before="0" w:after="0"/>
              <w:ind w:left="0" w:right="0" w:hanging="0"/>
              <w:rPr/>
            </w:pPr>
            <w:r>
              <w:rPr/>
              <w:t> </w:t>
            </w:r>
          </w:p>
        </w:tc>
        <w:tc>
          <w:tcPr>
            <w:tcW w:w="516"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Page</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IndependentAuditorsReportOfRegist_221324">
              <w:r>
                <w:rPr>
                  <w:rStyle w:val="InternetLink"/>
                  <w:rFonts w:ascii="Times New Roman" w:hAnsi="Times New Roman"/>
                  <w:sz w:val="17"/>
                </w:rPr>
                <w:t>Independent Auditors Report</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BalanceSheets_221218">
              <w:r>
                <w:rPr>
                  <w:rStyle w:val="InternetLink"/>
                  <w:rFonts w:ascii="Times New Roman" w:hAnsi="Times New Roman"/>
                  <w:sz w:val="17"/>
                </w:rPr>
                <w:t>Balance sheets  As of December 31, 2011 and 2010</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StatementsOfComprehensiveIncome_221226">
              <w:r>
                <w:rPr>
                  <w:rStyle w:val="InternetLink"/>
                  <w:rFonts w:ascii="Times New Roman" w:hAnsi="Times New Roman"/>
                  <w:sz w:val="17"/>
                </w:rPr>
                <w:t>Statements of Comprehensive Income  Years ended December 31, 2011 and 2010</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StatementsOfChangeInNetParentInve_221303">
              <w:r>
                <w:rPr>
                  <w:rStyle w:val="InternetLink"/>
                  <w:rFonts w:ascii="Times New Roman" w:hAnsi="Times New Roman"/>
                  <w:sz w:val="17"/>
                </w:rPr>
                <w:t>Statements of Change in Net Parent Investment  Years ended December 31, 2011 and 2010</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StatementsOfCashFlows_221312">
              <w:r>
                <w:rPr>
                  <w:rStyle w:val="InternetLink"/>
                  <w:rFonts w:ascii="Times New Roman" w:hAnsi="Times New Roman"/>
                  <w:sz w:val="17"/>
                </w:rPr>
                <w:t>Statements of Cash Flows  Years ended December 31, 2011 and 2010</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w:t>
            </w:r>
          </w:p>
        </w:tc>
      </w:tr>
      <w:tr>
        <w:trPr/>
        <w:tc>
          <w:tcPr>
            <w:tcW w:w="9586" w:type="dxa"/>
            <w:tcBorders/>
            <w:shd w:fill="auto" w:val="clear"/>
          </w:tcPr>
          <w:p>
            <w:pPr>
              <w:pStyle w:val="TableContents"/>
              <w:spacing w:before="0" w:after="0"/>
              <w:ind w:left="0" w:right="0" w:hanging="0"/>
              <w:rPr/>
            </w:pPr>
            <w:r>
              <w:rPr/>
              <w:t> </w:t>
            </w:r>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pPr>
            <w:r>
              <w:rPr/>
              <w:t> </w:t>
            </w:r>
          </w:p>
        </w:tc>
      </w:tr>
      <w:tr>
        <w:trPr/>
        <w:tc>
          <w:tcPr>
            <w:tcW w:w="9586" w:type="dxa"/>
            <w:tcBorders/>
            <w:shd w:fill="auto" w:val="clear"/>
          </w:tcPr>
          <w:p>
            <w:pPr>
              <w:pStyle w:val="TableContents"/>
              <w:spacing w:before="0" w:after="0"/>
              <w:ind w:left="0" w:right="0" w:hanging="0"/>
              <w:rPr/>
            </w:pPr>
            <w:hyperlink w:anchor="NotesToFinancialStatements_221346">
              <w:r>
                <w:rPr>
                  <w:rStyle w:val="InternetLink"/>
                  <w:rFonts w:ascii="Times New Roman" w:hAnsi="Times New Roman"/>
                  <w:sz w:val="17"/>
                </w:rPr>
                <w:t>Notes to Financial Statements  Years ended December 31, 2011 and 2010</w:t>
              </w:r>
            </w:hyperlink>
          </w:p>
        </w:tc>
        <w:tc>
          <w:tcPr>
            <w:tcW w:w="103" w:type="dxa"/>
            <w:tcBorders/>
            <w:shd w:fill="auto" w:val="clear"/>
          </w:tcPr>
          <w:p>
            <w:pPr>
              <w:pStyle w:val="TableContents"/>
              <w:spacing w:before="0" w:after="0"/>
              <w:ind w:left="0" w:right="0" w:hanging="0"/>
              <w:rPr/>
            </w:pPr>
            <w:r>
              <w:rPr/>
              <w:t> </w:t>
            </w:r>
          </w:p>
        </w:tc>
        <w:tc>
          <w:tcPr>
            <w:tcW w:w="516"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990"/>
        <w:gridCol w:w="2215"/>
      </w:tblGrid>
      <w:tr>
        <w:trPr/>
        <w:tc>
          <w:tcPr>
            <w:tcW w:w="7990" w:type="dxa"/>
            <w:tcBorders/>
            <w:shd w:fill="auto" w:val="clear"/>
          </w:tcPr>
          <w:p>
            <w:pPr>
              <w:pStyle w:val="TableContents"/>
              <w:spacing w:before="0" w:after="0"/>
              <w:ind w:left="0" w:right="0" w:hanging="0"/>
              <w:rPr/>
            </w:pPr>
            <w:r>
              <w:rPr/>
              <w:drawing>
                <wp:inline distT="0" distB="0" distL="0" distR="0">
                  <wp:extent cx="5029200" cy="1543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029200" cy="1543050"/>
                          </a:xfrm>
                          <a:prstGeom prst="rect">
                            <a:avLst/>
                          </a:prstGeom>
                        </pic:spPr>
                      </pic:pic>
                    </a:graphicData>
                  </a:graphic>
                </wp:inline>
              </w:drawing>
            </w:r>
          </w:p>
        </w:tc>
        <w:tc>
          <w:tcPr>
            <w:tcW w:w="2215" w:type="dxa"/>
            <w:tcBorders/>
            <w:shd w:fill="auto" w:val="clear"/>
            <w:vAlign w:val="bottom"/>
          </w:tcPr>
          <w:p>
            <w:pPr>
              <w:pStyle w:val="TableContents"/>
              <w:spacing w:before="0" w:after="0"/>
              <w:ind w:left="0" w:right="0" w:hanging="0"/>
              <w:rPr>
                <w:rFonts w:ascii="Times New Roman" w:hAnsi="Times New Roman"/>
                <w:b/>
                <w:sz w:val="17"/>
              </w:rPr>
            </w:pPr>
            <w:r>
              <w:rPr>
                <w:rFonts w:ascii="Times New Roman" w:hAnsi="Times New Roman"/>
                <w:b/>
                <w:sz w:val="17"/>
              </w:rPr>
              <w:t>Ernst &amp; Young LLP</w:t>
            </w:r>
          </w:p>
          <w:p>
            <w:pPr>
              <w:pStyle w:val="TableContents"/>
              <w:spacing w:before="0" w:after="0"/>
              <w:ind w:left="0" w:right="0" w:hanging="0"/>
              <w:rPr>
                <w:rFonts w:ascii="Times New Roman" w:hAnsi="Times New Roman"/>
                <w:b/>
                <w:sz w:val="17"/>
              </w:rPr>
            </w:pPr>
            <w:r>
              <w:rPr>
                <w:rFonts w:ascii="Times New Roman" w:hAnsi="Times New Roman"/>
                <w:b/>
                <w:sz w:val="17"/>
              </w:rPr>
              <w:t>Chartered Accountants</w:t>
            </w:r>
          </w:p>
          <w:p>
            <w:pPr>
              <w:pStyle w:val="TableContents"/>
              <w:spacing w:before="0" w:after="0"/>
              <w:ind w:left="0" w:right="0" w:hanging="0"/>
              <w:rPr>
                <w:rFonts w:ascii="Times New Roman" w:hAnsi="Times New Roman"/>
                <w:sz w:val="17"/>
              </w:rPr>
            </w:pPr>
            <w:r>
              <w:rPr>
                <w:rFonts w:ascii="Times New Roman" w:hAnsi="Times New Roman"/>
                <w:sz w:val="17"/>
              </w:rPr>
              <w:t>Ernst &amp; Young Tower</w:t>
            </w:r>
          </w:p>
          <w:p>
            <w:pPr>
              <w:pStyle w:val="TableContents"/>
              <w:spacing w:before="0" w:after="0"/>
              <w:ind w:left="0" w:right="0" w:hanging="0"/>
              <w:rPr>
                <w:rFonts w:ascii="Times New Roman" w:hAnsi="Times New Roman"/>
                <w:sz w:val="17"/>
              </w:rPr>
            </w:pPr>
            <w:r>
              <w:rPr>
                <w:rFonts w:ascii="Times New Roman" w:hAnsi="Times New Roman"/>
                <w:sz w:val="17"/>
              </w:rPr>
              <w:t>1000, 440 2nd Avenue S.W.</w:t>
            </w:r>
          </w:p>
          <w:p>
            <w:pPr>
              <w:pStyle w:val="TableContents"/>
              <w:spacing w:before="0" w:after="0"/>
              <w:ind w:left="0" w:right="0" w:hanging="0"/>
              <w:rPr>
                <w:rFonts w:ascii="Times New Roman" w:hAnsi="Times New Roman"/>
                <w:sz w:val="17"/>
              </w:rPr>
            </w:pPr>
            <w:r>
              <w:rPr>
                <w:rFonts w:ascii="Times New Roman" w:hAnsi="Times New Roman"/>
                <w:sz w:val="17"/>
              </w:rPr>
              <w:t>Calgary, Alberta T2P 5E9</w:t>
            </w:r>
          </w:p>
          <w:p>
            <w:pPr>
              <w:pStyle w:val="TableContents"/>
              <w:spacing w:before="0" w:after="0"/>
              <w:ind w:left="0" w:right="0" w:hanging="0"/>
              <w:rPr/>
            </w:pPr>
            <w:r>
              <w:rPr/>
              <w:t> </w:t>
            </w:r>
          </w:p>
        </w:tc>
      </w:tr>
      <w:tr>
        <w:trPr/>
        <w:tc>
          <w:tcPr>
            <w:tcW w:w="7990" w:type="dxa"/>
            <w:tcBorders/>
            <w:shd w:fill="auto" w:val="clear"/>
          </w:tcPr>
          <w:p>
            <w:pPr>
              <w:pStyle w:val="TableContents"/>
              <w:spacing w:before="0" w:after="0"/>
              <w:ind w:left="0" w:right="0" w:hanging="0"/>
              <w:rPr/>
            </w:pPr>
            <w:r>
              <w:rPr/>
              <w:t> </w:t>
            </w:r>
          </w:p>
        </w:tc>
        <w:tc>
          <w:tcPr>
            <w:tcW w:w="2215"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Tel: 403 290 4100</w:t>
            </w:r>
          </w:p>
          <w:p>
            <w:pPr>
              <w:pStyle w:val="TableContents"/>
              <w:spacing w:before="0" w:after="0"/>
              <w:ind w:left="0" w:right="0" w:hanging="0"/>
              <w:rPr>
                <w:rFonts w:ascii="Times New Roman" w:hAnsi="Times New Roman"/>
                <w:sz w:val="17"/>
              </w:rPr>
            </w:pPr>
            <w:r>
              <w:rPr>
                <w:rFonts w:ascii="Times New Roman" w:hAnsi="Times New Roman"/>
                <w:sz w:val="17"/>
              </w:rPr>
              <w:t>Fax: 403 290 4265</w:t>
            </w:r>
          </w:p>
          <w:p>
            <w:pPr>
              <w:pStyle w:val="TableContents"/>
              <w:spacing w:before="0" w:after="0"/>
              <w:ind w:left="0" w:right="0" w:hanging="0"/>
              <w:rPr>
                <w:rFonts w:ascii="Times New Roman" w:hAnsi="Times New Roman"/>
                <w:sz w:val="17"/>
              </w:rPr>
            </w:pPr>
            <w:r>
              <w:rPr>
                <w:rFonts w:ascii="Times New Roman" w:hAnsi="Times New Roman"/>
                <w:sz w:val="17"/>
              </w:rPr>
              <w:t>ey.com/ca</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INDEPENDENT AUDITORS REPORT OF REGISTERED PUBLIC ACCOUNTING FIRM</w:t>
      </w:r>
      <w:bookmarkStart w:id="26" w:name="IndependentAuditorsReportOfRegist_221324"/>
      <w:bookmarkEnd w:id="26"/>
    </w:p>
    <w:p>
      <w:pPr>
        <w:pStyle w:val="TextBody"/>
        <w:spacing w:before="0" w:after="0"/>
        <w:ind w:left="0" w:right="0" w:hanging="0"/>
        <w:jc w:val="right"/>
        <w:rPr/>
      </w:pPr>
      <w:r>
        <w:rPr/>
        <w:t> </w:t>
      </w:r>
    </w:p>
    <w:p>
      <w:pPr>
        <w:pStyle w:val="TextBody"/>
        <w:spacing w:before="0" w:after="0"/>
        <w:ind w:left="0" w:right="0" w:hanging="0"/>
        <w:rPr>
          <w:rFonts w:ascii="Times New Roman" w:hAnsi="Times New Roman"/>
          <w:b/>
          <w:sz w:val="17"/>
        </w:rPr>
      </w:pPr>
      <w:r>
        <w:rPr>
          <w:rFonts w:ascii="Times New Roman" w:hAnsi="Times New Roman"/>
          <w:b/>
          <w:sz w:val="17"/>
        </w:rPr>
        <w:t>To the Board of Directors of BP Canada Energy Company and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have audited the accompanying balance sheets of Project Argyle, a business wholly owned by BP p.l.c (the Company) and its affiliates, as of December 31, 2011 and 2010, and the related statements of comprehensive income, change in net parent investment and cash flows for the years then ended. These financial statements are the responsibility of the Companys management. Our responsibility is to express an opinion on these financial statements based on our audits.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Project Argyles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Project Argyles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our opinion, the financial statements referred to above present fairly, in all material respects, the financial position of Project Argyle at December 31, 2011 and 2010, and the results of its operations and its cash flows for the years then ended, in conformity with International Financial Reporting Standards as issued by the International Accounting Standards Board.</w:t>
      </w:r>
    </w:p>
    <w:p>
      <w:pPr>
        <w:pStyle w:val="TextBody"/>
        <w:spacing w:before="0" w:after="0"/>
        <w:ind w:left="0" w:right="0" w:hanging="0"/>
        <w:jc w:val="center"/>
        <w:rPr/>
      </w:pPr>
      <w:r>
        <w:rPr/>
        <w:t> </w:t>
      </w:r>
    </w:p>
    <w:p>
      <w:pPr>
        <w:pStyle w:val="TextBody"/>
        <w:spacing w:before="0" w:after="0"/>
        <w:ind w:left="0" w:right="0" w:hanging="0"/>
        <w:jc w:val="right"/>
        <w:rPr/>
      </w:pPr>
      <w:r>
        <w:rPr/>
        <w:t> </w:t>
      </w:r>
    </w:p>
    <w:tbl>
      <w:tblPr>
        <w:tblW w:w="5000" w:type="pct"/>
        <w:jc w:val="left"/>
        <w:tblInd w:w="0" w:type="dxa"/>
        <w:tblCellMar>
          <w:top w:w="0" w:type="dxa"/>
          <w:left w:w="0" w:type="dxa"/>
          <w:bottom w:w="0" w:type="dxa"/>
          <w:right w:w="0" w:type="dxa"/>
        </w:tblCellMar>
      </w:tblPr>
      <w:tblGrid>
        <w:gridCol w:w="5257"/>
        <w:gridCol w:w="4948"/>
      </w:tblGrid>
      <w:tr>
        <w:trPr/>
        <w:tc>
          <w:tcPr>
            <w:tcW w:w="5257" w:type="dxa"/>
            <w:tcBorders/>
            <w:shd w:fill="auto" w:val="clear"/>
          </w:tcPr>
          <w:p>
            <w:pPr>
              <w:pStyle w:val="TableContents"/>
              <w:spacing w:before="0" w:after="0"/>
              <w:ind w:left="0" w:right="0" w:hanging="0"/>
              <w:rPr/>
            </w:pPr>
            <w:r>
              <w:rPr/>
              <w:t> </w:t>
            </w:r>
          </w:p>
        </w:tc>
        <w:tc>
          <w:tcPr>
            <w:tcW w:w="4948" w:type="dxa"/>
            <w:tcBorders/>
            <w:shd w:fill="auto" w:val="clear"/>
          </w:tcPr>
          <w:p>
            <w:pPr>
              <w:pStyle w:val="TableContents"/>
              <w:spacing w:before="0" w:after="0"/>
              <w:ind w:left="0" w:right="0" w:hanging="0"/>
              <w:jc w:val="right"/>
              <w:rPr/>
            </w:pPr>
            <w:r>
              <w:rPr/>
              <w:drawing>
                <wp:inline distT="0" distB="0" distL="0" distR="0">
                  <wp:extent cx="2038350"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8350" cy="400050"/>
                          </a:xfrm>
                          <a:prstGeom prst="rect">
                            <a:avLst/>
                          </a:prstGeom>
                        </pic:spPr>
                      </pic:pic>
                    </a:graphicData>
                  </a:graphic>
                </wp:inline>
              </w:drawing>
            </w:r>
          </w:p>
        </w:tc>
      </w:tr>
      <w:tr>
        <w:trPr/>
        <w:tc>
          <w:tcPr>
            <w:tcW w:w="5257" w:type="dxa"/>
            <w:tcBorders/>
            <w:shd w:fill="auto" w:val="clear"/>
          </w:tcPr>
          <w:p>
            <w:pPr>
              <w:pStyle w:val="TableContents"/>
              <w:spacing w:before="0" w:after="0"/>
              <w:ind w:left="0" w:right="0" w:hanging="0"/>
              <w:rPr/>
            </w:pPr>
            <w:r>
              <w:rPr/>
              <w:t> </w:t>
            </w:r>
          </w:p>
        </w:tc>
        <w:tc>
          <w:tcPr>
            <w:tcW w:w="4948" w:type="dxa"/>
            <w:tcBorders/>
            <w:shd w:fill="auto" w:val="clear"/>
          </w:tcPr>
          <w:p>
            <w:pPr>
              <w:pStyle w:val="TableContents"/>
              <w:spacing w:before="0" w:after="0"/>
              <w:ind w:left="0" w:right="0" w:hanging="0"/>
              <w:rPr/>
            </w:pPr>
            <w:r>
              <w:rPr/>
              <w:t> </w:t>
            </w:r>
          </w:p>
        </w:tc>
      </w:tr>
      <w:tr>
        <w:trPr/>
        <w:tc>
          <w:tcPr>
            <w:tcW w:w="5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Calgary, Canada</w:t>
            </w:r>
          </w:p>
        </w:tc>
        <w:tc>
          <w:tcPr>
            <w:tcW w:w="4948" w:type="dxa"/>
            <w:tcBorders/>
            <w:shd w:fill="auto" w:val="clear"/>
          </w:tcPr>
          <w:p>
            <w:pPr>
              <w:pStyle w:val="TableContents"/>
              <w:spacing w:before="0" w:after="0"/>
              <w:ind w:left="0" w:right="0" w:hanging="0"/>
              <w:rPr/>
            </w:pPr>
            <w:r>
              <w:rPr/>
              <w:t> </w:t>
            </w:r>
          </w:p>
        </w:tc>
      </w:tr>
      <w:tr>
        <w:trPr/>
        <w:tc>
          <w:tcPr>
            <w:tcW w:w="525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March 22, 2012</w:t>
            </w:r>
          </w:p>
        </w:tc>
        <w:tc>
          <w:tcPr>
            <w:tcW w:w="4948" w:type="dxa"/>
            <w:tcBorders/>
            <w:shd w:fill="auto" w:val="clear"/>
          </w:tcPr>
          <w:p>
            <w:pPr>
              <w:pStyle w:val="TableContents"/>
              <w:spacing w:before="0" w:after="0"/>
              <w:ind w:left="0" w:right="0" w:hanging="0"/>
              <w:jc w:val="right"/>
              <w:rPr>
                <w:rFonts w:ascii="Times New Roman" w:hAnsi="Times New Roman"/>
                <w:sz w:val="17"/>
              </w:rPr>
            </w:pPr>
            <w:r>
              <w:rPr>
                <w:rFonts w:ascii="Times New Roman" w:hAnsi="Times New Roman"/>
                <w:sz w:val="17"/>
              </w:rPr>
              <w:t>Ernst &amp; Young LLP</w:t>
            </w:r>
          </w:p>
        </w:tc>
      </w:tr>
    </w:tbl>
    <w:p>
      <w:pPr>
        <w:pStyle w:val="TextBody"/>
        <w:spacing w:before="0" w:after="0"/>
        <w:ind w:left="0" w:right="0" w:hanging="0"/>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A member firm of Ernst &amp; Young Global Limited</w:t>
      </w:r>
    </w:p>
    <w:p>
      <w:pPr>
        <w:pStyle w:val="TextBody"/>
        <w:spacing w:before="0" w:after="0"/>
        <w:ind w:left="0" w:right="0" w:hanging="0"/>
        <w:jc w:val="right"/>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Balance Sheets</w:t>
      </w:r>
      <w:bookmarkStart w:id="27" w:name="BalanceSheets_221218"/>
      <w:bookmarkEnd w:id="27"/>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rFonts w:ascii="Times New Roman" w:hAnsi="Times New Roman"/>
          <w:sz w:val="17"/>
        </w:rPr>
      </w:pPr>
      <w:r>
        <w:rPr>
          <w:rFonts w:ascii="Times New Roman" w:hAnsi="Times New Roman"/>
          <w:sz w:val="17"/>
        </w:rPr>
        <w:t>(Dollars in thousand)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03"/>
        <w:gridCol w:w="207"/>
        <w:gridCol w:w="110"/>
        <w:gridCol w:w="1081"/>
        <w:gridCol w:w="207"/>
        <w:gridCol w:w="1285"/>
        <w:gridCol w:w="112"/>
      </w:tblGrid>
      <w:tr>
        <w:trPr/>
        <w:tc>
          <w:tcPr>
            <w:tcW w:w="7203"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7" w:type="dxa"/>
            <w:tcBorders/>
            <w:shd w:fill="auto" w:val="clear"/>
            <w:vAlign w:val="bottom"/>
          </w:tcPr>
          <w:p>
            <w:pPr>
              <w:pStyle w:val="TableContents"/>
              <w:spacing w:before="0" w:after="0"/>
              <w:ind w:left="0" w:right="0" w:hanging="0"/>
              <w:jc w:val="center"/>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2" w:type="dxa"/>
            <w:tcBorders/>
            <w:shd w:fill="auto" w:val="clear"/>
            <w:vAlign w:val="bottom"/>
          </w:tcPr>
          <w:p>
            <w:pPr>
              <w:pStyle w:val="TableContents"/>
              <w:spacing w:before="0" w:after="0"/>
              <w:ind w:left="0" w:right="0" w:hanging="0"/>
              <w:jc w:val="center"/>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Assets</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assets: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and other receivables  third parties (note 13)</w:t>
            </w:r>
          </w:p>
        </w:tc>
        <w:tc>
          <w:tcPr>
            <w:tcW w:w="20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232,414</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219,427</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Trade and other receivables  related parties (note 13)</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143,013</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76,492</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Inventories (note 12)</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555,336</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415,633</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Prepayments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1,276</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assets</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930,763</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712,828</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Noncurrent assets: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(note 10)</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559,774</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567,068</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Intangible assets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295</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198</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receivables (note 13)</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9,976</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noncurrent assets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560,069</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577,242</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assets</w:t>
            </w:r>
          </w:p>
        </w:tc>
        <w:tc>
          <w:tcPr>
            <w:tcW w:w="207" w:type="dxa"/>
            <w:tcBorders/>
            <w:shd w:fill="CCEEFF" w:val="clear"/>
            <w:vAlign w:val="bottom"/>
          </w:tcPr>
          <w:p>
            <w:pPr>
              <w:pStyle w:val="TableContents"/>
              <w:spacing w:before="0" w:after="0"/>
              <w:ind w:left="0" w:right="0" w:hanging="0"/>
              <w:rPr/>
            </w:pPr>
            <w:r>
              <w:rPr/>
              <w:t> </w:t>
            </w:r>
          </w:p>
        </w:tc>
        <w:tc>
          <w:tcPr>
            <w:tcW w:w="110" w:type="dxa"/>
            <w:tcBorders>
              <w:bottom w:val="double" w:sz="6" w:space="0" w:color="000000"/>
            </w:tcBorders>
            <w:shd w:fill="CCEEFF"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CCEEFF"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1,490,832</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1,290,070</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Liabilities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liabilities:</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pPr>
            <w:r>
              <w:rPr/>
              <w:t> </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pPr>
            <w:r>
              <w:rPr/>
              <w:t> </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Trade and other payables  third parties (note 15)</w:t>
            </w:r>
          </w:p>
        </w:tc>
        <w:tc>
          <w:tcPr>
            <w:tcW w:w="207"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298,256</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401,761</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Trade and other payables  related parties (note 15)</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109,319</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64,709</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Provisions (note 17)</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1,433</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current liabilities</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409,113</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467,903</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Noncurrent liabilities: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pPr>
            <w:r>
              <w:rPr/>
              <w:t> </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pPr>
            <w:r>
              <w:rPr/>
              <w:t> </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payables (note 15)</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4,917</w:t>
            </w:r>
          </w:p>
        </w:tc>
        <w:tc>
          <w:tcPr>
            <w:tcW w:w="207" w:type="dxa"/>
            <w:tcBorders/>
            <w:shd w:fill="CCEEFF" w:val="clear"/>
            <w:vAlign w:val="bottom"/>
          </w:tcPr>
          <w:p>
            <w:pPr>
              <w:pStyle w:val="TableContents"/>
              <w:spacing w:before="0" w:after="0"/>
              <w:ind w:left="0" w:right="0" w:hanging="0"/>
              <w:rPr/>
            </w:pPr>
            <w:r>
              <w:rPr/>
              <w:t> </w:t>
            </w:r>
          </w:p>
        </w:tc>
        <w:tc>
          <w:tcPr>
            <w:tcW w:w="128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15,246</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tax liabilities (note 9)</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83,596</w:t>
            </w:r>
          </w:p>
        </w:tc>
        <w:tc>
          <w:tcPr>
            <w:tcW w:w="207" w:type="dxa"/>
            <w:tcBorders/>
            <w:shd w:fill="auto" w:val="clear"/>
            <w:vAlign w:val="bottom"/>
          </w:tcPr>
          <w:p>
            <w:pPr>
              <w:pStyle w:val="TableContents"/>
              <w:spacing w:before="0" w:after="0"/>
              <w:ind w:left="0" w:right="0" w:hanging="0"/>
              <w:rPr/>
            </w:pPr>
            <w:r>
              <w:rPr/>
              <w:t> </w:t>
            </w:r>
          </w:p>
        </w:tc>
        <w:tc>
          <w:tcPr>
            <w:tcW w:w="128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65,440</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Provisions (note 17)</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125,624</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106,486</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noncurrent liabilities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214,137</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187,172</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liabilities</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623,250</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655,075</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assets</w:t>
            </w:r>
          </w:p>
        </w:tc>
        <w:tc>
          <w:tcPr>
            <w:tcW w:w="207" w:type="dxa"/>
            <w:tcBorders/>
            <w:shd w:fill="auto"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867,582</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634,995</w:t>
            </w:r>
          </w:p>
        </w:tc>
        <w:tc>
          <w:tcPr>
            <w:tcW w:w="112" w:type="dxa"/>
            <w:tcBorders/>
            <w:shd w:fill="auto" w:val="clear"/>
            <w:vAlign w:val="bottom"/>
          </w:tcPr>
          <w:p>
            <w:pPr>
              <w:pStyle w:val="TableContents"/>
              <w:spacing w:before="0" w:after="0"/>
              <w:ind w:left="0" w:right="0" w:hanging="0"/>
              <w:rPr/>
            </w:pPr>
            <w:r>
              <w:rPr/>
              <w:t> </w:t>
            </w:r>
          </w:p>
        </w:tc>
      </w:tr>
      <w:tr>
        <w:trPr/>
        <w:tc>
          <w:tcPr>
            <w:tcW w:w="720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parent investment</w:t>
            </w:r>
          </w:p>
        </w:tc>
        <w:tc>
          <w:tcPr>
            <w:tcW w:w="207" w:type="dxa"/>
            <w:tcBorders/>
            <w:shd w:fill="CCEEFF" w:val="clear"/>
            <w:vAlign w:val="bottom"/>
          </w:tcPr>
          <w:p>
            <w:pPr>
              <w:pStyle w:val="TableContents"/>
              <w:spacing w:before="0" w:after="0"/>
              <w:ind w:left="0" w:right="0" w:hanging="0"/>
              <w:rPr/>
            </w:pPr>
            <w:r>
              <w:rPr/>
              <w:t> </w:t>
            </w:r>
          </w:p>
        </w:tc>
        <w:tc>
          <w:tcPr>
            <w:tcW w:w="1191"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867,582</w:t>
            </w:r>
          </w:p>
        </w:tc>
        <w:tc>
          <w:tcPr>
            <w:tcW w:w="207" w:type="dxa"/>
            <w:tcBorders/>
            <w:shd w:fill="CCEEFF" w:val="clear"/>
            <w:vAlign w:val="bottom"/>
          </w:tcPr>
          <w:p>
            <w:pPr>
              <w:pStyle w:val="TableContents"/>
              <w:spacing w:before="0" w:after="0"/>
              <w:ind w:left="0" w:right="0" w:hanging="0"/>
              <w:rPr/>
            </w:pPr>
            <w:r>
              <w:rPr/>
              <w:t> </w:t>
            </w:r>
          </w:p>
        </w:tc>
        <w:tc>
          <w:tcPr>
            <w:tcW w:w="128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634,995</w:t>
            </w:r>
          </w:p>
        </w:tc>
        <w:tc>
          <w:tcPr>
            <w:tcW w:w="112" w:type="dxa"/>
            <w:tcBorders/>
            <w:shd w:fill="CCEEFF" w:val="clear"/>
            <w:vAlign w:val="bottom"/>
          </w:tcPr>
          <w:p>
            <w:pPr>
              <w:pStyle w:val="TableContents"/>
              <w:spacing w:before="0" w:after="0"/>
              <w:ind w:left="0" w:right="0" w:hanging="0"/>
              <w:rPr/>
            </w:pPr>
            <w:r>
              <w:rPr/>
              <w:t> </w:t>
            </w:r>
          </w:p>
        </w:tc>
      </w:tr>
      <w:tr>
        <w:trPr/>
        <w:tc>
          <w:tcPr>
            <w:tcW w:w="720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equity</w:t>
            </w:r>
          </w:p>
        </w:tc>
        <w:tc>
          <w:tcPr>
            <w:tcW w:w="2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81"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867,582</w:t>
            </w:r>
          </w:p>
        </w:tc>
        <w:tc>
          <w:tcPr>
            <w:tcW w:w="207" w:type="dxa"/>
            <w:tcBorders/>
            <w:shd w:fill="auto" w:val="clear"/>
            <w:vAlign w:val="bottom"/>
          </w:tcPr>
          <w:p>
            <w:pPr>
              <w:pStyle w:val="TableContents"/>
              <w:spacing w:before="0" w:after="0"/>
              <w:ind w:left="0" w:right="0" w:hanging="0"/>
              <w:rPr/>
            </w:pPr>
            <w:r>
              <w:rPr/>
              <w:t> </w:t>
            </w:r>
          </w:p>
        </w:tc>
        <w:tc>
          <w:tcPr>
            <w:tcW w:w="1285"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634,995</w:t>
            </w:r>
          </w:p>
        </w:tc>
        <w:tc>
          <w:tcPr>
            <w:tcW w:w="112"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accompanying notes to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8" w:name="PB_2_155752_5335"/>
      <w:bookmarkEnd w:id="2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Statements of Comprehensive Income</w:t>
      </w:r>
      <w:bookmarkStart w:id="29" w:name="StatementsOfComprehensiveIncome_221226"/>
      <w:bookmarkEnd w:id="29"/>
    </w:p>
    <w:p>
      <w:pPr>
        <w:pStyle w:val="TextBody"/>
        <w:spacing w:before="0" w:after="0"/>
        <w:ind w:left="0" w:right="0" w:hanging="0"/>
        <w:jc w:val="center"/>
        <w:rPr>
          <w:rFonts w:ascii="Times New Roman" w:hAnsi="Times New Roman"/>
          <w:sz w:val="17"/>
        </w:rPr>
      </w:pPr>
      <w:r>
        <w:rPr>
          <w:rFonts w:ascii="Times New Roman" w:hAnsi="Times New Roman"/>
          <w:sz w:val="17"/>
        </w:rPr>
        <w:t>Years ended December 31, 2011 and 2010</w:t>
      </w:r>
    </w:p>
    <w:p>
      <w:pPr>
        <w:pStyle w:val="TextBody"/>
        <w:spacing w:before="0" w:after="0"/>
        <w:ind w:left="0" w:right="0" w:hanging="0"/>
        <w:jc w:val="center"/>
        <w:rPr>
          <w:rFonts w:ascii="Times New Roman" w:hAnsi="Times New Roman"/>
          <w:sz w:val="17"/>
        </w:rPr>
      </w:pPr>
      <w:r>
        <w:rPr>
          <w:rFonts w:ascii="Times New Roman" w:hAnsi="Times New Roman"/>
          <w:sz w:val="17"/>
        </w:rPr>
        <w:t>(Dollars in thousand)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10"/>
        <w:gridCol w:w="207"/>
        <w:gridCol w:w="110"/>
        <w:gridCol w:w="1077"/>
        <w:gridCol w:w="209"/>
        <w:gridCol w:w="1281"/>
        <w:gridCol w:w="111"/>
      </w:tblGrid>
      <w:tr>
        <w:trPr/>
        <w:tc>
          <w:tcPr>
            <w:tcW w:w="7210" w:type="dxa"/>
            <w:tcBorders/>
            <w:shd w:fill="auto" w:val="clear"/>
            <w:vAlign w:val="bottom"/>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jc w:val="center"/>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9" w:type="dxa"/>
            <w:tcBorders/>
            <w:shd w:fill="auto" w:val="clear"/>
            <w:vAlign w:val="bottom"/>
          </w:tcPr>
          <w:p>
            <w:pPr>
              <w:pStyle w:val="TableContents"/>
              <w:spacing w:before="0" w:after="0"/>
              <w:ind w:left="0" w:right="0" w:hanging="0"/>
              <w:jc w:val="center"/>
              <w:rPr/>
            </w:pPr>
            <w:r>
              <w:rPr/>
              <w:t> </w:t>
            </w:r>
          </w:p>
        </w:tc>
        <w:tc>
          <w:tcPr>
            <w:tcW w:w="128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1" w:type="dxa"/>
            <w:tcBorders/>
            <w:shd w:fill="auto" w:val="clear"/>
            <w:vAlign w:val="bottom"/>
          </w:tcPr>
          <w:p>
            <w:pPr>
              <w:pStyle w:val="TableContents"/>
              <w:spacing w:before="0" w:after="0"/>
              <w:ind w:left="0" w:right="0" w:hanging="0"/>
              <w:jc w:val="center"/>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Sales and other operating revenues  third parties</w:t>
            </w:r>
          </w:p>
        </w:tc>
        <w:tc>
          <w:tcPr>
            <w:tcW w:w="207"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2,424,100</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2,151,582</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Sales and other operating revenues  related parties (note 19)</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962,773</w:t>
            </w:r>
          </w:p>
        </w:tc>
        <w:tc>
          <w:tcPr>
            <w:tcW w:w="209" w:type="dxa"/>
            <w:tcBorders/>
            <w:shd w:fill="auto" w:val="clear"/>
            <w:vAlign w:val="bottom"/>
          </w:tcPr>
          <w:p>
            <w:pPr>
              <w:pStyle w:val="TableContents"/>
              <w:spacing w:before="0" w:after="0"/>
              <w:ind w:left="0" w:right="0" w:hanging="0"/>
              <w:rPr/>
            </w:pPr>
            <w:r>
              <w:rPr/>
              <w:t> </w:t>
            </w:r>
          </w:p>
        </w:tc>
        <w:tc>
          <w:tcPr>
            <w:tcW w:w="12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687,575</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income (note 5)</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3,073</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2,714</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Gain on sale of fixed assets (note 4)</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209" w:type="dxa"/>
            <w:tcBorders/>
            <w:shd w:fill="auto" w:val="clear"/>
            <w:vAlign w:val="bottom"/>
          </w:tcPr>
          <w:p>
            <w:pPr>
              <w:pStyle w:val="TableContents"/>
              <w:spacing w:before="0" w:after="0"/>
              <w:ind w:left="0" w:right="0" w:hanging="0"/>
              <w:rPr/>
            </w:pPr>
            <w:r>
              <w:rPr/>
              <w:t> </w:t>
            </w:r>
          </w:p>
        </w:tc>
        <w:tc>
          <w:tcPr>
            <w:tcW w:w="12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revenues and other income</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3,391,356</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2,841,871</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Purchases  third parties</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2,173,999</w:t>
            </w:r>
          </w:p>
        </w:tc>
        <w:tc>
          <w:tcPr>
            <w:tcW w:w="209" w:type="dxa"/>
            <w:tcBorders/>
            <w:shd w:fill="auto" w:val="clear"/>
            <w:vAlign w:val="bottom"/>
          </w:tcPr>
          <w:p>
            <w:pPr>
              <w:pStyle w:val="TableContents"/>
              <w:spacing w:before="0" w:after="0"/>
              <w:ind w:left="0" w:right="0" w:hanging="0"/>
              <w:rPr/>
            </w:pPr>
            <w:r>
              <w:rPr/>
              <w:t> </w:t>
            </w:r>
          </w:p>
        </w:tc>
        <w:tc>
          <w:tcPr>
            <w:tcW w:w="12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1,798,391</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Purchases  related parties</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614,801</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558,942</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Operating expenses (note 6)</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214,260</w:t>
            </w:r>
          </w:p>
        </w:tc>
        <w:tc>
          <w:tcPr>
            <w:tcW w:w="209" w:type="dxa"/>
            <w:tcBorders/>
            <w:shd w:fill="auto" w:val="clear"/>
            <w:vAlign w:val="bottom"/>
          </w:tcPr>
          <w:p>
            <w:pPr>
              <w:pStyle w:val="TableContents"/>
              <w:spacing w:before="0" w:after="0"/>
              <w:ind w:left="0" w:right="0" w:hanging="0"/>
              <w:rPr/>
            </w:pPr>
            <w:r>
              <w:rPr/>
              <w:t> </w:t>
            </w:r>
          </w:p>
        </w:tc>
        <w:tc>
          <w:tcPr>
            <w:tcW w:w="12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163,324</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and similar taxes</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5,135</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4,805</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(note 10)</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30,962</w:t>
            </w:r>
          </w:p>
        </w:tc>
        <w:tc>
          <w:tcPr>
            <w:tcW w:w="209" w:type="dxa"/>
            <w:tcBorders/>
            <w:shd w:fill="auto" w:val="clear"/>
            <w:vAlign w:val="bottom"/>
          </w:tcPr>
          <w:p>
            <w:pPr>
              <w:pStyle w:val="TableContents"/>
              <w:spacing w:before="0" w:after="0"/>
              <w:ind w:left="0" w:right="0" w:hanging="0"/>
              <w:rPr/>
            </w:pPr>
            <w:r>
              <w:rPr/>
              <w:t> </w:t>
            </w:r>
          </w:p>
        </w:tc>
        <w:tc>
          <w:tcPr>
            <w:tcW w:w="12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30,055</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Finance costs (note 8)</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1,950</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Losses on sale of fixed assets (note 4)</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09" w:type="dxa"/>
            <w:tcBorders/>
            <w:shd w:fill="auto" w:val="clear"/>
            <w:vAlign w:val="bottom"/>
          </w:tcPr>
          <w:p>
            <w:pPr>
              <w:pStyle w:val="TableContents"/>
              <w:spacing w:before="0" w:after="0"/>
              <w:ind w:left="0" w:right="0" w:hanging="0"/>
              <w:rPr/>
            </w:pPr>
            <w:r>
              <w:rPr/>
              <w:t> </w:t>
            </w:r>
          </w:p>
        </w:tc>
        <w:tc>
          <w:tcPr>
            <w:tcW w:w="1281"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Marketing and administrative expenses (note 20)</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36,121</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31,358</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Fair value gain on derivatives (note 16)</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(1,310</w:t>
            </w:r>
          </w:p>
        </w:tc>
        <w:tc>
          <w:tcPr>
            <w:tcW w:w="20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(24,066</w:t>
            </w:r>
          </w:p>
        </w:tc>
        <w:tc>
          <w:tcPr>
            <w:tcW w:w="111"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Profit before taxation</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315,130</w:t>
            </w:r>
          </w:p>
        </w:tc>
        <w:tc>
          <w:tcPr>
            <w:tcW w:w="209" w:type="dxa"/>
            <w:tcBorders/>
            <w:shd w:fill="CCEEFF" w:val="clear"/>
            <w:vAlign w:val="bottom"/>
          </w:tcPr>
          <w:p>
            <w:pPr>
              <w:pStyle w:val="TableContents"/>
              <w:spacing w:before="0" w:after="0"/>
              <w:ind w:left="0" w:right="0" w:hanging="0"/>
              <w:rPr/>
            </w:pPr>
            <w:r>
              <w:rPr/>
              <w:t> </w:t>
            </w:r>
          </w:p>
        </w:tc>
        <w:tc>
          <w:tcPr>
            <w:tcW w:w="12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277,309</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Taxation (note 9)</w:t>
            </w:r>
          </w:p>
        </w:tc>
        <w:tc>
          <w:tcPr>
            <w:tcW w:w="207" w:type="dxa"/>
            <w:tcBorders/>
            <w:shd w:fill="auto"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83,407</w:t>
            </w:r>
          </w:p>
        </w:tc>
        <w:tc>
          <w:tcPr>
            <w:tcW w:w="209" w:type="dxa"/>
            <w:tcBorders/>
            <w:shd w:fill="auto" w:val="clear"/>
            <w:vAlign w:val="bottom"/>
          </w:tcPr>
          <w:p>
            <w:pPr>
              <w:pStyle w:val="TableContents"/>
              <w:spacing w:before="0" w:after="0"/>
              <w:ind w:left="0" w:right="0" w:hanging="0"/>
              <w:rPr/>
            </w:pPr>
            <w:r>
              <w:rPr/>
              <w:t> </w:t>
            </w:r>
          </w:p>
        </w:tc>
        <w:tc>
          <w:tcPr>
            <w:tcW w:w="12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80,634</w:t>
            </w:r>
          </w:p>
        </w:tc>
        <w:tc>
          <w:tcPr>
            <w:tcW w:w="111" w:type="dxa"/>
            <w:tcBorders/>
            <w:shd w:fill="auto" w:val="clear"/>
            <w:vAlign w:val="bottom"/>
          </w:tcPr>
          <w:p>
            <w:pPr>
              <w:pStyle w:val="TableContents"/>
              <w:spacing w:before="0" w:after="0"/>
              <w:ind w:left="0" w:right="0" w:hanging="0"/>
              <w:rPr/>
            </w:pPr>
            <w:r>
              <w:rPr/>
              <w:t> </w:t>
            </w:r>
          </w:p>
        </w:tc>
      </w:tr>
      <w:tr>
        <w:trPr/>
        <w:tc>
          <w:tcPr>
            <w:tcW w:w="72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Profit for the year</w:t>
            </w:r>
          </w:p>
        </w:tc>
        <w:tc>
          <w:tcPr>
            <w:tcW w:w="207" w:type="dxa"/>
            <w:tcBorders/>
            <w:shd w:fill="CCEEFF" w:val="clear"/>
            <w:vAlign w:val="bottom"/>
          </w:tcPr>
          <w:p>
            <w:pPr>
              <w:pStyle w:val="TableContents"/>
              <w:spacing w:before="0" w:after="0"/>
              <w:ind w:left="0" w:right="0" w:hanging="0"/>
              <w:rPr/>
            </w:pPr>
            <w:r>
              <w:rPr/>
              <w:t> </w:t>
            </w:r>
          </w:p>
        </w:tc>
        <w:tc>
          <w:tcPr>
            <w:tcW w:w="1187"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231,723</w:t>
            </w:r>
          </w:p>
        </w:tc>
        <w:tc>
          <w:tcPr>
            <w:tcW w:w="209" w:type="dxa"/>
            <w:tcBorders/>
            <w:shd w:fill="CCEEFF" w:val="clear"/>
            <w:vAlign w:val="bottom"/>
          </w:tcPr>
          <w:p>
            <w:pPr>
              <w:pStyle w:val="TableContents"/>
              <w:spacing w:before="0" w:after="0"/>
              <w:ind w:left="0" w:right="0" w:hanging="0"/>
              <w:rPr/>
            </w:pPr>
            <w:r>
              <w:rPr/>
              <w:t> </w:t>
            </w:r>
          </w:p>
        </w:tc>
        <w:tc>
          <w:tcPr>
            <w:tcW w:w="1281"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196,675</w:t>
            </w:r>
          </w:p>
        </w:tc>
        <w:tc>
          <w:tcPr>
            <w:tcW w:w="111" w:type="dxa"/>
            <w:tcBorders/>
            <w:shd w:fill="CCEEFF" w:val="clear"/>
            <w:vAlign w:val="bottom"/>
          </w:tcPr>
          <w:p>
            <w:pPr>
              <w:pStyle w:val="TableContents"/>
              <w:spacing w:before="0" w:after="0"/>
              <w:ind w:left="0" w:right="0" w:hanging="0"/>
              <w:rPr/>
            </w:pPr>
            <w:r>
              <w:rPr/>
              <w:t> </w:t>
            </w:r>
          </w:p>
        </w:tc>
      </w:tr>
      <w:tr>
        <w:trPr/>
        <w:tc>
          <w:tcPr>
            <w:tcW w:w="72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comprehensive income</w:t>
            </w:r>
          </w:p>
        </w:tc>
        <w:tc>
          <w:tcPr>
            <w:tcW w:w="207"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7"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231,723</w:t>
            </w:r>
          </w:p>
        </w:tc>
        <w:tc>
          <w:tcPr>
            <w:tcW w:w="209" w:type="dxa"/>
            <w:tcBorders/>
            <w:shd w:fill="auto" w:val="clear"/>
            <w:vAlign w:val="bottom"/>
          </w:tcPr>
          <w:p>
            <w:pPr>
              <w:pStyle w:val="TableContents"/>
              <w:spacing w:before="0" w:after="0"/>
              <w:ind w:left="0" w:right="0" w:hanging="0"/>
              <w:rPr/>
            </w:pPr>
            <w:r>
              <w:rPr/>
              <w:t> </w:t>
            </w:r>
          </w:p>
        </w:tc>
        <w:tc>
          <w:tcPr>
            <w:tcW w:w="1281"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196,675</w:t>
            </w:r>
          </w:p>
        </w:tc>
        <w:tc>
          <w:tcPr>
            <w:tcW w:w="111"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accompanying notes to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0" w:name="PB_3_160345_5796"/>
      <w:bookmarkEnd w:id="3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Statements of Change in Net Parent Investment</w:t>
      </w:r>
      <w:bookmarkStart w:id="31" w:name="StatementsOfChangeInNetParentInve_221303"/>
      <w:bookmarkEnd w:id="31"/>
    </w:p>
    <w:p>
      <w:pPr>
        <w:pStyle w:val="TextBody"/>
        <w:spacing w:before="0" w:after="0"/>
        <w:ind w:left="0" w:right="0" w:hanging="0"/>
        <w:jc w:val="center"/>
        <w:rPr>
          <w:rFonts w:ascii="Times New Roman" w:hAnsi="Times New Roman"/>
          <w:sz w:val="17"/>
        </w:rPr>
      </w:pPr>
      <w:r>
        <w:rPr>
          <w:rFonts w:ascii="Times New Roman" w:hAnsi="Times New Roman"/>
          <w:sz w:val="17"/>
        </w:rPr>
        <w:t>Years ended December 31, 2011 and 2010</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8707"/>
        <w:gridCol w:w="209"/>
        <w:gridCol w:w="110"/>
        <w:gridCol w:w="1069"/>
        <w:gridCol w:w="110"/>
      </w:tblGrid>
      <w:tr>
        <w:trPr/>
        <w:tc>
          <w:tcPr>
            <w:tcW w:w="8707" w:type="dxa"/>
            <w:tcBorders>
              <w:bottom w:val="single" w:sz="8" w:space="0" w:color="000000"/>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(Dollars in thousand)</w:t>
            </w:r>
          </w:p>
        </w:tc>
        <w:tc>
          <w:tcPr>
            <w:tcW w:w="209" w:type="dxa"/>
            <w:tcBorders/>
            <w:shd w:fill="auto" w:val="clear"/>
            <w:tcMar>
              <w:bottom w:w="0" w:type="dxa"/>
            </w:tcMar>
            <w:vAlign w:val="bottom"/>
          </w:tcPr>
          <w:p>
            <w:pPr>
              <w:pStyle w:val="TableContents"/>
              <w:spacing w:before="0" w:after="0"/>
              <w:ind w:left="0" w:right="0" w:hanging="0"/>
              <w:jc w:val="center"/>
              <w:rPr/>
            </w:pPr>
            <w:r>
              <w:rPr/>
              <w:t> </w:t>
            </w:r>
          </w:p>
        </w:tc>
        <w:tc>
          <w:tcPr>
            <w:tcW w:w="1179" w:type="dxa"/>
            <w:gridSpan w:val="2"/>
            <w:tcBorders/>
            <w:shd w:fill="auto" w:val="clear"/>
            <w:tcMar>
              <w:bottom w:w="0" w:type="dxa"/>
            </w:tcMar>
            <w:vAlign w:val="bottom"/>
          </w:tcPr>
          <w:p>
            <w:pPr>
              <w:pStyle w:val="TableContents"/>
              <w:spacing w:before="0" w:after="0"/>
              <w:ind w:left="0" w:right="0" w:hanging="0"/>
              <w:jc w:val="center"/>
              <w:rPr/>
            </w:pPr>
            <w:r>
              <w:rPr/>
              <w:t> </w:t>
            </w:r>
          </w:p>
        </w:tc>
        <w:tc>
          <w:tcPr>
            <w:tcW w:w="110" w:type="dxa"/>
            <w:tcBorders/>
            <w:shd w:fill="auto" w:val="clear"/>
            <w:tcMar>
              <w:bottom w:w="0" w:type="dxa"/>
            </w:tcMar>
            <w:vAlign w:val="bottom"/>
          </w:tcPr>
          <w:p>
            <w:pPr>
              <w:pStyle w:val="TableContents"/>
              <w:spacing w:before="0" w:after="0"/>
              <w:ind w:left="0" w:right="0" w:hanging="0"/>
              <w:jc w:val="center"/>
              <w:rPr/>
            </w:pPr>
            <w:r>
              <w:rPr/>
              <w:t> </w:t>
            </w:r>
          </w:p>
        </w:tc>
      </w:tr>
      <w:tr>
        <w:trPr/>
        <w:tc>
          <w:tcPr>
            <w:tcW w:w="870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Balance at January 1, 2010</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7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598,574</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0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Profit for the year</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7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196,675</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0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Net transfers to Parent</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79" w:type="dxa"/>
            <w:gridSpan w:val="2"/>
            <w:tcBorders>
              <w:bottom w:val="single" w:sz="8" w:space="0" w:color="000000"/>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(160,254</w:t>
            </w:r>
          </w:p>
        </w:tc>
        <w:tc>
          <w:tcPr>
            <w:tcW w:w="110" w:type="dxa"/>
            <w:tcBorders/>
            <w:shd w:fill="CCEEFF" w:val="clear"/>
            <w:tcMar>
              <w:bottom w:w="0"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870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2010</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79" w:type="dxa"/>
            <w:gridSpan w:val="2"/>
            <w:tcBorders/>
            <w:shd w:fill="auto"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634,995</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0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Profit for the year</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79" w:type="dxa"/>
            <w:gridSpan w:val="2"/>
            <w:tcBorders/>
            <w:shd w:fill="CCEEFF" w:val="clear"/>
            <w:tcMar>
              <w:bottom w:w="0"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231,723</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07" w:type="dxa"/>
            <w:tcBorders/>
            <w:shd w:fill="auto"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Net transfers from Parent</w:t>
            </w:r>
          </w:p>
        </w:tc>
        <w:tc>
          <w:tcPr>
            <w:tcW w:w="209" w:type="dxa"/>
            <w:tcBorders/>
            <w:shd w:fill="auto" w:val="clear"/>
            <w:tcMar>
              <w:bottom w:w="0" w:type="dxa"/>
            </w:tcMar>
            <w:vAlign w:val="bottom"/>
          </w:tcPr>
          <w:p>
            <w:pPr>
              <w:pStyle w:val="TableContents"/>
              <w:spacing w:before="0" w:after="0"/>
              <w:ind w:left="0" w:right="0" w:hanging="0"/>
              <w:rPr/>
            </w:pPr>
            <w:r>
              <w:rPr/>
              <w:t> </w:t>
            </w:r>
          </w:p>
        </w:tc>
        <w:tc>
          <w:tcPr>
            <w:tcW w:w="1179" w:type="dxa"/>
            <w:gridSpan w:val="2"/>
            <w:tcBorders>
              <w:bottom w:val="single" w:sz="8" w:space="0" w:color="000000"/>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864</w:t>
            </w:r>
          </w:p>
        </w:tc>
        <w:tc>
          <w:tcPr>
            <w:tcW w:w="110" w:type="dxa"/>
            <w:tcBorders/>
            <w:shd w:fill="auto" w:val="clear"/>
            <w:tcMar>
              <w:bottom w:w="0" w:type="dxa"/>
            </w:tcMar>
            <w:vAlign w:val="bottom"/>
          </w:tcPr>
          <w:p>
            <w:pPr>
              <w:pStyle w:val="TableContents"/>
              <w:spacing w:before="0" w:after="0"/>
              <w:ind w:left="0" w:right="0" w:hanging="0"/>
              <w:rPr/>
            </w:pPr>
            <w:r>
              <w:rPr/>
              <w:t> </w:t>
            </w:r>
          </w:p>
        </w:tc>
      </w:tr>
      <w:tr>
        <w:trPr/>
        <w:tc>
          <w:tcPr>
            <w:tcW w:w="8707" w:type="dxa"/>
            <w:tcBorders/>
            <w:shd w:fill="CCEEFF" w:val="clear"/>
            <w:tcMar>
              <w:bottom w:w="0" w:type="dxa"/>
            </w:tcMar>
          </w:tcPr>
          <w:p>
            <w:pPr>
              <w:pStyle w:val="TableContents"/>
              <w:spacing w:before="0" w:after="0"/>
              <w:ind w:left="0" w:right="0" w:hanging="0"/>
              <w:rPr>
                <w:rFonts w:ascii="Times New Roman" w:hAnsi="Times New Roman"/>
                <w:sz w:val="17"/>
              </w:rPr>
            </w:pPr>
            <w:r>
              <w:rPr>
                <w:rFonts w:ascii="Times New Roman" w:hAnsi="Times New Roman"/>
                <w:sz w:val="17"/>
              </w:rPr>
              <w:t>Balance at December 31, 2011</w:t>
            </w:r>
          </w:p>
        </w:tc>
        <w:tc>
          <w:tcPr>
            <w:tcW w:w="209" w:type="dxa"/>
            <w:tcBorders/>
            <w:shd w:fill="CCEEFF" w:val="clear"/>
            <w:tcMar>
              <w:bottom w:w="0" w:type="dxa"/>
            </w:tcMar>
            <w:vAlign w:val="bottom"/>
          </w:tcPr>
          <w:p>
            <w:pPr>
              <w:pStyle w:val="TableContents"/>
              <w:spacing w:before="0" w:after="0"/>
              <w:ind w:left="0" w:right="0" w:hanging="0"/>
              <w:rPr/>
            </w:pPr>
            <w:r>
              <w:rPr/>
              <w:t> </w:t>
            </w:r>
          </w:p>
        </w:tc>
        <w:tc>
          <w:tcPr>
            <w:tcW w:w="110" w:type="dxa"/>
            <w:tcBorders>
              <w:bottom w:val="double" w:sz="6" w:space="0" w:color="000000"/>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69" w:type="dxa"/>
            <w:tcBorders>
              <w:top w:val="single" w:sz="8" w:space="0" w:color="000000"/>
              <w:bottom w:val="double" w:sz="6" w:space="0" w:color="000000"/>
            </w:tcBorders>
            <w:shd w:fill="CCEEFF" w:val="clear"/>
            <w:tcMar>
              <w:top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867,582</w:t>
            </w:r>
          </w:p>
        </w:tc>
        <w:tc>
          <w:tcPr>
            <w:tcW w:w="110" w:type="dxa"/>
            <w:tcBorders/>
            <w:shd w:fill="CCEEFF" w:val="clear"/>
            <w:tcMar>
              <w:bottom w:w="0" w:type="dxa"/>
            </w:tcMar>
            <w:vAlign w:val="bottom"/>
          </w:tcPr>
          <w:p>
            <w:pPr>
              <w:pStyle w:val="TableContents"/>
              <w:spacing w:before="0" w:after="0"/>
              <w:ind w:left="0" w:right="0" w:hanging="0"/>
              <w:rPr/>
            </w:pPr>
            <w:r>
              <w:rPr/>
              <w:t> </w:t>
            </w:r>
          </w:p>
        </w:tc>
      </w:tr>
      <w:tr>
        <w:trPr/>
        <w:tc>
          <w:tcPr>
            <w:tcW w:w="8707" w:type="dxa"/>
            <w:tcBorders/>
            <w:shd w:fill="auto" w:val="clear"/>
            <w:tcMar>
              <w:bottom w:w="0" w:type="dxa"/>
            </w:tcMar>
            <w:vAlign w:val="center"/>
          </w:tcPr>
          <w:p>
            <w:pPr>
              <w:pStyle w:val="TableContents"/>
              <w:spacing w:before="0" w:after="283"/>
              <w:rPr>
                <w:sz w:val="4"/>
                <w:szCs w:val="4"/>
              </w:rPr>
            </w:pPr>
            <w:r>
              <w:rPr>
                <w:sz w:val="4"/>
                <w:szCs w:val="4"/>
              </w:rPr>
            </w:r>
          </w:p>
        </w:tc>
        <w:tc>
          <w:tcPr>
            <w:tcW w:w="209"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c>
          <w:tcPr>
            <w:tcW w:w="1069" w:type="dxa"/>
            <w:tcBorders/>
            <w:shd w:fill="auto" w:val="clear"/>
            <w:tcMar>
              <w:bottom w:w="0" w:type="dxa"/>
            </w:tcMar>
            <w:vAlign w:val="center"/>
          </w:tcPr>
          <w:p>
            <w:pPr>
              <w:pStyle w:val="TableContents"/>
              <w:spacing w:before="0" w:after="283"/>
              <w:rPr>
                <w:sz w:val="4"/>
                <w:szCs w:val="4"/>
              </w:rPr>
            </w:pPr>
            <w:r>
              <w:rPr>
                <w:sz w:val="4"/>
                <w:szCs w:val="4"/>
              </w:rPr>
            </w:r>
          </w:p>
        </w:tc>
        <w:tc>
          <w:tcPr>
            <w:tcW w:w="110" w:type="dxa"/>
            <w:tcBorders/>
            <w:shd w:fill="auto" w:val="clear"/>
            <w:tcMar>
              <w:bottom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accompanying notes to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32" w:name="PB_4_160837_2897"/>
      <w:bookmarkEnd w:id="3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Statements of Cash Flows</w:t>
      </w:r>
      <w:bookmarkStart w:id="33" w:name="StatementsOfCashFlows_221312"/>
      <w:bookmarkEnd w:id="33"/>
    </w:p>
    <w:p>
      <w:pPr>
        <w:pStyle w:val="TextBody"/>
        <w:spacing w:before="0" w:after="0"/>
        <w:ind w:left="0" w:right="0" w:hanging="0"/>
        <w:jc w:val="center"/>
        <w:rPr>
          <w:rFonts w:ascii="Times New Roman" w:hAnsi="Times New Roman"/>
          <w:sz w:val="17"/>
        </w:rPr>
      </w:pPr>
      <w:r>
        <w:rPr>
          <w:rFonts w:ascii="Times New Roman" w:hAnsi="Times New Roman"/>
          <w:sz w:val="17"/>
        </w:rPr>
        <w:t>Years ended December 31, 2011 and 2010</w:t>
      </w:r>
    </w:p>
    <w:p>
      <w:pPr>
        <w:pStyle w:val="TextBody"/>
        <w:spacing w:before="0" w:after="0"/>
        <w:ind w:left="0" w:right="0" w:hanging="0"/>
        <w:jc w:val="center"/>
        <w:rPr>
          <w:rFonts w:ascii="Times New Roman" w:hAnsi="Times New Roman"/>
          <w:sz w:val="17"/>
        </w:rPr>
      </w:pPr>
      <w:r>
        <w:rPr>
          <w:rFonts w:ascii="Times New Roman" w:hAnsi="Times New Roman"/>
          <w:sz w:val="17"/>
        </w:rPr>
        <w:t>(Dollars in thousand)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214"/>
        <w:gridCol w:w="208"/>
        <w:gridCol w:w="110"/>
        <w:gridCol w:w="1070"/>
        <w:gridCol w:w="210"/>
        <w:gridCol w:w="1279"/>
        <w:gridCol w:w="114"/>
      </w:tblGrid>
      <w:tr>
        <w:trPr/>
        <w:tc>
          <w:tcPr>
            <w:tcW w:w="7214" w:type="dxa"/>
            <w:tcBorders/>
            <w:shd w:fill="auto" w:val="clear"/>
            <w:vAlign w:val="bottom"/>
          </w:tcPr>
          <w:p>
            <w:pPr>
              <w:pStyle w:val="TableContents"/>
              <w:spacing w:before="0" w:after="0"/>
              <w:ind w:left="0" w:right="0" w:hanging="0"/>
              <w:rPr/>
            </w:pPr>
            <w:r>
              <w:rPr/>
              <w:t> </w:t>
            </w:r>
          </w:p>
        </w:tc>
        <w:tc>
          <w:tcPr>
            <w:tcW w:w="208" w:type="dxa"/>
            <w:tcBorders/>
            <w:shd w:fill="auto" w:val="clear"/>
            <w:vAlign w:val="bottom"/>
          </w:tcPr>
          <w:p>
            <w:pPr>
              <w:pStyle w:val="TableContents"/>
              <w:spacing w:before="0" w:after="0"/>
              <w:ind w:left="0" w:right="0" w:hanging="0"/>
              <w:jc w:val="center"/>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10" w:type="dxa"/>
            <w:tcBorders/>
            <w:shd w:fill="auto" w:val="clear"/>
            <w:vAlign w:val="bottom"/>
          </w:tcPr>
          <w:p>
            <w:pPr>
              <w:pStyle w:val="TableContents"/>
              <w:spacing w:before="0" w:after="0"/>
              <w:ind w:left="0" w:right="0" w:hanging="0"/>
              <w:jc w:val="center"/>
              <w:rPr/>
            </w:pPr>
            <w:r>
              <w:rPr/>
              <w:t> </w:t>
            </w:r>
          </w:p>
        </w:tc>
        <w:tc>
          <w:tcPr>
            <w:tcW w:w="127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14" w:type="dxa"/>
            <w:tcBorders/>
            <w:shd w:fill="auto" w:val="clear"/>
            <w:vAlign w:val="bottom"/>
          </w:tcPr>
          <w:p>
            <w:pPr>
              <w:pStyle w:val="TableContents"/>
              <w:spacing w:before="0" w:after="0"/>
              <w:ind w:left="0" w:right="0" w:hanging="0"/>
              <w:jc w:val="center"/>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Operating activities: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Profit for the year</w:t>
            </w:r>
          </w:p>
        </w:tc>
        <w:tc>
          <w:tcPr>
            <w:tcW w:w="208" w:type="dxa"/>
            <w:tcBorders/>
            <w:shd w:fill="auto" w:val="clear"/>
            <w:vAlign w:val="bottom"/>
          </w:tcPr>
          <w:p>
            <w:pPr>
              <w:pStyle w:val="TableContents"/>
              <w:spacing w:before="0" w:after="0"/>
              <w:ind w:left="0" w:right="0" w:hanging="0"/>
              <w:rPr/>
            </w:pPr>
            <w:r>
              <w:rPr/>
              <w:t> </w:t>
            </w:r>
          </w:p>
        </w:tc>
        <w:tc>
          <w:tcPr>
            <w:tcW w:w="1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231,723</w:t>
            </w:r>
          </w:p>
        </w:tc>
        <w:tc>
          <w:tcPr>
            <w:tcW w:w="210" w:type="dxa"/>
            <w:tcBorders/>
            <w:shd w:fill="auto" w:val="clear"/>
            <w:vAlign w:val="bottom"/>
          </w:tcPr>
          <w:p>
            <w:pPr>
              <w:pStyle w:val="TableContents"/>
              <w:spacing w:before="0" w:after="0"/>
              <w:ind w:left="0" w:right="0" w:hanging="0"/>
              <w:rPr/>
            </w:pPr>
            <w:r>
              <w:rPr/>
              <w:t> </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196,675</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Adjustments to reconcile profit for the year to net cash provided by operating activities: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Depreciation and amortization (note 10)</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30,962</w:t>
            </w:r>
          </w:p>
        </w:tc>
        <w:tc>
          <w:tcPr>
            <w:tcW w:w="210" w:type="dxa"/>
            <w:tcBorders/>
            <w:shd w:fill="auto" w:val="clear"/>
            <w:vAlign w:val="bottom"/>
          </w:tcPr>
          <w:p>
            <w:pPr>
              <w:pStyle w:val="TableContents"/>
              <w:spacing w:before="0" w:after="0"/>
              <w:ind w:left="0" w:right="0" w:hanging="0"/>
              <w:rPr/>
            </w:pPr>
            <w:r>
              <w:rPr/>
              <w:t> </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30,055</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 loss on sale of fixed assets (note 4)</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(1,102</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Finance costs (note 8)</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1,950</w:t>
            </w:r>
          </w:p>
        </w:tc>
        <w:tc>
          <w:tcPr>
            <w:tcW w:w="210" w:type="dxa"/>
            <w:tcBorders/>
            <w:shd w:fill="auto" w:val="clear"/>
            <w:vAlign w:val="bottom"/>
          </w:tcPr>
          <w:p>
            <w:pPr>
              <w:pStyle w:val="TableContents"/>
              <w:spacing w:before="0" w:after="0"/>
              <w:ind w:left="0" w:right="0" w:hanging="0"/>
              <w:rPr/>
            </w:pPr>
            <w:r>
              <w:rPr/>
              <w:t> </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 in deferred income taxes (note 9)</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18,156</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4,632</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charge for provisions (note 17)</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(798</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3,209</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(Increase) decrease in inventories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(139,703</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(90,448</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 decrease in other current and noncurrent assets</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(78,256</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30,986</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(Decrease) increase in other current and noncurrent liabilities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(59,224</w:t>
            </w:r>
          </w:p>
        </w:tc>
        <w:tc>
          <w:tcPr>
            <w:tcW w:w="2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(14,340</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operating activities</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3,708</w:t>
            </w:r>
          </w:p>
        </w:tc>
        <w:tc>
          <w:tcPr>
            <w:tcW w:w="210" w:type="dxa"/>
            <w:tcBorders/>
            <w:shd w:fill="auto" w:val="clear"/>
            <w:vAlign w:val="bottom"/>
          </w:tcPr>
          <w:p>
            <w:pPr>
              <w:pStyle w:val="TableContents"/>
              <w:spacing w:before="0" w:after="0"/>
              <w:ind w:left="0" w:right="0" w:hanging="0"/>
              <w:rPr/>
            </w:pPr>
            <w:r>
              <w:rPr/>
              <w:t> </w:t>
            </w:r>
          </w:p>
        </w:tc>
        <w:tc>
          <w:tcPr>
            <w:tcW w:w="12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162,522</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Investing activities: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Capital expenditures (note 10)</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(8,443</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(5,478</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disposals of fixed assets (note 4)</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4,553</w:t>
            </w:r>
          </w:p>
        </w:tc>
        <w:tc>
          <w:tcPr>
            <w:tcW w:w="210" w:type="dxa"/>
            <w:tcBorders/>
            <w:shd w:fill="CCEEFF" w:val="clear"/>
            <w:vAlign w:val="bottom"/>
          </w:tcPr>
          <w:p>
            <w:pPr>
              <w:pStyle w:val="TableContents"/>
              <w:spacing w:before="0" w:after="0"/>
              <w:ind w:left="0" w:right="0" w:hanging="0"/>
              <w:rPr/>
            </w:pPr>
            <w:r>
              <w:rPr/>
              <w:t> </w:t>
            </w:r>
          </w:p>
        </w:tc>
        <w:tc>
          <w:tcPr>
            <w:tcW w:w="12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cash used in investing activities</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(3,890</w:t>
            </w:r>
          </w:p>
        </w:tc>
        <w:tc>
          <w:tcPr>
            <w:tcW w:w="21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(5,478</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Financing activities: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transfer from (to) parent</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10" w:type="dxa"/>
            <w:tcBorders/>
            <w:shd w:fill="auto" w:val="clear"/>
            <w:vAlign w:val="bottom"/>
          </w:tcPr>
          <w:p>
            <w:pPr>
              <w:pStyle w:val="TableContents"/>
              <w:spacing w:before="0" w:after="0"/>
              <w:ind w:left="0" w:right="0" w:hanging="0"/>
              <w:rPr/>
            </w:pPr>
            <w:r>
              <w:rPr/>
              <w:t> </w:t>
            </w:r>
          </w:p>
        </w:tc>
        <w:tc>
          <w:tcPr>
            <w:tcW w:w="127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(157,044</w:t>
            </w:r>
          </w:p>
        </w:tc>
        <w:tc>
          <w:tcPr>
            <w:tcW w:w="114"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cash provided by (used in) financing activities</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182</w:t>
            </w:r>
          </w:p>
        </w:tc>
        <w:tc>
          <w:tcPr>
            <w:tcW w:w="210" w:type="dxa"/>
            <w:tcBorders/>
            <w:shd w:fill="CCEEFF" w:val="clear"/>
            <w:vAlign w:val="bottom"/>
          </w:tcPr>
          <w:p>
            <w:pPr>
              <w:pStyle w:val="TableContents"/>
              <w:spacing w:before="0" w:after="0"/>
              <w:ind w:left="0" w:right="0" w:hanging="0"/>
              <w:rPr/>
            </w:pPr>
            <w:r>
              <w:rPr/>
              <w:t> </w:t>
            </w:r>
          </w:p>
        </w:tc>
        <w:tc>
          <w:tcPr>
            <w:tcW w:w="12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(157,044</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 (decrease) in cash and cash equivalents</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27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at beginning of year</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CCEEFF" w:val="clear"/>
            <w:vAlign w:val="bottom"/>
          </w:tcPr>
          <w:p>
            <w:pPr>
              <w:pStyle w:val="TableContents"/>
              <w:spacing w:before="0" w:after="0"/>
              <w:ind w:left="0" w:right="0" w:hanging="0"/>
              <w:rPr/>
            </w:pPr>
            <w:r>
              <w:rPr/>
              <w:t> </w:t>
            </w:r>
          </w:p>
        </w:tc>
        <w:tc>
          <w:tcPr>
            <w:tcW w:w="127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Cash and cash equivalents at end of year</w:t>
            </w:r>
          </w:p>
        </w:tc>
        <w:tc>
          <w:tcPr>
            <w:tcW w:w="208" w:type="dxa"/>
            <w:tcBorders/>
            <w:shd w:fill="auto" w:val="clear"/>
            <w:vAlign w:val="bottom"/>
          </w:tcPr>
          <w:p>
            <w:pPr>
              <w:pStyle w:val="TableContents"/>
              <w:spacing w:before="0" w:after="0"/>
              <w:ind w:left="0" w:right="0" w:hanging="0"/>
              <w:rPr/>
            </w:pPr>
            <w:r>
              <w:rPr/>
              <w:t> </w:t>
            </w:r>
          </w:p>
        </w:tc>
        <w:tc>
          <w:tcPr>
            <w:tcW w:w="110" w:type="dxa"/>
            <w:tcBorders>
              <w:bottom w:val="double" w:sz="6" w:space="0" w:color="000000"/>
            </w:tcBorders>
            <w:shd w:fill="auto" w:val="clear"/>
            <w:tcMar>
              <w:bottom w:w="28" w:type="dxa"/>
            </w:tcM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top w:val="single" w:sz="8" w:space="0" w:color="000000"/>
              <w:bottom w:val="double" w:sz="6" w:space="0" w:color="000000"/>
            </w:tcBorders>
            <w:shd w:fill="auto" w:val="clear"/>
            <w:tcMar>
              <w:top w:w="28" w:type="dxa"/>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10" w:type="dxa"/>
            <w:tcBorders/>
            <w:shd w:fill="auto" w:val="clear"/>
            <w:vAlign w:val="bottom"/>
          </w:tcPr>
          <w:p>
            <w:pPr>
              <w:pStyle w:val="TableContents"/>
              <w:spacing w:before="0" w:after="0"/>
              <w:ind w:left="0" w:right="0" w:hanging="0"/>
              <w:rPr/>
            </w:pPr>
            <w:r>
              <w:rPr/>
              <w:t> </w:t>
            </w:r>
          </w:p>
        </w:tc>
        <w:tc>
          <w:tcPr>
            <w:tcW w:w="127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Supplemental disclosures of cash flow information:</w:t>
            </w:r>
          </w:p>
        </w:tc>
        <w:tc>
          <w:tcPr>
            <w:tcW w:w="208" w:type="dxa"/>
            <w:tcBorders/>
            <w:shd w:fill="CCEEFF" w:val="clear"/>
            <w:vAlign w:val="bottom"/>
          </w:tcPr>
          <w:p>
            <w:pPr>
              <w:pStyle w:val="TableContents"/>
              <w:spacing w:before="0" w:after="0"/>
              <w:ind w:left="0" w:right="0" w:hanging="0"/>
              <w:rPr/>
            </w:pPr>
            <w:r>
              <w:rPr/>
              <w:t> </w:t>
            </w:r>
          </w:p>
        </w:tc>
        <w:tc>
          <w:tcPr>
            <w:tcW w:w="1180" w:type="dxa"/>
            <w:gridSpan w:val="2"/>
            <w:tcBorders/>
            <w:shd w:fill="CCEEFF" w:val="clear"/>
            <w:vAlign w:val="bottom"/>
          </w:tcPr>
          <w:p>
            <w:pPr>
              <w:pStyle w:val="TableContents"/>
              <w:spacing w:before="0" w:after="0"/>
              <w:ind w:left="0" w:right="0" w:hanging="0"/>
              <w:jc w:val="right"/>
              <w:rPr/>
            </w:pPr>
            <w:r>
              <w:rPr/>
              <w:t> </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pPr>
            <w:r>
              <w:rPr/>
              <w:t> </w:t>
            </w:r>
          </w:p>
        </w:tc>
        <w:tc>
          <w:tcPr>
            <w:tcW w:w="114" w:type="dxa"/>
            <w:tcBorders/>
            <w:shd w:fill="CCEEFF" w:val="clear"/>
            <w:vAlign w:val="bottom"/>
          </w:tcPr>
          <w:p>
            <w:pPr>
              <w:pStyle w:val="TableContents"/>
              <w:spacing w:before="0" w:after="0"/>
              <w:ind w:left="0" w:right="0" w:hanging="0"/>
              <w:rPr/>
            </w:pPr>
            <w:r>
              <w:rPr/>
              <w:t> </w:t>
            </w:r>
          </w:p>
        </w:tc>
      </w:tr>
      <w:tr>
        <w:trPr/>
        <w:tc>
          <w:tcPr>
            <w:tcW w:w="72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Noncash activities:</w:t>
            </w:r>
          </w:p>
        </w:tc>
        <w:tc>
          <w:tcPr>
            <w:tcW w:w="208" w:type="dxa"/>
            <w:tcBorders/>
            <w:shd w:fill="auto" w:val="clear"/>
            <w:vAlign w:val="bottom"/>
          </w:tcPr>
          <w:p>
            <w:pPr>
              <w:pStyle w:val="TableContents"/>
              <w:spacing w:before="0" w:after="0"/>
              <w:ind w:left="0" w:right="0" w:hanging="0"/>
              <w:rPr/>
            </w:pPr>
            <w:r>
              <w:rPr/>
              <w:t> </w:t>
            </w:r>
          </w:p>
        </w:tc>
        <w:tc>
          <w:tcPr>
            <w:tcW w:w="1180" w:type="dxa"/>
            <w:gridSpan w:val="2"/>
            <w:tcBorders/>
            <w:shd w:fill="auto" w:val="clear"/>
            <w:vAlign w:val="bottom"/>
          </w:tcPr>
          <w:p>
            <w:pPr>
              <w:pStyle w:val="TableContents"/>
              <w:spacing w:before="0" w:after="0"/>
              <w:ind w:left="0" w:right="0" w:hanging="0"/>
              <w:jc w:val="right"/>
              <w:rPr/>
            </w:pPr>
            <w:r>
              <w:rPr/>
              <w:t> </w:t>
            </w:r>
          </w:p>
        </w:tc>
        <w:tc>
          <w:tcPr>
            <w:tcW w:w="210" w:type="dxa"/>
            <w:tcBorders/>
            <w:shd w:fill="auto" w:val="clear"/>
            <w:vAlign w:val="bottom"/>
          </w:tcPr>
          <w:p>
            <w:pPr>
              <w:pStyle w:val="TableContents"/>
              <w:spacing w:before="0" w:after="0"/>
              <w:ind w:left="0" w:right="0" w:hanging="0"/>
              <w:rPr/>
            </w:pPr>
            <w:r>
              <w:rPr/>
              <w:t> </w:t>
            </w:r>
          </w:p>
        </w:tc>
        <w:tc>
          <w:tcPr>
            <w:tcW w:w="1279" w:type="dxa"/>
            <w:tcBorders/>
            <w:shd w:fill="auto" w:val="clear"/>
            <w:vAlign w:val="bottom"/>
          </w:tcPr>
          <w:p>
            <w:pPr>
              <w:pStyle w:val="TableContents"/>
              <w:spacing w:before="0" w:after="0"/>
              <w:ind w:left="0" w:right="0" w:hanging="0"/>
              <w:jc w:val="right"/>
              <w:rPr/>
            </w:pPr>
            <w:r>
              <w:rPr/>
              <w:t> </w:t>
            </w:r>
          </w:p>
        </w:tc>
        <w:tc>
          <w:tcPr>
            <w:tcW w:w="114" w:type="dxa"/>
            <w:tcBorders/>
            <w:shd w:fill="auto" w:val="clear"/>
            <w:vAlign w:val="bottom"/>
          </w:tcPr>
          <w:p>
            <w:pPr>
              <w:pStyle w:val="TableContents"/>
              <w:spacing w:before="0" w:after="0"/>
              <w:ind w:left="0" w:right="0" w:hanging="0"/>
              <w:rPr/>
            </w:pPr>
            <w:r>
              <w:rPr/>
              <w:t> </w:t>
            </w:r>
          </w:p>
        </w:tc>
      </w:tr>
      <w:tr>
        <w:trPr/>
        <w:tc>
          <w:tcPr>
            <w:tcW w:w="72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 transfers with affiliates</w:t>
            </w:r>
          </w:p>
        </w:tc>
        <w:tc>
          <w:tcPr>
            <w:tcW w:w="208" w:type="dxa"/>
            <w:tcBorders/>
            <w:shd w:fill="CCEEFF" w:val="clear"/>
            <w:vAlign w:val="bottom"/>
          </w:tcPr>
          <w:p>
            <w:pPr>
              <w:pStyle w:val="TableContents"/>
              <w:spacing w:before="0" w:after="0"/>
              <w:ind w:left="0" w:right="0" w:hanging="0"/>
              <w:rPr/>
            </w:pPr>
            <w:r>
              <w:rPr/>
              <w:t> </w:t>
            </w:r>
          </w:p>
        </w:tc>
        <w:tc>
          <w:tcPr>
            <w:tcW w:w="11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07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682</w:t>
            </w:r>
          </w:p>
        </w:tc>
        <w:tc>
          <w:tcPr>
            <w:tcW w:w="210" w:type="dxa"/>
            <w:tcBorders/>
            <w:shd w:fill="CCEEFF" w:val="clear"/>
            <w:vAlign w:val="bottom"/>
          </w:tcPr>
          <w:p>
            <w:pPr>
              <w:pStyle w:val="TableContents"/>
              <w:spacing w:before="0" w:after="0"/>
              <w:ind w:left="0" w:right="0" w:hanging="0"/>
              <w:rPr/>
            </w:pPr>
            <w:r>
              <w:rPr/>
              <w:t> </w:t>
            </w:r>
          </w:p>
        </w:tc>
        <w:tc>
          <w:tcPr>
            <w:tcW w:w="127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(3,210</w:t>
            </w:r>
          </w:p>
        </w:tc>
        <w:tc>
          <w:tcPr>
            <w:tcW w:w="114"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See accompanying notes to financial statements.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34" w:name="PB_5_161701_3020"/>
      <w:bookmarkEnd w:id="3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bookmarkStart w:id="35" w:name="NotesToFinancialStatements_221346"/>
      <w:bookmarkEnd w:id="35"/>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w:t>
      </w:r>
      <w:r>
        <w:rPr>
          <w:rFonts w:ascii="Times New Roman" w:hAnsi="Times New Roman"/>
        </w:rPr>
        <w:t xml:space="preserve">                     </w:t>
      </w:r>
      <w:r>
        <w:rPr>
          <w:rFonts w:ascii="Times New Roman" w:hAnsi="Times New Roman"/>
          <w:b/>
          <w:sz w:val="17"/>
        </w:rPr>
        <w:t>Reporting Entity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Argyle (the Business, Company, we, us, or our) is domiciled in Canada with operations in Canada and the United States. The address of the Business registered office is 240 4</w:t>
      </w:r>
      <w:r>
        <w:rPr>
          <w:rFonts w:ascii="Times New Roman" w:hAnsi="Times New Roman"/>
          <w:sz w:val="11"/>
        </w:rPr>
        <w:t>th</w:t>
      </w:r>
      <w:r>
        <w:rPr>
          <w:rFonts w:ascii="Times New Roman" w:hAnsi="Times New Roman"/>
        </w:rPr>
        <w:t> </w:t>
      </w:r>
      <w:r>
        <w:rPr>
          <w:rFonts w:ascii="Times New Roman" w:hAnsi="Times New Roman"/>
          <w:sz w:val="17"/>
        </w:rPr>
        <w:t>Avenue Southwest, Calgary, Alberta. The Business is 100% owned by BP p.l.c. and its affiliates (collectively, BP or the Parent). The Business is primarily involved in the processing and sale of Natural Gas Liquids (NGLs). The financial statements of the Company at and for the year ended December 31, 2011 comprise the Business and its net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December 1, 2011 BP announced that it has agreed to sell the Business to Plains Midstream Canada ULC (Plains Midstream), a wholly-owned subsidiary of the Plains All American Pipeline, LP.  Plains Midstream will pay BP a total of US$1.67 billion in cash, subject to customary adjustments, for the Business.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w:t>
      </w:r>
      <w:r>
        <w:rPr>
          <w:rFonts w:ascii="Times New Roman" w:hAnsi="Times New Roman"/>
        </w:rPr>
        <w:t xml:space="preserve">                     </w:t>
      </w:r>
      <w:r>
        <w:rPr>
          <w:rFonts w:ascii="Times New Roman" w:hAnsi="Times New Roman"/>
          <w:b/>
          <w:sz w:val="17"/>
        </w:rPr>
        <w:t>Basis of Preparation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(a)</w:t>
      </w:r>
      <w:r>
        <w:rPr>
          <w:rFonts w:ascii="Times New Roman" w:hAnsi="Times New Roman"/>
        </w:rPr>
        <w:t xml:space="preserve">                      </w:t>
      </w:r>
      <w:r>
        <w:rPr>
          <w:rFonts w:ascii="Times New Roman" w:hAnsi="Times New Roman"/>
          <w:b/>
          <w:i/>
          <w:sz w:val="17"/>
        </w:rPr>
        <w:t>Statement of Compliance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financial statements have been prepared in accordance with International Financial Reporting Standards (IFRS) and IFRS Interpretations Committee (IFRIC) interpretations issued and effective for the year ended December 31, 2011, or issued and early adopted. The standards and interpretations adopted in the year are described further in note 3  Significant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financial statements were authorized for issue on March 22, 2012.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(b)</w:t>
      </w:r>
      <w:r>
        <w:rPr>
          <w:rFonts w:ascii="Times New Roman" w:hAnsi="Times New Roman"/>
        </w:rPr>
        <w:t xml:space="preserve">                      </w:t>
      </w:r>
      <w:r>
        <w:rPr>
          <w:rFonts w:ascii="Times New Roman" w:hAnsi="Times New Roman"/>
          <w:b/>
          <w:i/>
          <w:sz w:val="17"/>
        </w:rPr>
        <w:t>Basis of Measurement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accompanying financial statements of Argyle have been prepared from the historical accounting records of BP in anticipation of a potential transaction to separate the Business from BP.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Historically, financial statements have not been prepared for Argyle as it has not operated as a separate business. These financial statements reflect the carve-out financial position and the related results of operations, cash flows, and changes in the parents net investment in Argyle described above in a manner consistent with how BP managed the Business and as though Argyle had been a stand-alone company for all periods presented. All material assets and liabilities specifically identified to Argyle have been presented in the carve-out balance sheets; all material revenues and expenses specifically identified to Argyle and allocations of overhead expenses have been presented in the carve-out statements of comprehensive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Allocations of expenses related to shared assets and liabilities and overhead expenses have been allocated to Argyle in accordance with the Securities and Exchange Commission of the United States Staff Accounting Bulletin Topic 1-B, </w:t>
      </w:r>
      <w:r>
        <w:rPr>
          <w:rFonts w:ascii="Times New Roman" w:hAnsi="Times New Roman"/>
          <w:i/>
          <w:sz w:val="17"/>
        </w:rPr>
        <w:t>Allocations of Expenses and Related Disclosure in Financial Statements of Subsidiaries, Divisions or Lesser Business Components of Another Entity</w:t>
      </w:r>
      <w:r>
        <w:rPr>
          <w:rFonts w:ascii="Times New Roman" w:hAnsi="Times New Roman"/>
          <w:sz w:val="17"/>
        </w:rPr>
        <w:t>. The financials also are intended to comply with the disclosure requirements of the Ontario and Alberta Securities Commissions.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BPs net investment in Argyle has been presented in lieu of stockholders equity in the carve-out financial statements. Transactions between Argyle and BP have been identified as related-party transactions. It is possible that the terms of the transactions with other BP affiliates are not the same as those that would result from transactions among unrelated parties. Payments made by BP to</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36" w:name="PB_6_154400_7056"/>
      <w:bookmarkEnd w:id="3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or to BP from Argyle are presented as transfers to and from parent as a component of net parent investment in the Business. Additionally, the carve-out financial statements for Argyle include allocations of costs for certain support functions for which the balance sheet impact is accounted for through BPs net investment in Argyle. These support functions include legal, finance, human resources, and other administrative functions. As Argyle is not a separate legal entity, assets and liabilities associated with certain items that are included in the statements of comprehensive income are not included on the Argyle balance sheets. See note 20  Related Parties for further information. In the opinion of BPs management, all adjustments have been reflected that are necessary for a fair presentation of the carve-out financial statements. Also, BPs management believes that the allocations have been made on a reasonable basis and have been consistently applied for each period presented. The carve-out financial statements may not necessarily reflect the financial position, results of operations, or cash flows that Argyle might have had in the past had it existed as a separate, stand-alone business during the periods presented.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accounting policies that follow have been consistently applied to all years presented. The balance sheet as at January 1, 2010 is not presented as it is not affected by the retrospective adoption of any new accounting policies during the year, nor any other retrospective restatements or reclassifications.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(c)</w:t>
      </w:r>
      <w:r>
        <w:rPr>
          <w:rFonts w:ascii="Times New Roman" w:hAnsi="Times New Roman"/>
        </w:rPr>
        <w:t xml:space="preserve">                       </w:t>
      </w:r>
      <w:r>
        <w:rPr>
          <w:rFonts w:ascii="Times New Roman" w:hAnsi="Times New Roman"/>
          <w:b/>
          <w:i/>
          <w:sz w:val="17"/>
        </w:rPr>
        <w:t>Functional and Presentation Currency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These financial statements are presented in United States Dollars (USD), which is the Business functional currency. All financial information presented in USD has been rounded to the nearest thousand unless otherwise noted.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(d)</w:t>
      </w:r>
      <w:r>
        <w:rPr>
          <w:rFonts w:ascii="Times New Roman" w:hAnsi="Times New Roman"/>
        </w:rPr>
        <w:t xml:space="preserve">                      </w:t>
      </w:r>
      <w:r>
        <w:rPr>
          <w:rFonts w:ascii="Times New Roman" w:hAnsi="Times New Roman"/>
          <w:b/>
          <w:i/>
          <w:sz w:val="17"/>
        </w:rPr>
        <w:t>Use of Estimates and Judgments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preparation of the financial statements in conformity with IFRS requires management to make judgments, estimates, and assumptions that affect the application of accounting policies and the reported amounts of assets, liabilities, income, and expenses. Actual results may differ from these estimates.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Estimates and underlying assumptions are reviewed on an ongoing basis. Revisions to accounting estimates are recognized in the period in which the estimates are revised and in any future periods affected.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Information about critical judgments in applying accounting policies that have the most significant effect on the amounts recognized in the financial statements is included in the following notes: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9 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14  Valuations and Other Qualifying Accounts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16  Derivative Financial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17  Provisions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18  Contingencies and Commitments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Note 20  Related Parties (Including Relationship with Parent and Corporate Allocations)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37" w:name="PB_7_154518_5335"/>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(3)</w:t>
      </w:r>
      <w:r>
        <w:rPr>
          <w:rFonts w:ascii="Times New Roman" w:hAnsi="Times New Roman"/>
        </w:rPr>
        <w:t xml:space="preserve">                     </w:t>
      </w:r>
      <w:r>
        <w:rPr>
          <w:rFonts w:ascii="Times New Roman" w:hAnsi="Times New Roman"/>
          <w:b/>
          <w:sz w:val="17"/>
        </w:rPr>
        <w:t>Significant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(a)</w:t>
      </w:r>
      <w:r>
        <w:rPr>
          <w:rFonts w:ascii="Times New Roman" w:hAnsi="Times New Roman"/>
        </w:rPr>
        <w:t xml:space="preserve">                      </w:t>
      </w:r>
      <w:r>
        <w:rPr>
          <w:rFonts w:ascii="Times New Roman" w:hAnsi="Times New Roman"/>
          <w:b/>
          <w:i/>
          <w:sz w:val="17"/>
        </w:rPr>
        <w:t>Jointly Controlled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conducts many of its activities through joint ventures where the venturers have a direct ownership interest in, and jointly control, the assets of the venture. Argyle recognizes, on a line-by-line basis in the consolidated financial statements, its share of the assets, liabilities, and expenses of these jointly controlled assets incurred jointly with the other partners, along with the groups income from the sale of its share of the output and any liabilities and expenses that the Business has incurred in relation to the venture.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(b)</w:t>
      </w:r>
      <w:r>
        <w:rPr>
          <w:rFonts w:ascii="Times New Roman" w:hAnsi="Times New Roman"/>
        </w:rPr>
        <w:t xml:space="preserve">                      </w:t>
      </w:r>
      <w:r>
        <w:rPr>
          <w:rFonts w:ascii="Times New Roman" w:hAnsi="Times New Roman"/>
          <w:b/>
          <w:i/>
          <w:sz w:val="17"/>
        </w:rPr>
        <w:t>Relationship with Parent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BPs net investment in Argyle is shown in lieu of stockholders equity in the financial statements as there was no direct ownership relationship between BP and the Business (as the Business is not a separate legal entity). BPs net investment in the Business is presented as Net parent investment. Changes in net parent investment include net cash transfers and other transfers to and from Parent and the Business. BP performs cash management and other treasury-related functions on a centralized basis for nearly all of its operating units, which includes the Business. Assets and liabilities not specifically identifiable to the Business are reflected in the net parent investment account and include: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Cash transfers to and from BP and Argyle;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Accrued liabilities related to corporate allocations including administrative expenses for legal, accounting, treasury, information technology, human resources, and other services;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Interest expense and financing-related balances such as debt that is managed centrally by the Parent and which was not secured by the Argyles assets.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(c)</w:t>
      </w:r>
      <w:r>
        <w:rPr>
          <w:rFonts w:ascii="Times New Roman" w:hAnsi="Times New Roman"/>
        </w:rPr>
        <w:t xml:space="preserve">                       </w:t>
      </w:r>
      <w:r>
        <w:rPr>
          <w:rFonts w:ascii="Times New Roman" w:hAnsi="Times New Roman"/>
          <w:b/>
          <w:i/>
          <w:sz w:val="17"/>
        </w:rPr>
        <w:t>Related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addition to transactions with the Parent that are discussed above, Argyle also has operating transactions, primarily purchases and sales of NGLs, with BP and other BP-owned entities (collectively, Related Parties). These purchases and sales are included in Argyles statement of comprehensive income and are disclosed as being with related parties on the face of the statements of comprehensive income. As noted above, Argyle participates in BPs cash management and treasury-related functions. The BP policy in settling intercompany receivables and payables is automatic settlement at 30 days. Accordingly, receivables and payables aged less than 30 days are shown on the balance sheet and disclosed as being receivables from, and payables to, related parties. After 30 days, receivables and payables are deemed settled and reclassified to net parent investment.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(d)</w:t>
      </w:r>
      <w:r>
        <w:rPr>
          <w:rFonts w:ascii="Times New Roman" w:hAnsi="Times New Roman"/>
        </w:rPr>
        <w:t xml:space="preserve">                      </w:t>
      </w:r>
      <w:r>
        <w:rPr>
          <w:rFonts w:ascii="Times New Roman" w:hAnsi="Times New Roman"/>
          <w:b/>
          <w:i/>
          <w:sz w:val="17"/>
        </w:rPr>
        <w:t>Property, Plant, and Equipment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Property, plant, and equipment are stated at cost, less accumulated depreciation and accumulated impairment losses.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initial cost of an asset comprises its purchase price or construction cost, any costs directly attributable to bringing the asset into operation, and the initial estimate of the decommissioning obligation, if any. The purchase price or construction cost is the aggregate amount paid and the fair value of any other consideration given to acquire the asset.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38" w:name="PB_8_155238_5796"/>
      <w:bookmarkEnd w:id="3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Expenditure on major maintenance refits or repairs comprises the cost of replacement assets or parts of assets, inspection costs, and overhaul costs. Where an asset or part of an asset that was separately depreciated is replaced and it is probable that future economic benefits associated with the item will flow to the Business, the expenditure is capitalized and the carrying amount of the replaced asset is derecognized. Overhaul costs for major maintenance programs and all other maintenance costs are expensed as incurred.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Property, plant, and equipment are depreciated on a straight-line basis over their expected useful life.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useful lives of property, plant, and equipment are as follows:</w:t>
      </w:r>
    </w:p>
    <w:p>
      <w:pPr>
        <w:pStyle w:val="TextBody"/>
        <w:spacing w:before="0" w:after="0"/>
        <w:ind w:left="0" w:right="0" w:hanging="0"/>
        <w:rPr/>
      </w:pPr>
      <w:r>
        <w:rPr/>
        <w:t> </w:t>
      </w:r>
    </w:p>
    <w:tbl>
      <w:tblPr>
        <w:tblW w:w="2700" w:type="pct"/>
        <w:jc w:val="left"/>
        <w:tblInd w:w="0" w:type="dxa"/>
        <w:tblCellMar>
          <w:top w:w="0" w:type="dxa"/>
          <w:left w:w="0" w:type="dxa"/>
          <w:bottom w:w="0" w:type="dxa"/>
          <w:right w:w="0" w:type="dxa"/>
        </w:tblCellMar>
      </w:tblPr>
      <w:tblGrid>
        <w:gridCol w:w="3990"/>
        <w:gridCol w:w="223"/>
        <w:gridCol w:w="1234"/>
        <w:gridCol w:w="63"/>
      </w:tblGrid>
      <w:tr>
        <w:trPr/>
        <w:tc>
          <w:tcPr>
            <w:tcW w:w="39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Fixtures and office equipment</w:t>
            </w:r>
          </w:p>
        </w:tc>
        <w:tc>
          <w:tcPr>
            <w:tcW w:w="223" w:type="dxa"/>
            <w:tcBorders/>
            <w:shd w:fill="CCEEFF" w:val="clear"/>
            <w:vAlign w:val="bottom"/>
          </w:tcPr>
          <w:p>
            <w:pPr>
              <w:pStyle w:val="TableContents"/>
              <w:spacing w:before="0" w:after="0"/>
              <w:ind w:left="0" w:right="0" w:hanging="0"/>
              <w:rPr/>
            </w:pPr>
            <w:r>
              <w:rPr/>
              <w:t> </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  15 years</w:t>
            </w:r>
          </w:p>
        </w:tc>
        <w:tc>
          <w:tcPr>
            <w:tcW w:w="63" w:type="dxa"/>
            <w:tcBorders/>
            <w:shd w:fill="CCEEFF" w:val="clear"/>
            <w:vAlign w:val="bottom"/>
          </w:tcPr>
          <w:p>
            <w:pPr>
              <w:pStyle w:val="TableContents"/>
              <w:spacing w:before="0" w:after="0"/>
              <w:ind w:left="0" w:right="0" w:hanging="0"/>
              <w:rPr/>
            </w:pPr>
            <w:r>
              <w:rPr/>
              <w:t> </w:t>
            </w:r>
          </w:p>
        </w:tc>
      </w:tr>
      <w:tr>
        <w:trPr/>
        <w:tc>
          <w:tcPr>
            <w:tcW w:w="39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Plant, machinery, and equipment</w:t>
            </w:r>
          </w:p>
        </w:tc>
        <w:tc>
          <w:tcPr>
            <w:tcW w:w="223" w:type="dxa"/>
            <w:tcBorders/>
            <w:shd w:fill="auto" w:val="clear"/>
            <w:vAlign w:val="bottom"/>
          </w:tcPr>
          <w:p>
            <w:pPr>
              <w:pStyle w:val="TableContents"/>
              <w:spacing w:before="0" w:after="0"/>
              <w:ind w:left="0" w:right="0" w:hanging="0"/>
              <w:rPr/>
            </w:pPr>
            <w:r>
              <w:rPr/>
              <w:t> </w:t>
            </w:r>
          </w:p>
        </w:tc>
        <w:tc>
          <w:tcPr>
            <w:tcW w:w="12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 years</w:t>
            </w:r>
          </w:p>
        </w:tc>
        <w:tc>
          <w:tcPr>
            <w:tcW w:w="63" w:type="dxa"/>
            <w:tcBorders/>
            <w:shd w:fill="auto" w:val="clear"/>
            <w:vAlign w:val="bottom"/>
          </w:tcPr>
          <w:p>
            <w:pPr>
              <w:pStyle w:val="TableContents"/>
              <w:spacing w:before="0" w:after="0"/>
              <w:ind w:left="0" w:right="0" w:hanging="0"/>
              <w:rPr/>
            </w:pPr>
            <w:r>
              <w:rPr/>
              <w:t> </w:t>
            </w:r>
          </w:p>
        </w:tc>
      </w:tr>
      <w:tr>
        <w:trPr/>
        <w:tc>
          <w:tcPr>
            <w:tcW w:w="399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Decommissioning assets</w:t>
            </w:r>
          </w:p>
        </w:tc>
        <w:tc>
          <w:tcPr>
            <w:tcW w:w="223" w:type="dxa"/>
            <w:tcBorders/>
            <w:shd w:fill="CCEEFF" w:val="clear"/>
            <w:vAlign w:val="bottom"/>
          </w:tcPr>
          <w:p>
            <w:pPr>
              <w:pStyle w:val="TableContents"/>
              <w:spacing w:before="0" w:after="0"/>
              <w:ind w:left="0" w:right="0" w:hanging="0"/>
              <w:rPr/>
            </w:pPr>
            <w:r>
              <w:rPr/>
              <w:t> </w:t>
            </w:r>
          </w:p>
        </w:tc>
        <w:tc>
          <w:tcPr>
            <w:tcW w:w="123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 years</w:t>
            </w:r>
          </w:p>
        </w:tc>
        <w:tc>
          <w:tcPr>
            <w:tcW w:w="63" w:type="dxa"/>
            <w:tcBorders/>
            <w:shd w:fill="CCEEFF" w:val="clear"/>
            <w:vAlign w:val="bottom"/>
          </w:tcPr>
          <w:p>
            <w:pPr>
              <w:pStyle w:val="TableContents"/>
              <w:spacing w:before="0" w:after="0"/>
              <w:ind w:left="0" w:right="0" w:hanging="0"/>
              <w:rPr/>
            </w:pPr>
            <w:r>
              <w:rPr/>
              <w:t> </w:t>
            </w:r>
          </w:p>
        </w:tc>
      </w:tr>
      <w:tr>
        <w:trPr/>
        <w:tc>
          <w:tcPr>
            <w:tcW w:w="399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Transportation</w:t>
            </w:r>
          </w:p>
        </w:tc>
        <w:tc>
          <w:tcPr>
            <w:tcW w:w="223" w:type="dxa"/>
            <w:tcBorders/>
            <w:shd w:fill="auto" w:val="clear"/>
            <w:vAlign w:val="bottom"/>
          </w:tcPr>
          <w:p>
            <w:pPr>
              <w:pStyle w:val="TableContents"/>
              <w:spacing w:before="0" w:after="0"/>
              <w:ind w:left="0" w:right="0" w:hanging="0"/>
              <w:rPr/>
            </w:pPr>
            <w:r>
              <w:rPr/>
              <w:t> </w:t>
            </w:r>
          </w:p>
        </w:tc>
        <w:tc>
          <w:tcPr>
            <w:tcW w:w="123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  15 years</w:t>
            </w:r>
          </w:p>
        </w:tc>
        <w:tc>
          <w:tcPr>
            <w:tcW w:w="63"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expected useful lives of property, plant, and equipment are reviewed on an annual basis and, if necessary, changes in useful lives are accounted for prospectively.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carrying value of property, plant, and equipment is reviewed for impairment whenever events or changes in circumstances indicate the carrying value may not be recoverable. See further discussion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item of property, plant, and equipment is derecognized upon disposal or when no future economic benefits are expected to arise from the continued use of the asset. Any gain or loss arising on derecognition of the asset (calculated as the difference between the net disposal proceeds and the carrying amount of the item) is included in the statement of comprehensive income in the years in which the item is derecognized.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(e)</w:t>
      </w:r>
      <w:r>
        <w:rPr>
          <w:rFonts w:ascii="Times New Roman" w:hAnsi="Times New Roman"/>
        </w:rPr>
        <w:t xml:space="preserve">                       </w:t>
      </w:r>
      <w:r>
        <w:rPr>
          <w:rFonts w:ascii="Times New Roman" w:hAnsi="Times New Roman"/>
          <w:b/>
          <w:i/>
          <w:sz w:val="17"/>
        </w:rPr>
        <w:t>Intangible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Intangible assets are limited to internally developed software. These intangible assets have a finite life and are amortized on a straight-line basis over their expected useful lives. The expected useful life of the intangible asset is four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expected useful lives of intangible assets are reviewed on an annual basis and, if necessary, changes in useful lives are accounted for prospectively.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carrying value of intangible assets is reviewed for impairment whenever events or changes in circumstances indicate the carrying value may not be recoverable. See further discussion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(f)</w:t>
      </w:r>
      <w:r>
        <w:rPr>
          <w:rFonts w:ascii="Times New Roman" w:hAnsi="Times New Roman"/>
        </w:rPr>
        <w:t xml:space="preserve">                         </w:t>
      </w:r>
      <w:r>
        <w:rPr>
          <w:rFonts w:ascii="Times New Roman" w:hAnsi="Times New Roman"/>
          <w:b/>
          <w:i/>
          <w:sz w:val="17"/>
        </w:rPr>
        <w:t>Impairment of Intangible Assets and Property, Plant, and Equipment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Business assesses assets or groups of assets for impairment whenever events or changes in circumstances indicate that the carrying value of an asset may not be recoverable, for example, low prices or margins for an extended period. If any such indication of impairment exists, the Business makes an estimate of the assets recoverable amount. Individual assets are grouped for impairment assessment purposes at the lowest level at which there are identifiable cash flows that are largely independent of the cash flows of other groups of assets. An asset groups recoverable amount is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39" w:name="PB_9_155810_2897"/>
      <w:bookmarkEnd w:id="3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higher of its fair value less costs to sell and its value in use. Where the carrying amount of an asset group exceeds its recoverable amount, the asset group is considered impaired and is written down to its recoverable amount. In assessing value in use, the estimated future cash flows are adjusted for the risks specific to the asset group and are discounted to their present value using a pre tax discount rate that reflects current market assessments of the time value of money.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That increased amount cannot exceed the carrying amount that would have been determined, net of depreciation, had no impairment loss been recognized for the asset in prior years. Such reversal is recognized in the statement of comprehensive income. After such a reversal, the depreciation charge is adjusted in future periods to allocate the assets revised carrying amount, less any residual value, on a systematic basis over its remaining useful life.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(g)</w:t>
      </w:r>
      <w:r>
        <w:rPr>
          <w:rFonts w:ascii="Times New Roman" w:hAnsi="Times New Roman"/>
        </w:rPr>
        <w:t xml:space="preserve">                      </w:t>
      </w:r>
      <w:r>
        <w:rPr>
          <w:rFonts w:ascii="Times New Roman" w:hAnsi="Times New Roman"/>
          <w:b/>
          <w:i/>
          <w:sz w:val="17"/>
        </w:rPr>
        <w:t>Financial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Financial assets are classified as receivables or as financial assets at fair value through profit or loss, as appropriate. Note that there are no loans or available-for-sale financial assets held by the Business. Financial assets held by the Business include trade receivables and other receivables (derivative financial instruments are held by the parent and discussed in the derivatives policy below). The Business determines the classification of its financial assets at initial recognition. Financial assets are recognized initially at fair value, normally being the transaction price plus, in the case of financial assets not at fair value through profit or loss, directly attributable transaction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subsequent measurement of financial assets depends on their classification, as follows: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Receivables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Receivables are nonderivative financial assets with fixed or determinable payments that are not quoted in an active market. Such assets are carried at their stated value as the time value of money is insignificant. Gains and losses are recognized in income when the receivables are derecognized or impaired. This category of financial assets includes trade and other receivables.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Financial Assets at Fair Value through Profit and Loss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Derivatives are included in this category. The actual derivative contracts are held by another BP entity, Integrated Sales and Trading (IST), which is not part of the Argyle Business. Accordingly, while realized gains and losses as well as the mark to market adjustments are recognized on the Argyle statement of comprehensive income, the corresponding asset is retained by the Parent.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(h)</w:t>
      </w:r>
      <w:r>
        <w:rPr>
          <w:rFonts w:ascii="Times New Roman" w:hAnsi="Times New Roman"/>
        </w:rPr>
        <w:t xml:space="preserve">                      </w:t>
      </w:r>
      <w:r>
        <w:rPr>
          <w:rFonts w:ascii="Times New Roman" w:hAnsi="Times New Roman"/>
          <w:b/>
          <w:i/>
          <w:sz w:val="17"/>
        </w:rPr>
        <w:t>Impairment of Financial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Business assesses at each balance sheet date whether a financial asset or group of financial assets is impaired.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40" w:name="PB_10_155854_3020"/>
      <w:bookmarkEnd w:id="4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Receivables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there is objective evidence that an impairment loss on receivables has been incurred, the amount of the loss is measured as the difference between the assets carrying amount and the present value of estimated future cash flows. The carrying amount of the asset is reduced and the amount of the loss is recognized in the statement of comprehensive income. Argyle has no general reserve against accounts receivable and specific accounts are reserved against when necessary. Argyle believes that the creditworthiness of its clients is of a high quality.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(i)</w:t>
      </w:r>
      <w:r>
        <w:rPr>
          <w:rFonts w:ascii="Times New Roman" w:hAnsi="Times New Roman"/>
        </w:rPr>
        <w:t xml:space="preserve">                         </w:t>
      </w:r>
      <w:r>
        <w:rPr>
          <w:rFonts w:ascii="Times New Roman" w:hAnsi="Times New Roman"/>
          <w:b/>
          <w:i/>
          <w:sz w:val="17"/>
        </w:rPr>
        <w:t>Inventories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Inventories are stated at the lower of cost or net realizable value. Cost is determined by the first-in, first-out method and comprises direct purchase costs, cost of processing, and transportation expenses. Net realizable value is determined by reference to prices existing at the balance sheet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(j)</w:t>
      </w:r>
      <w:r>
        <w:rPr>
          <w:rFonts w:ascii="Times New Roman" w:hAnsi="Times New Roman"/>
        </w:rPr>
        <w:t xml:space="preserve">                         </w:t>
      </w:r>
      <w:r>
        <w:rPr>
          <w:rFonts w:ascii="Times New Roman" w:hAnsi="Times New Roman"/>
          <w:b/>
          <w:i/>
          <w:sz w:val="17"/>
        </w:rPr>
        <w:t>Financial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Financial liabilities are classified as financial liabilities at fair value through profit or loss or as other financial liabilities, as appropriate. Financial liabilities include trade and other payables, accruals, and derivative financial instruments (which are held by IST on behalf of Argyle). The Business determines the classification of its financial liabilities at initial recognition. The measurement of financial liabilities depends on their classification, as follows: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Financial Liabilities Measured at Fair Value through Profit and Loss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Derivatives are included in this category. The actual derivative contracts are held by BP and not the Argyle business. Accordingly, while realized gains and losses as well as the mark-to-market adjustments are recognized on the Argyle statement of comprehensive income, the corresponding liability is retained by the Parent.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Financial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financial liabilities of the Business include trade and other payables as well as accruals. Due to the short-term nature of these financial liabilities, they are initially and subsequently measured at their stated value, which approximates fair value.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(k)</w:t>
      </w:r>
      <w:r>
        <w:rPr>
          <w:rFonts w:ascii="Times New Roman" w:hAnsi="Times New Roman"/>
        </w:rPr>
        <w:t xml:space="preserve">                      </w:t>
      </w:r>
      <w:r>
        <w:rPr>
          <w:rFonts w:ascii="Times New Roman" w:hAnsi="Times New Roman"/>
          <w:b/>
          <w:i/>
          <w:sz w:val="17"/>
        </w:rPr>
        <w:t>Leases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Argyle evaluates whether its leases are a finance or operating lease in accordance with International Accounting Standard (IAS) 17, </w:t>
      </w:r>
      <w:r>
        <w:rPr>
          <w:rFonts w:ascii="Times New Roman" w:hAnsi="Times New Roman"/>
          <w:i/>
          <w:sz w:val="17"/>
        </w:rPr>
        <w:t>Leases.</w:t>
      </w:r>
      <w:r>
        <w:rPr>
          <w:rFonts w:ascii="Times New Roman" w:hAnsi="Times New Roman"/>
          <w:sz w:val="17"/>
        </w:rPr>
        <w:t>  It was concluded all of its leases are operating leases. Operating lease payments are recognized as an expense in the statement of comprehensive income on a straight-line basis over the lease term.</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(l)</w:t>
      </w:r>
      <w:r>
        <w:rPr>
          <w:rFonts w:ascii="Times New Roman" w:hAnsi="Times New Roman"/>
        </w:rPr>
        <w:t xml:space="preserve">                         </w:t>
      </w:r>
      <w:r>
        <w:rPr>
          <w:rFonts w:ascii="Times New Roman" w:hAnsi="Times New Roman"/>
          <w:b/>
          <w:i/>
          <w:sz w:val="17"/>
        </w:rPr>
        <w:t>Derivative Financial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Parent uses derivative financial instruments to manage certain exposures of the Business to fluctuations in energy and commodity prices. Derivative financial instruments are initially recognized at fair value on the date that a derivative contract is entered into and are subsequently remeasured at fair value.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Gains or losses arising from changes in the fair value of derivatives are recognized in the statements of comprehensive income as the derivatives entered into by the Business are not accounted for using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41" w:name="PB_11_155920_7748"/>
      <w:bookmarkEnd w:id="4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hedge accounting. As the derivatives are held by the Parent, the balance sheet impact of the derivatives is recorded through net parent investment.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(m)</w:t>
      </w:r>
      <w:r>
        <w:rPr>
          <w:rFonts w:ascii="Times New Roman" w:hAnsi="Times New Roman"/>
        </w:rPr>
        <w:t xml:space="preserve">                   </w:t>
      </w:r>
      <w:r>
        <w:rPr>
          <w:rFonts w:ascii="Times New Roman" w:hAnsi="Times New Roman"/>
          <w:b/>
          <w:i/>
          <w:sz w:val="17"/>
        </w:rPr>
        <w:t>Provisions and Contingencies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Provisions are recognized when Argyle has a present obligation (legal or constructive) as a result of a past event, it is probable that an outflow of resources embodying economic benefits will be required to settle the obligation, and a reliable estimate can be made as to the amount of the obligation. Where appropriate, the future cash flow estimates are adjusted to reflect risks specific to the liability.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the effect of the time value of money is material, provisions are determined by discounting the expected future cash flows at a pre-tax risk-free rate that reflects current market assessments of the time value of money. Where discounting is used, the increase in the provision due to the passage of time is recognized within finance costs. Provisions are split between amounts expected to be settled within 12 months of the balance sheet date (current) and amounts expected to be settled later (noncurrent).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Contingent liabilities are possible obligations whose existence will only be confirmed by future events not wholly within the control of the Business, or present obligations where it is not probable that an outflow of resources will be required or the amount of the obligation cannot be measured with sufficient reliability. Contingent liabilities are not recognized in the financial statements but are disclosed unless the possibility of an outflow of economic resources is considered remote.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Amounts that Argyle has a contractual right to recover from third parties are contingent assets. Such amounts are not recognized in the accounts unless they are virtually certain to be received.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(n)</w:t>
      </w:r>
      <w:r>
        <w:rPr>
          <w:rFonts w:ascii="Times New Roman" w:hAnsi="Times New Roman"/>
        </w:rPr>
        <w:t xml:space="preserve">                      </w:t>
      </w:r>
      <w:r>
        <w:rPr>
          <w:rFonts w:ascii="Times New Roman" w:hAnsi="Times New Roman"/>
          <w:b/>
          <w:i/>
          <w:sz w:val="17"/>
        </w:rPr>
        <w:t>Decommissioning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Liabilities for decommissioning costs are recognized when the Business has an obligation to dismantle and remove a facility or other asset and to restore the site on which it is located, and when a reliable estimate of that liability can be made. Where an obligation exists for a new facility, the decommissioning asset and liability will be set up on construction or installation. An obligation for decommissioning may also crystallize during the period of operation of a facility through a change in legislation or through a decision to terminate operations. The amount recognized is the present value of the estimated future expenditure determined in accordance with local conditions and requirements.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 corresponding item of property, plant, and equipment in an amount equivalent to the provision is also recognized. This is subsequently depreciated as part of the asset.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than the unwinding of the discount on the provision, any change in the present value of the estimated expenditure is reflected as an adjustment to the provision and the corresponding item of property, plant, and equipment. Such changes include foreign exchange gains and losses arising on the retranslation of the liability into the functional currency of the reporting entity, when it is known that the liability will be settled in a foreign currency.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42" w:name="PB_12_155954_141"/>
      <w:bookmarkEnd w:id="4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(o)</w:t>
      </w:r>
      <w:r>
        <w:rPr>
          <w:rFonts w:ascii="Times New Roman" w:hAnsi="Times New Roman"/>
        </w:rPr>
        <w:t xml:space="preserve">                      </w:t>
      </w:r>
      <w:r>
        <w:rPr>
          <w:rFonts w:ascii="Times New Roman" w:hAnsi="Times New Roman"/>
          <w:b/>
          <w:i/>
          <w:sz w:val="17"/>
        </w:rPr>
        <w:t>Environmental Expenditures and Liabilities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Environmental expenditures that relate to current or future revenues are expensed or capitalized as appropriate. Expenditures that relate to an existing condition caused by past operations and do not contribute to current or future earnings are expensed.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Liabilities for environmental costs are recognized when a clean-up is probable and the associated costs can be reliably estimated. Generally, the timing of recognition of these provisions coincides with the commitment to a formal plan of action or, if earlier, on divestment or on closure of inactive sites.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amount recognized is the best estimate of the expenditure required. Where the liability will not be settled for a number of years, the amount recognized is the present value of the estimated future expenditure.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(p)</w:t>
      </w:r>
      <w:r>
        <w:rPr>
          <w:rFonts w:ascii="Times New Roman" w:hAnsi="Times New Roman"/>
        </w:rPr>
        <w:t xml:space="preserve">                      </w:t>
      </w:r>
      <w:r>
        <w:rPr>
          <w:rFonts w:ascii="Times New Roman" w:hAnsi="Times New Roman"/>
          <w:b/>
          <w:i/>
          <w:sz w:val="17"/>
        </w:rPr>
        <w:t>Employee Benefits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Wages, salaries, and bonuses are accrued in the period in which the associated services are rendered by employees of the Business. Certain employees of the Business participate in share-based payment plans, pension plans, and other post retirement plans sponsored by the Parent. A charge for Argyles employees participation in these plans has been included in the statement of comprehensive income.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(q)</w:t>
      </w:r>
      <w:r>
        <w:rPr>
          <w:rFonts w:ascii="Times New Roman" w:hAnsi="Times New Roman"/>
        </w:rPr>
        <w:t xml:space="preserve">                      </w:t>
      </w:r>
      <w:r>
        <w:rPr>
          <w:rFonts w:ascii="Times New Roman" w:hAnsi="Times New Roman"/>
          <w:b/>
          <w:i/>
          <w:sz w:val="17"/>
        </w:rPr>
        <w:t>Corporate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BPs historic consolidated financial statements included the Argyle operations. For purposes of these carve-out financial statements, Argyles taxes are computed and reported on a separate return basis.  Income taxes as presented herein allocate current and deferred income taxes of BP to Argyle in a manner that is systematic, rational, and consistent with the asset and liability method prescribed by IFRS.  Accordingly, the sum of the amounts allocated to the carve-out tax provisions may not equal the historical consolidated provision.  Under the separate return method, deferred tax assets and liabilities are recognized for the future tax consequences attributable to differences between the financial statement carrying amounts of existing assets and liabilities and their respective tax bases and operating loss carry-forwards.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Income tax expense is comprised of current and deferred tax. Current tax is the expected tax payable or receivable on the taxable income or loss for the year, using tax rates enacted or substantively enacted at the reporting date, and any adjustment to tax payable in respect of previous years.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Deferred tax is recognized in respect of temporary differences between the carrying amounts of assets and liabilities for financial reporting purposes and the amounts used for taxation purposes. Deferred tax is measured at the tax rates that are expected to be applied to temporary differences when they reverse, based on the laws that have been enacted or substantively enacted by the reporting date. Deferred tax assets and liabilities are offset if there is a legally enforceable right to offset current tax liabilities and assets, and they relate to income taxes levied by the same tax authority on the same taxable entity, or on different tax entities, but they intend to settle current tax liabilities and assets on a net basis or their tax assets and liabilities will be realized simultaneously.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Deferred tax assets are recognized for unused tax losses, tax credits and deductible temporary differences, to the extent that it is probable that future taxable profits will be available against which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43" w:name="PB_13_160026_7608"/>
      <w:bookmarkEnd w:id="4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they can be utilized. Deferred tax assets are reviewed at each reporting date and are reduced to the extent that it is no longer probable that the related tax benefit will be realized.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For further information, see Note 9.</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(r)</w:t>
      </w:r>
      <w:r>
        <w:rPr>
          <w:rFonts w:ascii="Times New Roman" w:hAnsi="Times New Roman"/>
        </w:rPr>
        <w:t xml:space="preserve">                        </w:t>
      </w:r>
      <w:r>
        <w:rPr>
          <w:rFonts w:ascii="Times New Roman" w:hAnsi="Times New Roman"/>
          <w:b/>
          <w:i/>
          <w:sz w:val="17"/>
        </w:rPr>
        <w:t>Custom Duties and Sales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expenses, and assets are recognized net of the amount of customs duties or sales tax except: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Where the customs duty or sales tax incurred on purchase of goods and services is not recoverable from the taxation authority, in which case the customs duty or sales tax is recognized as part of the cost of acquisition of the asset or as part of the expense item,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Symbol" w:hAnsi="Symbol"/>
          <w:sz w:val="17"/>
        </w:rPr>
        <w:t>·</w:t>
      </w:r>
      <w:r>
        <w:rPr>
          <w:rFonts w:ascii="Times New Roman" w:hAnsi="Times New Roman"/>
        </w:rPr>
        <w:t xml:space="preserve">                 </w:t>
      </w:r>
      <w:r>
        <w:rPr>
          <w:rFonts w:ascii="Times New Roman" w:hAnsi="Times New Roman"/>
          <w:sz w:val="17"/>
        </w:rPr>
        <w:t>Receivables and payables are stated with the amount of customs duty or sales tax included.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net amount of sales tax recoverable from, or payable to, the taxation authority is included as part of receivables or payables in the balance sheet.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(s)</w:t>
      </w:r>
      <w:r>
        <w:rPr>
          <w:rFonts w:ascii="Times New Roman" w:hAnsi="Times New Roman"/>
        </w:rPr>
        <w:t xml:space="preserve">                        </w:t>
      </w:r>
      <w:r>
        <w:rPr>
          <w:rFonts w:ascii="Times New Roman" w:hAnsi="Times New Roman"/>
          <w:b/>
          <w:i/>
          <w:sz w:val="17"/>
        </w:rPr>
        <w:t>Revenue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 arising from the sale of goods is recognized when the significant risks and rewards of ownership have passed to the buyer and it can be reliably measured.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 is measured at the fair value of the consideration received or receivable and represents amounts receivable for goods provided in the normal course of business, net of discounts, customs duties, and sales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Revenues associated with the sale of natural gas liquids and all other items are recognized when the title passes to the customer. Physical exchanges are reported net, as are sales and purchases made with a common counterparty, as part of an arrangement similar to a physical exchange.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Occasionally the Business enters into contacts with customers where a portion of expected revenue is received in advance. These pre payments are recorded as liabilities until the earnings process is complete.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(t)</w:t>
      </w:r>
      <w:r>
        <w:rPr>
          <w:rFonts w:ascii="Times New Roman" w:hAnsi="Times New Roman"/>
        </w:rPr>
        <w:t xml:space="preserve">                         </w:t>
      </w:r>
      <w:r>
        <w:rPr>
          <w:rFonts w:ascii="Times New Roman" w:hAnsi="Times New Roman"/>
          <w:b/>
          <w:i/>
          <w:sz w:val="17"/>
        </w:rPr>
        <w:t>Finance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Argyles finance costs primarily relate to the unwinding of discounts on provisions as the Business has no third-party debt. Finance costs are recognized as a component of comprehensive income during the period they are incurred.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(u)</w:t>
      </w:r>
      <w:r>
        <w:rPr>
          <w:rFonts w:ascii="Times New Roman" w:hAnsi="Times New Roman"/>
        </w:rPr>
        <w:t xml:space="preserve">                      </w:t>
      </w:r>
      <w:r>
        <w:rPr>
          <w:rFonts w:ascii="Times New Roman" w:hAnsi="Times New Roman"/>
          <w:b/>
          <w:i/>
          <w:sz w:val="17"/>
        </w:rPr>
        <w:t>Impact of New International Financial Reporting Standards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Not Yet Adopted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International Accounting Standards Board (IASB) has issued amendments to several existing accounting pronouncements. These amendments will become effective for future financial reporting periods and have not yet been adopted by Argyle: amendments to IAS 1, </w:t>
      </w:r>
      <w:r>
        <w:rPr>
          <w:rFonts w:ascii="Times New Roman" w:hAnsi="Times New Roman"/>
          <w:i/>
          <w:sz w:val="17"/>
        </w:rPr>
        <w:t>Presentation of Financial Statements</w:t>
      </w:r>
      <w:r>
        <w:rPr>
          <w:rFonts w:ascii="Times New Roman" w:hAnsi="Times New Roman"/>
          <w:sz w:val="17"/>
        </w:rPr>
        <w:t xml:space="preserve">, IFRS 9, </w:t>
      </w:r>
      <w:r>
        <w:rPr>
          <w:rFonts w:ascii="Times New Roman" w:hAnsi="Times New Roman"/>
          <w:i/>
          <w:sz w:val="17"/>
        </w:rPr>
        <w:t>Financial Instruments, </w:t>
      </w:r>
      <w:r>
        <w:rPr>
          <w:rFonts w:ascii="Times New Roman" w:hAnsi="Times New Roman"/>
          <w:sz w:val="17"/>
        </w:rPr>
        <w:t xml:space="preserve">IFRS 10, </w:t>
      </w:r>
      <w:r>
        <w:rPr>
          <w:rFonts w:ascii="Times New Roman" w:hAnsi="Times New Roman"/>
          <w:i/>
          <w:sz w:val="17"/>
        </w:rPr>
        <w:t>Consolidated Financial Statements, </w:t>
      </w:r>
      <w:r>
        <w:rPr>
          <w:rFonts w:ascii="Times New Roman" w:hAnsi="Times New Roman"/>
          <w:sz w:val="17"/>
        </w:rPr>
        <w:t xml:space="preserve">IFRS 11, </w:t>
      </w:r>
      <w:r>
        <w:rPr>
          <w:rFonts w:ascii="Times New Roman" w:hAnsi="Times New Roman"/>
          <w:i/>
          <w:sz w:val="17"/>
        </w:rPr>
        <w:t>Joint Arrangements</w:t>
      </w:r>
      <w:r>
        <w:rPr>
          <w:rFonts w:ascii="Times New Roman" w:hAnsi="Times New Roman"/>
          <w:sz w:val="17"/>
        </w:rPr>
        <w:t xml:space="preserve">, IFRS 12, </w:t>
      </w:r>
      <w:r>
        <w:rPr>
          <w:rFonts w:ascii="Times New Roman" w:hAnsi="Times New Roman"/>
          <w:i/>
          <w:sz w:val="17"/>
        </w:rPr>
        <w:t>Disclosures of Interests in Other Entities</w:t>
      </w:r>
      <w:r>
        <w:rPr>
          <w:rFonts w:ascii="Times New Roman" w:hAnsi="Times New Roman"/>
          <w:sz w:val="17"/>
        </w:rPr>
        <w:t xml:space="preserve">, IFRS 13 </w:t>
      </w:r>
      <w:r>
        <w:rPr>
          <w:rFonts w:ascii="Times New Roman" w:hAnsi="Times New Roman"/>
          <w:i/>
          <w:sz w:val="17"/>
        </w:rPr>
        <w:t>Fair Value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44" w:name="PB_14_160125_8146"/>
      <w:bookmarkEnd w:id="44"/>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i/>
          <w:sz w:val="17"/>
        </w:rPr>
        <w:t>Measurement</w:t>
      </w:r>
      <w:r>
        <w:rPr>
          <w:rFonts w:ascii="Times New Roman" w:hAnsi="Times New Roman"/>
          <w:sz w:val="17"/>
        </w:rPr>
        <w:t xml:space="preserve">, IAS 19 </w:t>
      </w:r>
      <w:r>
        <w:rPr>
          <w:rFonts w:ascii="Times New Roman" w:hAnsi="Times New Roman"/>
          <w:i/>
          <w:sz w:val="17"/>
        </w:rPr>
        <w:t>Employee Benefits</w:t>
      </w:r>
      <w:r>
        <w:rPr>
          <w:rFonts w:ascii="Times New Roman" w:hAnsi="Times New Roman"/>
          <w:sz w:val="17"/>
        </w:rPr>
        <w:t xml:space="preserve">, and IAS 28 </w:t>
      </w:r>
      <w:r>
        <w:rPr>
          <w:rFonts w:ascii="Times New Roman" w:hAnsi="Times New Roman"/>
          <w:i/>
          <w:sz w:val="17"/>
        </w:rPr>
        <w:t>Investments in Associates and Joint Ventures</w:t>
      </w:r>
      <w:r>
        <w:rPr>
          <w:rFonts w:ascii="Times New Roman" w:hAnsi="Times New Roman"/>
          <w:sz w:val="17"/>
        </w:rPr>
        <w:t>. Argyle, along with the Parent, has not yet completed its evaluation of the effect of adoption. These financial statements are prepared in anticipation of transaction to separate the Business from BP.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(4)</w:t>
      </w:r>
      <w:r>
        <w:rPr>
          <w:rFonts w:ascii="Times New Roman" w:hAnsi="Times New Roman"/>
        </w:rPr>
        <w:t xml:space="preserve">                     </w:t>
      </w:r>
      <w:r>
        <w:rPr>
          <w:rFonts w:ascii="Times New Roman" w:hAnsi="Times New Roman"/>
          <w:b/>
          <w:sz w:val="17"/>
        </w:rPr>
        <w:t>Disposals and Impairments</w:t>
      </w:r>
    </w:p>
    <w:p>
      <w:pPr>
        <w:pStyle w:val="TextBody"/>
        <w:spacing w:before="0" w:after="0"/>
        <w:ind w:left="0" w:right="0" w:hanging="0"/>
        <w:rPr/>
      </w:pPr>
      <w:r>
        <w:rPr/>
        <w:t> </w:t>
      </w:r>
    </w:p>
    <w:tbl>
      <w:tblPr>
        <w:tblW w:w="3700" w:type="pct"/>
        <w:jc w:val="left"/>
        <w:tblInd w:w="0" w:type="dxa"/>
        <w:tblCellMar>
          <w:top w:w="0" w:type="dxa"/>
          <w:left w:w="0" w:type="dxa"/>
          <w:bottom w:w="0" w:type="dxa"/>
          <w:right w:w="0" w:type="dxa"/>
        </w:tblCellMar>
      </w:tblPr>
      <w:tblGrid>
        <w:gridCol w:w="4530"/>
        <w:gridCol w:w="231"/>
        <w:gridCol w:w="1240"/>
        <w:gridCol w:w="232"/>
        <w:gridCol w:w="1235"/>
        <w:gridCol w:w="83"/>
      </w:tblGrid>
      <w:tr>
        <w:trPr/>
        <w:tc>
          <w:tcPr>
            <w:tcW w:w="4530"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70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3" w:type="dxa"/>
            <w:tcBorders/>
            <w:shd w:fill="auto" w:val="clear"/>
            <w:vAlign w:val="bottom"/>
          </w:tcPr>
          <w:p>
            <w:pPr>
              <w:pStyle w:val="TableContents"/>
              <w:spacing w:before="0" w:after="0"/>
              <w:ind w:left="0" w:right="0" w:hanging="0"/>
              <w:jc w:val="center"/>
              <w:rPr/>
            </w:pPr>
            <w:r>
              <w:rPr/>
              <w:t> </w:t>
            </w:r>
          </w:p>
        </w:tc>
      </w:tr>
      <w:tr>
        <w:trPr/>
        <w:tc>
          <w:tcPr>
            <w:tcW w:w="4530"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124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3" w:type="dxa"/>
            <w:tcBorders/>
            <w:shd w:fill="auto" w:val="clear"/>
            <w:vAlign w:val="bottom"/>
          </w:tcPr>
          <w:p>
            <w:pPr>
              <w:pStyle w:val="TableContents"/>
              <w:spacing w:before="0" w:after="0"/>
              <w:ind w:left="0" w:right="0" w:hanging="0"/>
              <w:jc w:val="center"/>
              <w:rPr/>
            </w:pPr>
            <w:r>
              <w:rPr/>
              <w:t> </w:t>
            </w:r>
          </w:p>
        </w:tc>
      </w:tr>
      <w:tr>
        <w:trPr/>
        <w:tc>
          <w:tcPr>
            <w:tcW w:w="453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Proceeds from disposal of fixed assets</w:t>
            </w:r>
          </w:p>
        </w:tc>
        <w:tc>
          <w:tcPr>
            <w:tcW w:w="231" w:type="dxa"/>
            <w:tcBorders/>
            <w:shd w:fill="CCEEFF" w:val="clear"/>
            <w:vAlign w:val="bottom"/>
          </w:tcPr>
          <w:p>
            <w:pPr>
              <w:pStyle w:val="TableContents"/>
              <w:spacing w:before="0" w:after="0"/>
              <w:ind w:left="0" w:right="0" w:hanging="0"/>
              <w:rPr/>
            </w:pPr>
            <w:r>
              <w:rPr/>
              <w:t> </w:t>
            </w:r>
          </w:p>
        </w:tc>
        <w:tc>
          <w:tcPr>
            <w:tcW w:w="1240"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4,553</w:t>
            </w:r>
          </w:p>
        </w:tc>
        <w:tc>
          <w:tcPr>
            <w:tcW w:w="232" w:type="dxa"/>
            <w:tcBorders/>
            <w:shd w:fill="CCEEFF" w:val="clear"/>
            <w:vAlign w:val="bottom"/>
          </w:tcPr>
          <w:p>
            <w:pPr>
              <w:pStyle w:val="TableContents"/>
              <w:spacing w:before="0" w:after="0"/>
              <w:ind w:left="0" w:right="0" w:hanging="0"/>
              <w:rPr/>
            </w:pPr>
            <w:r>
              <w:rPr/>
              <w:t> </w:t>
            </w:r>
          </w:p>
        </w:tc>
        <w:tc>
          <w:tcPr>
            <w:tcW w:w="1235"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83" w:type="dxa"/>
            <w:tcBorders/>
            <w:shd w:fill="CCEEFF" w:val="clear"/>
            <w:vAlign w:val="bottom"/>
          </w:tcPr>
          <w:p>
            <w:pPr>
              <w:pStyle w:val="TableContents"/>
              <w:spacing w:before="0" w:after="0"/>
              <w:ind w:left="0" w:right="0" w:hanging="0"/>
              <w:rPr/>
            </w:pPr>
            <w:r>
              <w:rPr/>
              <w:t> </w:t>
            </w:r>
          </w:p>
        </w:tc>
      </w:tr>
      <w:tr>
        <w:trPr/>
        <w:tc>
          <w:tcPr>
            <w:tcW w:w="4530"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rPr/>
            </w:pPr>
            <w:r>
              <w:rPr/>
              <w:t> </w:t>
            </w:r>
          </w:p>
        </w:tc>
        <w:tc>
          <w:tcPr>
            <w:tcW w:w="1240" w:type="dxa"/>
            <w:tcBorders/>
            <w:shd w:fill="auto" w:val="clear"/>
            <w:vAlign w:val="bottom"/>
          </w:tcPr>
          <w:p>
            <w:pPr>
              <w:pStyle w:val="TableContents"/>
              <w:spacing w:before="0" w:after="0"/>
              <w:ind w:left="0" w:right="0" w:hanging="0"/>
              <w:jc w:val="right"/>
              <w:rPr/>
            </w:pPr>
            <w:r>
              <w:rPr/>
              <w:t> </w:t>
            </w:r>
          </w:p>
        </w:tc>
        <w:tc>
          <w:tcPr>
            <w:tcW w:w="232" w:type="dxa"/>
            <w:tcBorders/>
            <w:shd w:fill="auto" w:val="clear"/>
            <w:vAlign w:val="bottom"/>
          </w:tcPr>
          <w:p>
            <w:pPr>
              <w:pStyle w:val="TableContents"/>
              <w:spacing w:before="0" w:after="0"/>
              <w:ind w:left="0" w:right="0" w:hanging="0"/>
              <w:rPr/>
            </w:pPr>
            <w:r>
              <w:rPr/>
              <w:t> </w:t>
            </w:r>
          </w:p>
        </w:tc>
        <w:tc>
          <w:tcPr>
            <w:tcW w:w="1235" w:type="dxa"/>
            <w:tcBorders/>
            <w:shd w:fill="auto" w:val="clear"/>
            <w:vAlign w:val="bottom"/>
          </w:tcPr>
          <w:p>
            <w:pPr>
              <w:pStyle w:val="TableContents"/>
              <w:spacing w:before="0" w:after="0"/>
              <w:ind w:left="0" w:right="0" w:hanging="0"/>
              <w:jc w:val="right"/>
              <w:rPr/>
            </w:pPr>
            <w:r>
              <w:rPr/>
              <w:t> </w:t>
            </w:r>
          </w:p>
        </w:tc>
        <w:tc>
          <w:tcPr>
            <w:tcW w:w="83" w:type="dxa"/>
            <w:tcBorders/>
            <w:shd w:fill="auto" w:val="clear"/>
            <w:vAlign w:val="bottom"/>
          </w:tcPr>
          <w:p>
            <w:pPr>
              <w:pStyle w:val="TableContents"/>
              <w:spacing w:before="0" w:after="0"/>
              <w:ind w:left="0" w:right="0" w:hanging="0"/>
              <w:rPr/>
            </w:pPr>
            <w:r>
              <w:rPr/>
              <w:t> </w:t>
            </w:r>
          </w:p>
        </w:tc>
      </w:tr>
      <w:tr>
        <w:trPr/>
        <w:tc>
          <w:tcPr>
            <w:tcW w:w="453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Gains on sale of businesses and fixed assets</w:t>
            </w:r>
          </w:p>
        </w:tc>
        <w:tc>
          <w:tcPr>
            <w:tcW w:w="231" w:type="dxa"/>
            <w:tcBorders/>
            <w:shd w:fill="CCEEFF" w:val="clear"/>
            <w:vAlign w:val="bottom"/>
          </w:tcPr>
          <w:p>
            <w:pPr>
              <w:pStyle w:val="TableContents"/>
              <w:spacing w:before="0" w:after="0"/>
              <w:ind w:left="0" w:right="0" w:hanging="0"/>
              <w:rPr/>
            </w:pPr>
            <w:r>
              <w:rPr/>
              <w:t> </w:t>
            </w:r>
          </w:p>
        </w:tc>
        <w:tc>
          <w:tcPr>
            <w:tcW w:w="124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1,410</w:t>
            </w:r>
          </w:p>
        </w:tc>
        <w:tc>
          <w:tcPr>
            <w:tcW w:w="232" w:type="dxa"/>
            <w:tcBorders/>
            <w:shd w:fill="CCEEFF" w:val="clear"/>
            <w:vAlign w:val="bottom"/>
          </w:tcPr>
          <w:p>
            <w:pPr>
              <w:pStyle w:val="TableContents"/>
              <w:spacing w:before="0" w:after="0"/>
              <w:ind w:left="0" w:right="0" w:hanging="0"/>
              <w:rPr/>
            </w:pPr>
            <w:r>
              <w:rPr/>
              <w:t> </w:t>
            </w:r>
          </w:p>
        </w:tc>
        <w:tc>
          <w:tcPr>
            <w:tcW w:w="123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83" w:type="dxa"/>
            <w:tcBorders/>
            <w:shd w:fill="CCEEFF" w:val="clear"/>
            <w:vAlign w:val="bottom"/>
          </w:tcPr>
          <w:p>
            <w:pPr>
              <w:pStyle w:val="TableContents"/>
              <w:spacing w:before="0" w:after="0"/>
              <w:ind w:left="0" w:right="0" w:hanging="0"/>
              <w:rPr/>
            </w:pPr>
            <w:r>
              <w:rPr/>
              <w:t> </w:t>
            </w:r>
          </w:p>
        </w:tc>
      </w:tr>
      <w:tr>
        <w:trPr/>
        <w:tc>
          <w:tcPr>
            <w:tcW w:w="453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Losses on sale of businesses and fixed assets</w:t>
            </w:r>
          </w:p>
        </w:tc>
        <w:tc>
          <w:tcPr>
            <w:tcW w:w="231" w:type="dxa"/>
            <w:tcBorders/>
            <w:shd w:fill="auto" w:val="clear"/>
            <w:vAlign w:val="bottom"/>
          </w:tcPr>
          <w:p>
            <w:pPr>
              <w:pStyle w:val="TableContents"/>
              <w:spacing w:before="0" w:after="0"/>
              <w:ind w:left="0" w:right="0" w:hanging="0"/>
              <w:rPr/>
            </w:pPr>
            <w:r>
              <w:rPr/>
              <w:t> </w:t>
            </w:r>
          </w:p>
        </w:tc>
        <w:tc>
          <w:tcPr>
            <w:tcW w:w="124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(308</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w:t>
            </w:r>
          </w:p>
        </w:tc>
        <w:tc>
          <w:tcPr>
            <w:tcW w:w="8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sold two propane storage terminals in September with an effective date of October 31, 2011.  The first terminal sold was the Huntington Terminal located in Indiana and the second was the Tuscola Terminal located in Illinois.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2007, the Business sold its interest in a pipeline running from Alberta to Ontario. Due to specific terms, Argyle set up a receivable from, and payable to, the buyer of the pipeline. The receivable and payable were originally recorded in 2007 for $50 million and are reduced by $10 million each subsequent year. This receivable and payable have had no impact to the statements of comprehensive income in the two-year period ended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There were no impairments of fixed assets taken during the two-year period ended December 31, 2011.</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(5)</w:t>
      </w:r>
      <w:r>
        <w:rPr>
          <w:rFonts w:ascii="Times New Roman" w:hAnsi="Times New Roman"/>
        </w:rPr>
        <w:t xml:space="preserve">                     </w:t>
      </w:r>
      <w:r>
        <w:rPr>
          <w:rFonts w:ascii="Times New Roman" w:hAnsi="Times New Roman"/>
          <w:b/>
          <w:sz w:val="17"/>
        </w:rPr>
        <w:t>Other Income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income relates to Argyle performing certain services and inventory movements for other affiliates of BP. The inventory is consigned to Argyle and Argyle does not take title to the inventory related to this other income. All other income for the two-year period ended December 31, 2011 is earned through transactions with BP and its affiliates.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(6)</w:t>
      </w:r>
      <w:r>
        <w:rPr>
          <w:rFonts w:ascii="Times New Roman" w:hAnsi="Times New Roman"/>
        </w:rPr>
        <w:t xml:space="preserve">                     </w:t>
      </w:r>
      <w:r>
        <w:rPr>
          <w:rFonts w:ascii="Times New Roman" w:hAnsi="Times New Roman"/>
          <w:b/>
          <w:sz w:val="17"/>
        </w:rPr>
        <w:t>Currency Exchange Gains and Losses</w:t>
      </w:r>
    </w:p>
    <w:p>
      <w:pPr>
        <w:pStyle w:val="TextBody"/>
        <w:spacing w:before="0" w:after="0"/>
        <w:ind w:left="0" w:right="0" w:hanging="0"/>
        <w:rPr/>
      </w:pPr>
      <w:r>
        <w:rPr/>
        <w:t> </w:t>
      </w:r>
    </w:p>
    <w:tbl>
      <w:tblPr>
        <w:tblW w:w="3700" w:type="pct"/>
        <w:jc w:val="left"/>
        <w:tblInd w:w="0" w:type="dxa"/>
        <w:tblCellMar>
          <w:top w:w="0" w:type="dxa"/>
          <w:left w:w="0" w:type="dxa"/>
          <w:bottom w:w="0" w:type="dxa"/>
          <w:right w:w="0" w:type="dxa"/>
        </w:tblCellMar>
      </w:tblPr>
      <w:tblGrid>
        <w:gridCol w:w="4633"/>
        <w:gridCol w:w="233"/>
        <w:gridCol w:w="1181"/>
        <w:gridCol w:w="233"/>
        <w:gridCol w:w="1186"/>
        <w:gridCol w:w="85"/>
      </w:tblGrid>
      <w:tr>
        <w:trPr/>
        <w:tc>
          <w:tcPr>
            <w:tcW w:w="4633" w:type="dxa"/>
            <w:tcBorders/>
            <w:shd w:fill="auto" w:val="clear"/>
            <w:vAlign w:val="bottom"/>
          </w:tcPr>
          <w:p>
            <w:pPr>
              <w:pStyle w:val="TableContents"/>
              <w:spacing w:before="0" w:after="0"/>
              <w:ind w:left="0" w:right="0" w:hanging="0"/>
              <w:rPr/>
            </w:pPr>
            <w:r>
              <w:rPr/>
              <w:t> </w:t>
            </w:r>
          </w:p>
        </w:tc>
        <w:tc>
          <w:tcPr>
            <w:tcW w:w="233" w:type="dxa"/>
            <w:tcBorders/>
            <w:shd w:fill="auto" w:val="clear"/>
            <w:vAlign w:val="bottom"/>
          </w:tcPr>
          <w:p>
            <w:pPr>
              <w:pStyle w:val="TableContents"/>
              <w:spacing w:before="0" w:after="0"/>
              <w:ind w:left="0" w:right="0" w:hanging="0"/>
              <w:jc w:val="center"/>
              <w:rPr/>
            </w:pPr>
            <w:r>
              <w:rPr/>
              <w:t> </w:t>
            </w:r>
          </w:p>
        </w:tc>
        <w:tc>
          <w:tcPr>
            <w:tcW w:w="2600"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5" w:type="dxa"/>
            <w:tcBorders/>
            <w:shd w:fill="auto" w:val="clear"/>
            <w:vAlign w:val="bottom"/>
          </w:tcPr>
          <w:p>
            <w:pPr>
              <w:pStyle w:val="TableContents"/>
              <w:spacing w:before="0" w:after="0"/>
              <w:ind w:left="0" w:right="0" w:hanging="0"/>
              <w:jc w:val="center"/>
              <w:rPr/>
            </w:pPr>
            <w:r>
              <w:rPr/>
              <w:t> </w:t>
            </w:r>
          </w:p>
        </w:tc>
      </w:tr>
      <w:tr>
        <w:trPr/>
        <w:tc>
          <w:tcPr>
            <w:tcW w:w="4633" w:type="dxa"/>
            <w:tcBorders/>
            <w:shd w:fill="auto" w:val="clear"/>
            <w:vAlign w:val="bottom"/>
          </w:tcPr>
          <w:p>
            <w:pPr>
              <w:pStyle w:val="TableContents"/>
              <w:spacing w:before="0" w:after="0"/>
              <w:ind w:left="0" w:right="0" w:hanging="0"/>
              <w:jc w:val="center"/>
              <w:rPr/>
            </w:pPr>
            <w:r>
              <w:rPr/>
              <w:t> </w:t>
            </w:r>
          </w:p>
        </w:tc>
        <w:tc>
          <w:tcPr>
            <w:tcW w:w="233" w:type="dxa"/>
            <w:tcBorders/>
            <w:shd w:fill="auto" w:val="clear"/>
            <w:vAlign w:val="bottom"/>
          </w:tcPr>
          <w:p>
            <w:pPr>
              <w:pStyle w:val="TableContents"/>
              <w:spacing w:before="0" w:after="0"/>
              <w:ind w:left="0" w:right="0" w:hanging="0"/>
              <w:jc w:val="center"/>
              <w:rPr/>
            </w:pPr>
            <w:r>
              <w:rPr/>
              <w:t> </w:t>
            </w:r>
          </w:p>
        </w:tc>
        <w:tc>
          <w:tcPr>
            <w:tcW w:w="1181"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6"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5" w:type="dxa"/>
            <w:tcBorders/>
            <w:shd w:fill="auto" w:val="clear"/>
            <w:vAlign w:val="bottom"/>
          </w:tcPr>
          <w:p>
            <w:pPr>
              <w:pStyle w:val="TableContents"/>
              <w:spacing w:before="0" w:after="0"/>
              <w:ind w:left="0" w:right="0" w:hanging="0"/>
              <w:jc w:val="center"/>
              <w:rPr/>
            </w:pPr>
            <w:r>
              <w:rPr/>
              <w:t> </w:t>
            </w:r>
          </w:p>
        </w:tc>
      </w:tr>
      <w:tr>
        <w:trPr/>
        <w:tc>
          <w:tcPr>
            <w:tcW w:w="463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Currency exchange (gains)/losses charged to income</w:t>
            </w:r>
          </w:p>
        </w:tc>
        <w:tc>
          <w:tcPr>
            <w:tcW w:w="233" w:type="dxa"/>
            <w:tcBorders/>
            <w:shd w:fill="CCEEFF" w:val="clear"/>
            <w:vAlign w:val="bottom"/>
          </w:tcPr>
          <w:p>
            <w:pPr>
              <w:pStyle w:val="TableContents"/>
              <w:spacing w:before="0" w:after="0"/>
              <w:ind w:left="0" w:right="0" w:hanging="0"/>
              <w:rPr/>
            </w:pPr>
            <w:r>
              <w:rPr/>
              <w:t> </w:t>
            </w:r>
          </w:p>
        </w:tc>
        <w:tc>
          <w:tcPr>
            <w:tcW w:w="11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10,463</w:t>
            </w:r>
          </w:p>
        </w:tc>
        <w:tc>
          <w:tcPr>
            <w:tcW w:w="233" w:type="dxa"/>
            <w:tcBorders/>
            <w:shd w:fill="CCEEFF" w:val="clear"/>
            <w:vAlign w:val="bottom"/>
          </w:tcPr>
          <w:p>
            <w:pPr>
              <w:pStyle w:val="TableContents"/>
              <w:spacing w:before="0" w:after="0"/>
              <w:ind w:left="0" w:right="0" w:hanging="0"/>
              <w:rPr/>
            </w:pPr>
            <w:r>
              <w:rPr/>
              <w:t> </w:t>
            </w:r>
          </w:p>
        </w:tc>
        <w:tc>
          <w:tcPr>
            <w:tcW w:w="1186"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(14,730</w:t>
            </w:r>
          </w:p>
        </w:tc>
        <w:tc>
          <w:tcPr>
            <w:tcW w:w="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(7)</w:t>
      </w:r>
      <w:r>
        <w:rPr>
          <w:rFonts w:ascii="Times New Roman" w:hAnsi="Times New Roman"/>
        </w:rPr>
        <w:t xml:space="preserve">                     </w:t>
      </w:r>
      <w:r>
        <w:rPr>
          <w:rFonts w:ascii="Times New Roman" w:hAnsi="Times New Roman"/>
          <w:b/>
          <w:sz w:val="17"/>
        </w:rPr>
        <w:t>Operating Leases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case of an operating lease entered into by Argyle as the operator of a jointly controlled asset, the amounts shown in the tables below represent the net operating lease expense and net future minimum lease payments. These net amounts are after deducting amounts reimbursed, or to be reimbursed, by joint venture partners, whether the joint venture partners have co-signed the lease or not. Where Argyle is not the operator of a jointly controlled asset, Argyles share of the lease expense and future minimum lease payments are included in the amounts shown, whether Argyle has co-signed the lease or not.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45" w:name="PB_15_154834_7056"/>
      <w:bookmarkEnd w:id="45"/>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table below shows the expense for the year in respect of operating leases:</w:t>
      </w:r>
    </w:p>
    <w:p>
      <w:pPr>
        <w:pStyle w:val="TextBody"/>
        <w:spacing w:before="0" w:after="0"/>
        <w:ind w:left="0" w:right="0" w:hanging="0"/>
        <w:rPr/>
      </w:pPr>
      <w:r>
        <w:rPr/>
        <w:t> </w:t>
      </w:r>
    </w:p>
    <w:tbl>
      <w:tblPr>
        <w:tblW w:w="3700" w:type="pct"/>
        <w:jc w:val="left"/>
        <w:tblInd w:w="0" w:type="dxa"/>
        <w:tblCellMar>
          <w:top w:w="0" w:type="dxa"/>
          <w:left w:w="0" w:type="dxa"/>
          <w:bottom w:w="0" w:type="dxa"/>
          <w:right w:w="0" w:type="dxa"/>
        </w:tblCellMar>
      </w:tblPr>
      <w:tblGrid>
        <w:gridCol w:w="4510"/>
        <w:gridCol w:w="230"/>
        <w:gridCol w:w="1249"/>
        <w:gridCol w:w="232"/>
        <w:gridCol w:w="1243"/>
        <w:gridCol w:w="87"/>
      </w:tblGrid>
      <w:tr>
        <w:trPr/>
        <w:tc>
          <w:tcPr>
            <w:tcW w:w="451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center"/>
              <w:rPr/>
            </w:pPr>
            <w:r>
              <w:rPr/>
              <w:t> </w:t>
            </w:r>
          </w:p>
        </w:tc>
        <w:tc>
          <w:tcPr>
            <w:tcW w:w="272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7" w:type="dxa"/>
            <w:tcBorders/>
            <w:shd w:fill="auto" w:val="clear"/>
            <w:vAlign w:val="bottom"/>
          </w:tcPr>
          <w:p>
            <w:pPr>
              <w:pStyle w:val="TableContents"/>
              <w:spacing w:before="0" w:after="0"/>
              <w:ind w:left="0" w:right="0" w:hanging="0"/>
              <w:jc w:val="center"/>
              <w:rPr/>
            </w:pPr>
            <w:r>
              <w:rPr/>
              <w:t> </w:t>
            </w:r>
          </w:p>
        </w:tc>
      </w:tr>
      <w:tr>
        <w:trPr/>
        <w:tc>
          <w:tcPr>
            <w:tcW w:w="451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4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7" w:type="dxa"/>
            <w:tcBorders/>
            <w:shd w:fill="auto" w:val="clear"/>
            <w:vAlign w:val="bottom"/>
          </w:tcPr>
          <w:p>
            <w:pPr>
              <w:pStyle w:val="TableContents"/>
              <w:spacing w:before="0" w:after="0"/>
              <w:ind w:left="0" w:right="0" w:hanging="0"/>
              <w:jc w:val="center"/>
              <w:rPr/>
            </w:pPr>
            <w:r>
              <w:rPr/>
              <w:t> </w:t>
            </w:r>
          </w:p>
        </w:tc>
      </w:tr>
      <w:tr>
        <w:trPr/>
        <w:tc>
          <w:tcPr>
            <w:tcW w:w="45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Minimum lease payments</w:t>
            </w:r>
          </w:p>
        </w:tc>
        <w:tc>
          <w:tcPr>
            <w:tcW w:w="230"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3,260</w:t>
            </w:r>
          </w:p>
        </w:tc>
        <w:tc>
          <w:tcPr>
            <w:tcW w:w="232" w:type="dxa"/>
            <w:tcBorders/>
            <w:shd w:fill="CCEEFF" w:val="clear"/>
            <w:vAlign w:val="bottom"/>
          </w:tcPr>
          <w:p>
            <w:pPr>
              <w:pStyle w:val="TableContents"/>
              <w:spacing w:before="0" w:after="0"/>
              <w:ind w:left="0" w:right="0" w:hanging="0"/>
              <w:rPr/>
            </w:pPr>
            <w:r>
              <w:rPr/>
              <w:t> </w:t>
            </w:r>
          </w:p>
        </w:tc>
        <w:tc>
          <w:tcPr>
            <w:tcW w:w="124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2,994</w:t>
            </w:r>
          </w:p>
        </w:tc>
        <w:tc>
          <w:tcPr>
            <w:tcW w:w="87" w:type="dxa"/>
            <w:tcBorders/>
            <w:shd w:fill="CCEEFF" w:val="clear"/>
            <w:vAlign w:val="bottom"/>
          </w:tcPr>
          <w:p>
            <w:pPr>
              <w:pStyle w:val="TableContents"/>
              <w:spacing w:before="0" w:after="0"/>
              <w:ind w:left="0" w:right="0" w:hanging="0"/>
              <w:rPr/>
            </w:pPr>
            <w:r>
              <w:rPr/>
              <w:t> </w:t>
            </w:r>
          </w:p>
        </w:tc>
      </w:tr>
      <w:tr>
        <w:trPr/>
        <w:tc>
          <w:tcPr>
            <w:tcW w:w="45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Contingent rentals</w:t>
            </w:r>
          </w:p>
        </w:tc>
        <w:tc>
          <w:tcPr>
            <w:tcW w:w="230"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(1,178</w:t>
            </w:r>
          </w:p>
        </w:tc>
        <w:tc>
          <w:tcPr>
            <w:tcW w:w="23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(970</w:t>
            </w:r>
          </w:p>
        </w:tc>
        <w:tc>
          <w:tcPr>
            <w:tcW w:w="8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Sub-lease rentals</w:t>
            </w:r>
          </w:p>
        </w:tc>
        <w:tc>
          <w:tcPr>
            <w:tcW w:w="230" w:type="dxa"/>
            <w:tcBorders/>
            <w:shd w:fill="CCEEFF" w:val="clear"/>
            <w:vAlign w:val="bottom"/>
          </w:tcPr>
          <w:p>
            <w:pPr>
              <w:pStyle w:val="TableContents"/>
              <w:spacing w:before="0" w:after="0"/>
              <w:ind w:left="0" w:right="0" w:hanging="0"/>
              <w:rPr/>
            </w:pPr>
            <w:r>
              <w:rPr/>
              <w:t> </w:t>
            </w:r>
          </w:p>
        </w:tc>
        <w:tc>
          <w:tcPr>
            <w:tcW w:w="12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w:t>
            </w:r>
          </w:p>
        </w:tc>
        <w:tc>
          <w:tcPr>
            <w:tcW w:w="23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(60</w:t>
            </w:r>
          </w:p>
        </w:tc>
        <w:tc>
          <w:tcPr>
            <w:tcW w:w="8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510" w:type="dxa"/>
            <w:tcBorders/>
            <w:shd w:fill="auto" w:val="clear"/>
            <w:vAlign w:val="bottom"/>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2,052</w:t>
            </w:r>
          </w:p>
        </w:tc>
        <w:tc>
          <w:tcPr>
            <w:tcW w:w="232" w:type="dxa"/>
            <w:tcBorders/>
            <w:shd w:fill="auto" w:val="clear"/>
            <w:vAlign w:val="bottom"/>
          </w:tcPr>
          <w:p>
            <w:pPr>
              <w:pStyle w:val="TableContents"/>
              <w:spacing w:before="0" w:after="0"/>
              <w:ind w:left="0" w:right="0" w:hanging="0"/>
              <w:rPr/>
            </w:pPr>
            <w:r>
              <w:rPr/>
              <w:t> </w:t>
            </w:r>
          </w:p>
        </w:tc>
        <w:tc>
          <w:tcPr>
            <w:tcW w:w="1243"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1,964</w:t>
            </w:r>
          </w:p>
        </w:tc>
        <w:tc>
          <w:tcPr>
            <w:tcW w:w="87"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enters into operating leases of plant and machinery, commercial vehicles, and land and buildings.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future minimum lease payments at December 31, before deducting related rental income from operating sub leases of $68, are shown in the table below:</w:t>
      </w:r>
    </w:p>
    <w:p>
      <w:pPr>
        <w:pStyle w:val="TextBody"/>
        <w:spacing w:before="0" w:after="0"/>
        <w:ind w:left="0" w:right="0" w:hanging="0"/>
        <w:rPr/>
      </w:pPr>
      <w:r>
        <w:rPr/>
        <w:t> </w:t>
      </w:r>
    </w:p>
    <w:tbl>
      <w:tblPr>
        <w:tblW w:w="2900" w:type="pct"/>
        <w:jc w:val="left"/>
        <w:tblInd w:w="0" w:type="dxa"/>
        <w:tblCellMar>
          <w:top w:w="0" w:type="dxa"/>
          <w:left w:w="0" w:type="dxa"/>
          <w:bottom w:w="0" w:type="dxa"/>
          <w:right w:w="0" w:type="dxa"/>
        </w:tblCellMar>
      </w:tblPr>
      <w:tblGrid>
        <w:gridCol w:w="4409"/>
        <w:gridCol w:w="241"/>
        <w:gridCol w:w="1207"/>
        <w:gridCol w:w="61"/>
      </w:tblGrid>
      <w:tr>
        <w:trPr/>
        <w:tc>
          <w:tcPr>
            <w:tcW w:w="4409" w:type="dxa"/>
            <w:tcBorders/>
            <w:shd w:fill="auto" w:val="clear"/>
            <w:vAlign w:val="bottom"/>
          </w:tcPr>
          <w:p>
            <w:pPr>
              <w:pStyle w:val="TableContents"/>
              <w:spacing w:before="0" w:after="0"/>
              <w:ind w:left="0" w:right="0" w:hanging="0"/>
              <w:rPr/>
            </w:pPr>
            <w:r>
              <w:rPr/>
              <w:t> </w:t>
            </w:r>
          </w:p>
        </w:tc>
        <w:tc>
          <w:tcPr>
            <w:tcW w:w="241" w:type="dxa"/>
            <w:tcBorders/>
            <w:shd w:fill="auto" w:val="clear"/>
            <w:vAlign w:val="bottom"/>
          </w:tcPr>
          <w:p>
            <w:pPr>
              <w:pStyle w:val="TableContents"/>
              <w:spacing w:before="0" w:after="0"/>
              <w:ind w:left="0" w:right="0" w:hanging="0"/>
              <w:jc w:val="center"/>
              <w:rPr/>
            </w:pPr>
            <w:r>
              <w:rPr/>
              <w:t> </w:t>
            </w:r>
          </w:p>
        </w:tc>
        <w:tc>
          <w:tcPr>
            <w:tcW w:w="1207" w:type="dxa"/>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61" w:type="dxa"/>
            <w:tcBorders/>
            <w:shd w:fill="auto" w:val="clear"/>
            <w:vAlign w:val="bottom"/>
          </w:tcPr>
          <w:p>
            <w:pPr>
              <w:pStyle w:val="TableContents"/>
              <w:spacing w:before="0" w:after="0"/>
              <w:ind w:left="0" w:right="0" w:hanging="0"/>
              <w:jc w:val="center"/>
              <w:rPr/>
            </w:pPr>
            <w:r>
              <w:rPr/>
              <w:t> </w:t>
            </w:r>
          </w:p>
        </w:tc>
      </w:tr>
      <w:tr>
        <w:trPr/>
        <w:tc>
          <w:tcPr>
            <w:tcW w:w="4409" w:type="dxa"/>
            <w:tcBorders/>
            <w:shd w:fill="auto" w:val="clear"/>
            <w:vAlign w:val="bottom"/>
          </w:tcPr>
          <w:p>
            <w:pPr>
              <w:pStyle w:val="TableContents"/>
              <w:spacing w:before="0" w:after="0"/>
              <w:ind w:left="0" w:right="0" w:hanging="0"/>
              <w:rPr/>
            </w:pPr>
            <w:r>
              <w:rPr/>
              <w:t> </w:t>
            </w:r>
          </w:p>
        </w:tc>
        <w:tc>
          <w:tcPr>
            <w:tcW w:w="241" w:type="dxa"/>
            <w:tcBorders/>
            <w:shd w:fill="auto" w:val="clear"/>
            <w:vAlign w:val="bottom"/>
          </w:tcPr>
          <w:p>
            <w:pPr>
              <w:pStyle w:val="TableContents"/>
              <w:spacing w:before="0" w:after="0"/>
              <w:ind w:left="0" w:right="0" w:hanging="0"/>
              <w:jc w:val="center"/>
              <w:rPr/>
            </w:pPr>
            <w:r>
              <w:rPr/>
              <w:t> </w:t>
            </w:r>
          </w:p>
        </w:tc>
        <w:tc>
          <w:tcPr>
            <w:tcW w:w="120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61" w:type="dxa"/>
            <w:tcBorders/>
            <w:shd w:fill="auto" w:val="clear"/>
            <w:vAlign w:val="bottom"/>
          </w:tcPr>
          <w:p>
            <w:pPr>
              <w:pStyle w:val="TableContents"/>
              <w:spacing w:before="0" w:after="0"/>
              <w:ind w:left="0" w:right="0" w:hanging="0"/>
              <w:jc w:val="center"/>
              <w:rPr/>
            </w:pPr>
            <w:r>
              <w:rPr/>
              <w:t> </w:t>
            </w:r>
          </w:p>
        </w:tc>
      </w:tr>
      <w:tr>
        <w:trPr/>
        <w:tc>
          <w:tcPr>
            <w:tcW w:w="44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Future minimum lease payments</w:t>
            </w:r>
          </w:p>
        </w:tc>
        <w:tc>
          <w:tcPr>
            <w:tcW w:w="241" w:type="dxa"/>
            <w:tcBorders/>
            <w:shd w:fill="CCEEFF" w:val="clear"/>
            <w:vAlign w:val="bottom"/>
          </w:tcPr>
          <w:p>
            <w:pPr>
              <w:pStyle w:val="TableContents"/>
              <w:spacing w:before="0" w:after="0"/>
              <w:ind w:left="0" w:right="0" w:hanging="0"/>
              <w:rPr/>
            </w:pPr>
            <w:r>
              <w:rPr/>
              <w:t> </w:t>
            </w:r>
          </w:p>
        </w:tc>
        <w:tc>
          <w:tcPr>
            <w:tcW w:w="1207" w:type="dxa"/>
            <w:tcBorders/>
            <w:shd w:fill="CCEEFF" w:val="clear"/>
            <w:vAlign w:val="bottom"/>
          </w:tcPr>
          <w:p>
            <w:pPr>
              <w:pStyle w:val="TableContents"/>
              <w:spacing w:before="0" w:after="0"/>
              <w:ind w:left="0" w:right="0" w:hanging="0"/>
              <w:jc w:val="right"/>
              <w:rPr/>
            </w:pPr>
            <w:r>
              <w:rPr/>
              <w:t> </w:t>
            </w:r>
          </w:p>
        </w:tc>
        <w:tc>
          <w:tcPr>
            <w:tcW w:w="61" w:type="dxa"/>
            <w:tcBorders/>
            <w:shd w:fill="CCEEFF" w:val="clear"/>
            <w:vAlign w:val="bottom"/>
          </w:tcPr>
          <w:p>
            <w:pPr>
              <w:pStyle w:val="TableContents"/>
              <w:spacing w:before="0" w:after="0"/>
              <w:ind w:left="0" w:right="0" w:hanging="0"/>
              <w:rPr/>
            </w:pPr>
            <w:r>
              <w:rPr/>
              <w:t> </w:t>
            </w:r>
          </w:p>
        </w:tc>
      </w:tr>
      <w:tr>
        <w:trPr/>
        <w:tc>
          <w:tcPr>
            <w:tcW w:w="44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Payable within</w:t>
            </w:r>
          </w:p>
        </w:tc>
        <w:tc>
          <w:tcPr>
            <w:tcW w:w="241" w:type="dxa"/>
            <w:tcBorders/>
            <w:shd w:fill="auto" w:val="clear"/>
            <w:vAlign w:val="bottom"/>
          </w:tcPr>
          <w:p>
            <w:pPr>
              <w:pStyle w:val="TableContents"/>
              <w:spacing w:before="0" w:after="0"/>
              <w:ind w:left="0" w:right="0" w:hanging="0"/>
              <w:rPr/>
            </w:pPr>
            <w:r>
              <w:rPr/>
              <w:t> </w:t>
            </w:r>
          </w:p>
        </w:tc>
        <w:tc>
          <w:tcPr>
            <w:tcW w:w="1207" w:type="dxa"/>
            <w:tcBorders/>
            <w:shd w:fill="auto" w:val="clear"/>
            <w:vAlign w:val="bottom"/>
          </w:tcPr>
          <w:p>
            <w:pPr>
              <w:pStyle w:val="TableContents"/>
              <w:spacing w:before="0" w:after="0"/>
              <w:ind w:left="0" w:right="0" w:hanging="0"/>
              <w:jc w:val="right"/>
              <w:rPr/>
            </w:pPr>
            <w:r>
              <w:rPr/>
              <w:t> </w:t>
            </w:r>
          </w:p>
        </w:tc>
        <w:tc>
          <w:tcPr>
            <w:tcW w:w="61" w:type="dxa"/>
            <w:tcBorders/>
            <w:shd w:fill="auto" w:val="clear"/>
            <w:vAlign w:val="bottom"/>
          </w:tcPr>
          <w:p>
            <w:pPr>
              <w:pStyle w:val="TableContents"/>
              <w:spacing w:before="0" w:after="0"/>
              <w:ind w:left="0" w:right="0" w:hanging="0"/>
              <w:rPr/>
            </w:pPr>
            <w:r>
              <w:rPr/>
              <w:t> </w:t>
            </w:r>
          </w:p>
        </w:tc>
      </w:tr>
      <w:tr>
        <w:trPr/>
        <w:tc>
          <w:tcPr>
            <w:tcW w:w="44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1 year</w:t>
            </w:r>
          </w:p>
        </w:tc>
        <w:tc>
          <w:tcPr>
            <w:tcW w:w="241" w:type="dxa"/>
            <w:tcBorders/>
            <w:shd w:fill="CCEEFF" w:val="clear"/>
            <w:vAlign w:val="bottom"/>
          </w:tcPr>
          <w:p>
            <w:pPr>
              <w:pStyle w:val="TableContents"/>
              <w:spacing w:before="0" w:after="0"/>
              <w:ind w:left="0" w:right="0" w:hanging="0"/>
              <w:rPr/>
            </w:pPr>
            <w:r>
              <w:rPr/>
              <w:t> </w:t>
            </w:r>
          </w:p>
        </w:tc>
        <w:tc>
          <w:tcPr>
            <w:tcW w:w="12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995</w:t>
            </w:r>
          </w:p>
        </w:tc>
        <w:tc>
          <w:tcPr>
            <w:tcW w:w="61" w:type="dxa"/>
            <w:tcBorders/>
            <w:shd w:fill="CCEEFF" w:val="clear"/>
            <w:vAlign w:val="bottom"/>
          </w:tcPr>
          <w:p>
            <w:pPr>
              <w:pStyle w:val="TableContents"/>
              <w:spacing w:before="0" w:after="0"/>
              <w:ind w:left="0" w:right="0" w:hanging="0"/>
              <w:rPr/>
            </w:pPr>
            <w:r>
              <w:rPr/>
              <w:t> </w:t>
            </w:r>
          </w:p>
        </w:tc>
      </w:tr>
      <w:tr>
        <w:trPr/>
        <w:tc>
          <w:tcPr>
            <w:tcW w:w="440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 to 5 years</w:t>
            </w:r>
          </w:p>
        </w:tc>
        <w:tc>
          <w:tcPr>
            <w:tcW w:w="241" w:type="dxa"/>
            <w:tcBorders/>
            <w:shd w:fill="auto" w:val="clear"/>
            <w:vAlign w:val="bottom"/>
          </w:tcPr>
          <w:p>
            <w:pPr>
              <w:pStyle w:val="TableContents"/>
              <w:spacing w:before="0" w:after="0"/>
              <w:ind w:left="0" w:right="0" w:hanging="0"/>
              <w:rPr/>
            </w:pPr>
            <w:r>
              <w:rPr/>
              <w:t> </w:t>
            </w:r>
          </w:p>
        </w:tc>
        <w:tc>
          <w:tcPr>
            <w:tcW w:w="120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3,980</w:t>
            </w:r>
          </w:p>
        </w:tc>
        <w:tc>
          <w:tcPr>
            <w:tcW w:w="61" w:type="dxa"/>
            <w:tcBorders/>
            <w:shd w:fill="auto" w:val="clear"/>
            <w:vAlign w:val="bottom"/>
          </w:tcPr>
          <w:p>
            <w:pPr>
              <w:pStyle w:val="TableContents"/>
              <w:spacing w:before="0" w:after="0"/>
              <w:ind w:left="0" w:right="0" w:hanging="0"/>
              <w:rPr/>
            </w:pPr>
            <w:r>
              <w:rPr/>
              <w:t> </w:t>
            </w:r>
          </w:p>
        </w:tc>
      </w:tr>
      <w:tr>
        <w:trPr/>
        <w:tc>
          <w:tcPr>
            <w:tcW w:w="440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Thereafter</w:t>
            </w:r>
          </w:p>
        </w:tc>
        <w:tc>
          <w:tcPr>
            <w:tcW w:w="241" w:type="dxa"/>
            <w:tcBorders/>
            <w:shd w:fill="CCEEFF" w:val="clear"/>
            <w:vAlign w:val="bottom"/>
          </w:tcPr>
          <w:p>
            <w:pPr>
              <w:pStyle w:val="TableContents"/>
              <w:spacing w:before="0" w:after="0"/>
              <w:ind w:left="0" w:right="0" w:hanging="0"/>
              <w:rPr/>
            </w:pPr>
            <w:r>
              <w:rPr/>
              <w:t> </w:t>
            </w:r>
          </w:p>
        </w:tc>
        <w:tc>
          <w:tcPr>
            <w:tcW w:w="120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1,457</w:t>
            </w:r>
          </w:p>
        </w:tc>
        <w:tc>
          <w:tcPr>
            <w:tcW w:w="61"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(8)</w:t>
      </w:r>
      <w:r>
        <w:rPr>
          <w:rFonts w:ascii="Times New Roman" w:hAnsi="Times New Roman"/>
        </w:rPr>
        <w:t xml:space="preserve">                     </w:t>
      </w:r>
      <w:r>
        <w:rPr>
          <w:rFonts w:ascii="Times New Roman" w:hAnsi="Times New Roman"/>
          <w:b/>
          <w:sz w:val="17"/>
        </w:rPr>
        <w:t>Finance Costs</w:t>
      </w:r>
    </w:p>
    <w:p>
      <w:pPr>
        <w:pStyle w:val="TextBody"/>
        <w:spacing w:before="0" w:after="0"/>
        <w:ind w:left="0" w:right="0" w:hanging="0"/>
        <w:rPr/>
      </w:pPr>
      <w:r>
        <w:rPr/>
        <w:t> </w:t>
      </w:r>
    </w:p>
    <w:tbl>
      <w:tblPr>
        <w:tblW w:w="3700" w:type="pct"/>
        <w:jc w:val="left"/>
        <w:tblInd w:w="0" w:type="dxa"/>
        <w:tblCellMar>
          <w:top w:w="0" w:type="dxa"/>
          <w:left w:w="0" w:type="dxa"/>
          <w:bottom w:w="0" w:type="dxa"/>
          <w:right w:w="0" w:type="dxa"/>
        </w:tblCellMar>
      </w:tblPr>
      <w:tblGrid>
        <w:gridCol w:w="4546"/>
        <w:gridCol w:w="231"/>
        <w:gridCol w:w="1233"/>
        <w:gridCol w:w="231"/>
        <w:gridCol w:w="1233"/>
        <w:gridCol w:w="77"/>
      </w:tblGrid>
      <w:tr>
        <w:trPr/>
        <w:tc>
          <w:tcPr>
            <w:tcW w:w="4546"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2697"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77" w:type="dxa"/>
            <w:tcBorders/>
            <w:shd w:fill="auto" w:val="clear"/>
            <w:vAlign w:val="bottom"/>
          </w:tcPr>
          <w:p>
            <w:pPr>
              <w:pStyle w:val="TableContents"/>
              <w:spacing w:before="0" w:after="0"/>
              <w:ind w:left="0" w:right="0" w:hanging="0"/>
              <w:jc w:val="center"/>
              <w:rPr/>
            </w:pPr>
            <w:r>
              <w:rPr/>
              <w:t> </w:t>
            </w:r>
          </w:p>
        </w:tc>
      </w:tr>
      <w:tr>
        <w:trPr/>
        <w:tc>
          <w:tcPr>
            <w:tcW w:w="4546" w:type="dxa"/>
            <w:tcBorders/>
            <w:shd w:fill="auto" w:val="clear"/>
            <w:vAlign w:val="bottom"/>
          </w:tcPr>
          <w:p>
            <w:pPr>
              <w:pStyle w:val="TableContents"/>
              <w:spacing w:before="0" w:after="0"/>
              <w:ind w:left="0" w:right="0" w:hanging="0"/>
              <w:rPr/>
            </w:pPr>
            <w:r>
              <w:rPr/>
              <w:t> </w:t>
            </w:r>
          </w:p>
        </w:tc>
        <w:tc>
          <w:tcPr>
            <w:tcW w:w="231" w:type="dxa"/>
            <w:tcBorders/>
            <w:shd w:fill="auto" w:val="clear"/>
            <w:vAlign w:val="bottom"/>
          </w:tcPr>
          <w:p>
            <w:pPr>
              <w:pStyle w:val="TableContents"/>
              <w:spacing w:before="0" w:after="0"/>
              <w:ind w:left="0" w:right="0" w:hanging="0"/>
              <w:jc w:val="center"/>
              <w:rPr/>
            </w:pPr>
            <w:r>
              <w:rPr/>
              <w:t> </w:t>
            </w:r>
          </w:p>
        </w:tc>
        <w:tc>
          <w:tcPr>
            <w:tcW w:w="123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3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77" w:type="dxa"/>
            <w:tcBorders/>
            <w:shd w:fill="auto" w:val="clear"/>
            <w:vAlign w:val="bottom"/>
          </w:tcPr>
          <w:p>
            <w:pPr>
              <w:pStyle w:val="TableContents"/>
              <w:spacing w:before="0" w:after="0"/>
              <w:ind w:left="0" w:right="0" w:hanging="0"/>
              <w:jc w:val="center"/>
              <w:rPr/>
            </w:pPr>
            <w:r>
              <w:rPr/>
              <w:t> </w:t>
            </w:r>
          </w:p>
        </w:tc>
      </w:tr>
      <w:tr>
        <w:trPr/>
        <w:tc>
          <w:tcPr>
            <w:tcW w:w="454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Unwinding of discounts on provisions</w:t>
            </w:r>
          </w:p>
        </w:tc>
        <w:tc>
          <w:tcPr>
            <w:tcW w:w="231" w:type="dxa"/>
            <w:tcBorders/>
            <w:shd w:fill="CCEEFF" w:val="clear"/>
            <w:vAlign w:val="bottom"/>
          </w:tcPr>
          <w:p>
            <w:pPr>
              <w:pStyle w:val="TableContents"/>
              <w:spacing w:before="0" w:after="0"/>
              <w:ind w:left="0" w:right="0" w:hanging="0"/>
              <w:rPr/>
            </w:pPr>
            <w:r>
              <w:rPr/>
              <w:t> </w:t>
            </w:r>
          </w:p>
        </w:tc>
        <w:tc>
          <w:tcPr>
            <w:tcW w:w="123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1,950</w:t>
            </w:r>
          </w:p>
        </w:tc>
        <w:tc>
          <w:tcPr>
            <w:tcW w:w="231" w:type="dxa"/>
            <w:tcBorders/>
            <w:shd w:fill="CCEEFF" w:val="clear"/>
            <w:vAlign w:val="bottom"/>
          </w:tcPr>
          <w:p>
            <w:pPr>
              <w:pStyle w:val="TableContents"/>
              <w:spacing w:before="0" w:after="0"/>
              <w:ind w:left="0" w:right="0" w:hanging="0"/>
              <w:rPr/>
            </w:pPr>
            <w:r>
              <w:rPr/>
              <w:t> </w:t>
            </w:r>
          </w:p>
        </w:tc>
        <w:tc>
          <w:tcPr>
            <w:tcW w:w="123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77"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(9)</w:t>
      </w:r>
      <w:r>
        <w:rPr>
          <w:rFonts w:ascii="Times New Roman" w:hAnsi="Times New Roman"/>
        </w:rPr>
        <w:t xml:space="preserve">                     </w:t>
      </w:r>
      <w:r>
        <w:rPr>
          <w:rFonts w:ascii="Times New Roman" w:hAnsi="Times New Roman"/>
          <w:b/>
          <w:sz w:val="17"/>
        </w:rPr>
        <w:t>Taxes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(a)</w:t>
      </w:r>
      <w:r>
        <w:rPr>
          <w:rFonts w:ascii="Times New Roman" w:hAnsi="Times New Roman"/>
        </w:rPr>
        <w:t xml:space="preserve">                      </w:t>
      </w:r>
      <w:r>
        <w:rPr>
          <w:rFonts w:ascii="Times New Roman" w:hAnsi="Times New Roman"/>
          <w:sz w:val="17"/>
        </w:rPr>
        <w:t>As previously discussed in the Significant Accounting Policies section, BPs historic consolidated financial statements included the Argyle operations. For purposes of these carve-out financial statements, Argyles taxes are computed and reported on a separate return basis.  Use of the separate return method may result in differences when the sum of the amounts allocated to carve-out tax provisions are compared with amounts presented in consolidated financial statements.  In that event, the related deferred tax assets and liabilities could be significantly different from those presented herein.  Furthermore, certain tax attributes, e.g., net operating loss carryforwards, may or may not exist at the carve-out level that were actually reflected in the consolidated financial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(b)</w:t>
      </w:r>
      <w:r>
        <w:rPr>
          <w:rFonts w:ascii="Times New Roman" w:hAnsi="Times New Roman"/>
        </w:rPr>
        <w:t xml:space="preserve">                      </w:t>
      </w:r>
      <w:r>
        <w:rPr>
          <w:rFonts w:ascii="Times New Roman" w:hAnsi="Times New Roman"/>
          <w:b/>
          <w:i/>
          <w:sz w:val="17"/>
        </w:rPr>
        <w:t>Income Tax Provision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income tax expense (benefit) for the years ended December 31, 2011 and 2010: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46" w:name="PB_16_155310_5335"/>
      <w:bookmarkEnd w:id="46"/>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5218"/>
        <w:gridCol w:w="253"/>
        <w:gridCol w:w="1178"/>
        <w:gridCol w:w="253"/>
        <w:gridCol w:w="1178"/>
        <w:gridCol w:w="84"/>
      </w:tblGrid>
      <w:tr>
        <w:trPr/>
        <w:tc>
          <w:tcPr>
            <w:tcW w:w="5218"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jc w:val="center"/>
              <w:rPr/>
            </w:pPr>
            <w:r>
              <w:rPr/>
              <w:t> </w:t>
            </w:r>
          </w:p>
        </w:tc>
        <w:tc>
          <w:tcPr>
            <w:tcW w:w="2609"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4" w:type="dxa"/>
            <w:tcBorders/>
            <w:shd w:fill="auto" w:val="clear"/>
            <w:vAlign w:val="bottom"/>
          </w:tcPr>
          <w:p>
            <w:pPr>
              <w:pStyle w:val="TableContents"/>
              <w:spacing w:before="0" w:after="0"/>
              <w:ind w:left="0" w:right="0" w:hanging="0"/>
              <w:jc w:val="center"/>
              <w:rPr/>
            </w:pPr>
            <w:r>
              <w:rPr/>
              <w:t> </w:t>
            </w:r>
          </w:p>
        </w:tc>
      </w:tr>
      <w:tr>
        <w:trPr/>
        <w:tc>
          <w:tcPr>
            <w:tcW w:w="5218"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jc w:val="center"/>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5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78"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4" w:type="dxa"/>
            <w:tcBorders/>
            <w:shd w:fill="auto" w:val="clear"/>
            <w:vAlign w:val="bottom"/>
          </w:tcPr>
          <w:p>
            <w:pPr>
              <w:pStyle w:val="TableContents"/>
              <w:spacing w:before="0" w:after="0"/>
              <w:ind w:left="0" w:right="0" w:hanging="0"/>
              <w:jc w:val="center"/>
              <w:rPr/>
            </w:pPr>
            <w:r>
              <w:rPr/>
              <w:t> </w:t>
            </w:r>
          </w:p>
        </w:tc>
      </w:tr>
      <w:tr>
        <w:trPr/>
        <w:tc>
          <w:tcPr>
            <w:tcW w:w="52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 tax expense:</w:t>
            </w:r>
          </w:p>
        </w:tc>
        <w:tc>
          <w:tcPr>
            <w:tcW w:w="253" w:type="dxa"/>
            <w:tcBorders/>
            <w:shd w:fill="CCEEFF" w:val="clear"/>
            <w:vAlign w:val="bottom"/>
          </w:tcPr>
          <w:p>
            <w:pPr>
              <w:pStyle w:val="TableContents"/>
              <w:spacing w:before="0" w:after="0"/>
              <w:ind w:left="0" w:right="0" w:hanging="0"/>
              <w:rPr/>
            </w:pPr>
            <w:r>
              <w:rPr/>
              <w:t> </w:t>
            </w:r>
          </w:p>
        </w:tc>
        <w:tc>
          <w:tcPr>
            <w:tcW w:w="1178" w:type="dxa"/>
            <w:tcBorders/>
            <w:shd w:fill="CCEEFF" w:val="clear"/>
            <w:vAlign w:val="bottom"/>
          </w:tcPr>
          <w:p>
            <w:pPr>
              <w:pStyle w:val="TableContents"/>
              <w:spacing w:before="0" w:after="0"/>
              <w:ind w:left="0" w:right="0" w:hanging="0"/>
              <w:jc w:val="right"/>
              <w:rPr/>
            </w:pPr>
            <w:r>
              <w:rPr/>
              <w:t> </w:t>
            </w:r>
          </w:p>
        </w:tc>
        <w:tc>
          <w:tcPr>
            <w:tcW w:w="253" w:type="dxa"/>
            <w:tcBorders/>
            <w:shd w:fill="CCEEFF" w:val="clear"/>
            <w:vAlign w:val="bottom"/>
          </w:tcPr>
          <w:p>
            <w:pPr>
              <w:pStyle w:val="TableContents"/>
              <w:spacing w:before="0" w:after="0"/>
              <w:ind w:left="0" w:right="0" w:hanging="0"/>
              <w:rPr/>
            </w:pPr>
            <w:r>
              <w:rPr/>
              <w:t> </w:t>
            </w:r>
          </w:p>
        </w:tc>
        <w:tc>
          <w:tcPr>
            <w:tcW w:w="1178" w:type="dxa"/>
            <w:tcBorders/>
            <w:shd w:fill="CCEEFF" w:val="clear"/>
            <w:vAlign w:val="bottom"/>
          </w:tcPr>
          <w:p>
            <w:pPr>
              <w:pStyle w:val="TableContents"/>
              <w:spacing w:before="0" w:after="0"/>
              <w:ind w:left="0" w:right="0" w:hanging="0"/>
              <w:jc w:val="right"/>
              <w:rPr/>
            </w:pPr>
            <w:r>
              <w:rPr/>
              <w:t> </w:t>
            </w:r>
          </w:p>
        </w:tc>
        <w:tc>
          <w:tcPr>
            <w:tcW w:w="84" w:type="dxa"/>
            <w:tcBorders/>
            <w:shd w:fill="CCEEFF" w:val="clear"/>
            <w:vAlign w:val="bottom"/>
          </w:tcPr>
          <w:p>
            <w:pPr>
              <w:pStyle w:val="TableContents"/>
              <w:spacing w:before="0" w:after="0"/>
              <w:ind w:left="0" w:right="0" w:hanging="0"/>
              <w:rPr/>
            </w:pPr>
            <w:r>
              <w:rPr/>
              <w:t> </w:t>
            </w:r>
          </w:p>
        </w:tc>
      </w:tr>
      <w:tr>
        <w:trPr/>
        <w:tc>
          <w:tcPr>
            <w:tcW w:w="52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Current Period</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65,251</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76,002</w:t>
            </w:r>
          </w:p>
        </w:tc>
        <w:tc>
          <w:tcPr>
            <w:tcW w:w="84" w:type="dxa"/>
            <w:tcBorders/>
            <w:shd w:fill="auto" w:val="clear"/>
            <w:vAlign w:val="bottom"/>
          </w:tcPr>
          <w:p>
            <w:pPr>
              <w:pStyle w:val="TableContents"/>
              <w:spacing w:before="0" w:after="0"/>
              <w:ind w:left="0" w:right="0" w:hanging="0"/>
              <w:rPr/>
            </w:pPr>
            <w:r>
              <w:rPr/>
              <w:t> </w:t>
            </w:r>
          </w:p>
        </w:tc>
      </w:tr>
      <w:tr>
        <w:trPr/>
        <w:tc>
          <w:tcPr>
            <w:tcW w:w="5218" w:type="dxa"/>
            <w:tcBorders/>
            <w:shd w:fill="CCEEFF" w:val="clear"/>
            <w:vAlign w:val="bottom"/>
          </w:tcPr>
          <w:p>
            <w:pPr>
              <w:pStyle w:val="TableContents"/>
              <w:spacing w:before="0" w:after="0"/>
              <w:ind w:left="0" w:right="0" w:hanging="0"/>
              <w:rPr/>
            </w:pPr>
            <w:r>
              <w:rPr/>
              <w:t> </w:t>
            </w:r>
          </w:p>
        </w:tc>
        <w:tc>
          <w:tcPr>
            <w:tcW w:w="253" w:type="dxa"/>
            <w:tcBorders/>
            <w:shd w:fill="CCEEFF" w:val="clear"/>
            <w:vAlign w:val="bottom"/>
          </w:tcPr>
          <w:p>
            <w:pPr>
              <w:pStyle w:val="TableContents"/>
              <w:spacing w:before="0" w:after="0"/>
              <w:ind w:left="0" w:right="0" w:hanging="0"/>
              <w:rPr/>
            </w:pPr>
            <w:r>
              <w:rPr/>
              <w:t> </w:t>
            </w:r>
          </w:p>
        </w:tc>
        <w:tc>
          <w:tcPr>
            <w:tcW w:w="11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65,251</w:t>
            </w:r>
          </w:p>
        </w:tc>
        <w:tc>
          <w:tcPr>
            <w:tcW w:w="253" w:type="dxa"/>
            <w:tcBorders/>
            <w:shd w:fill="CCEEFF" w:val="clear"/>
            <w:vAlign w:val="bottom"/>
          </w:tcPr>
          <w:p>
            <w:pPr>
              <w:pStyle w:val="TableContents"/>
              <w:spacing w:before="0" w:after="0"/>
              <w:ind w:left="0" w:right="0" w:hanging="0"/>
              <w:rPr/>
            </w:pPr>
            <w:r>
              <w:rPr/>
              <w:t> </w:t>
            </w:r>
          </w:p>
        </w:tc>
        <w:tc>
          <w:tcPr>
            <w:tcW w:w="11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76,002</w:t>
            </w:r>
          </w:p>
        </w:tc>
        <w:tc>
          <w:tcPr>
            <w:tcW w:w="84" w:type="dxa"/>
            <w:tcBorders/>
            <w:shd w:fill="CCEEFF" w:val="clear"/>
            <w:vAlign w:val="bottom"/>
          </w:tcPr>
          <w:p>
            <w:pPr>
              <w:pStyle w:val="TableContents"/>
              <w:spacing w:before="0" w:after="0"/>
              <w:ind w:left="0" w:right="0" w:hanging="0"/>
              <w:rPr/>
            </w:pPr>
            <w:r>
              <w:rPr/>
              <w:t> </w:t>
            </w:r>
          </w:p>
        </w:tc>
      </w:tr>
      <w:tr>
        <w:trPr/>
        <w:tc>
          <w:tcPr>
            <w:tcW w:w="52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Deferred tax expense:</w:t>
            </w:r>
          </w:p>
        </w:tc>
        <w:tc>
          <w:tcPr>
            <w:tcW w:w="253" w:type="dxa"/>
            <w:tcBorders/>
            <w:shd w:fill="auto" w:val="clear"/>
            <w:vAlign w:val="bottom"/>
          </w:tcPr>
          <w:p>
            <w:pPr>
              <w:pStyle w:val="TableContents"/>
              <w:spacing w:before="0" w:after="0"/>
              <w:ind w:left="0" w:right="0" w:hanging="0"/>
              <w:rPr/>
            </w:pPr>
            <w:r>
              <w:rPr/>
              <w:t> </w:t>
            </w:r>
          </w:p>
        </w:tc>
        <w:tc>
          <w:tcPr>
            <w:tcW w:w="1178" w:type="dxa"/>
            <w:tcBorders/>
            <w:shd w:fill="auto" w:val="clear"/>
            <w:vAlign w:val="bottom"/>
          </w:tcPr>
          <w:p>
            <w:pPr>
              <w:pStyle w:val="TableContents"/>
              <w:spacing w:before="0" w:after="0"/>
              <w:ind w:left="0" w:right="0" w:hanging="0"/>
              <w:jc w:val="right"/>
              <w:rPr/>
            </w:pPr>
            <w:r>
              <w:rPr/>
              <w:t> </w:t>
            </w:r>
          </w:p>
        </w:tc>
        <w:tc>
          <w:tcPr>
            <w:tcW w:w="253" w:type="dxa"/>
            <w:tcBorders/>
            <w:shd w:fill="auto" w:val="clear"/>
            <w:vAlign w:val="bottom"/>
          </w:tcPr>
          <w:p>
            <w:pPr>
              <w:pStyle w:val="TableContents"/>
              <w:spacing w:before="0" w:after="0"/>
              <w:ind w:left="0" w:right="0" w:hanging="0"/>
              <w:rPr/>
            </w:pPr>
            <w:r>
              <w:rPr/>
              <w:t> </w:t>
            </w:r>
          </w:p>
        </w:tc>
        <w:tc>
          <w:tcPr>
            <w:tcW w:w="1178" w:type="dxa"/>
            <w:tcBorders/>
            <w:shd w:fill="auto" w:val="clear"/>
            <w:vAlign w:val="bottom"/>
          </w:tcPr>
          <w:p>
            <w:pPr>
              <w:pStyle w:val="TableContents"/>
              <w:spacing w:before="0" w:after="0"/>
              <w:ind w:left="0" w:right="0" w:hanging="0"/>
              <w:jc w:val="right"/>
              <w:rPr/>
            </w:pPr>
            <w:r>
              <w:rPr/>
              <w:t> </w:t>
            </w:r>
          </w:p>
        </w:tc>
        <w:tc>
          <w:tcPr>
            <w:tcW w:w="84" w:type="dxa"/>
            <w:tcBorders/>
            <w:shd w:fill="auto" w:val="clear"/>
            <w:vAlign w:val="bottom"/>
          </w:tcPr>
          <w:p>
            <w:pPr>
              <w:pStyle w:val="TableContents"/>
              <w:spacing w:before="0" w:after="0"/>
              <w:ind w:left="0" w:right="0" w:hanging="0"/>
              <w:rPr/>
            </w:pPr>
            <w:r>
              <w:rPr/>
              <w:t> </w:t>
            </w:r>
          </w:p>
        </w:tc>
      </w:tr>
      <w:tr>
        <w:trPr/>
        <w:tc>
          <w:tcPr>
            <w:tcW w:w="5218"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Origination and reversal of temporary differences</w:t>
            </w:r>
          </w:p>
        </w:tc>
        <w:tc>
          <w:tcPr>
            <w:tcW w:w="253" w:type="dxa"/>
            <w:tcBorders/>
            <w:shd w:fill="CCEEFF" w:val="clear"/>
            <w:vAlign w:val="bottom"/>
          </w:tcPr>
          <w:p>
            <w:pPr>
              <w:pStyle w:val="TableContents"/>
              <w:spacing w:before="0" w:after="0"/>
              <w:ind w:left="0" w:right="0" w:hanging="0"/>
              <w:rPr/>
            </w:pPr>
            <w:r>
              <w:rPr/>
              <w:t> </w:t>
            </w:r>
          </w:p>
        </w:tc>
        <w:tc>
          <w:tcPr>
            <w:tcW w:w="11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18,156</w:t>
            </w:r>
          </w:p>
        </w:tc>
        <w:tc>
          <w:tcPr>
            <w:tcW w:w="253" w:type="dxa"/>
            <w:tcBorders/>
            <w:shd w:fill="CCEEFF" w:val="clear"/>
            <w:vAlign w:val="bottom"/>
          </w:tcPr>
          <w:p>
            <w:pPr>
              <w:pStyle w:val="TableContents"/>
              <w:spacing w:before="0" w:after="0"/>
              <w:ind w:left="0" w:right="0" w:hanging="0"/>
              <w:rPr/>
            </w:pPr>
            <w:r>
              <w:rPr/>
              <w:t> </w:t>
            </w:r>
          </w:p>
        </w:tc>
        <w:tc>
          <w:tcPr>
            <w:tcW w:w="117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4,632</w:t>
            </w:r>
          </w:p>
        </w:tc>
        <w:tc>
          <w:tcPr>
            <w:tcW w:w="84" w:type="dxa"/>
            <w:tcBorders/>
            <w:shd w:fill="CCEEFF" w:val="clear"/>
            <w:vAlign w:val="bottom"/>
          </w:tcPr>
          <w:p>
            <w:pPr>
              <w:pStyle w:val="TableContents"/>
              <w:spacing w:before="0" w:after="0"/>
              <w:ind w:left="0" w:right="0" w:hanging="0"/>
              <w:rPr/>
            </w:pPr>
            <w:r>
              <w:rPr/>
              <w:t> </w:t>
            </w:r>
          </w:p>
        </w:tc>
      </w:tr>
      <w:tr>
        <w:trPr/>
        <w:tc>
          <w:tcPr>
            <w:tcW w:w="5218"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18,156</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4,632</w:t>
            </w:r>
          </w:p>
        </w:tc>
        <w:tc>
          <w:tcPr>
            <w:tcW w:w="84" w:type="dxa"/>
            <w:tcBorders/>
            <w:shd w:fill="auto" w:val="clear"/>
            <w:vAlign w:val="bottom"/>
          </w:tcPr>
          <w:p>
            <w:pPr>
              <w:pStyle w:val="TableContents"/>
              <w:spacing w:before="0" w:after="0"/>
              <w:ind w:left="0" w:right="0" w:hanging="0"/>
              <w:rPr/>
            </w:pPr>
            <w:r>
              <w:rPr/>
              <w:t> </w:t>
            </w:r>
          </w:p>
        </w:tc>
      </w:tr>
      <w:tr>
        <w:trPr/>
        <w:tc>
          <w:tcPr>
            <w:tcW w:w="5218" w:type="dxa"/>
            <w:tcBorders/>
            <w:shd w:fill="CCEEFF" w:val="clear"/>
            <w:vAlign w:val="bottom"/>
          </w:tcPr>
          <w:p>
            <w:pPr>
              <w:pStyle w:val="TableContents"/>
              <w:spacing w:before="0" w:after="0"/>
              <w:ind w:left="0" w:right="0" w:hanging="0"/>
              <w:rPr/>
            </w:pPr>
            <w:r>
              <w:rPr/>
              <w:t> </w:t>
            </w:r>
          </w:p>
        </w:tc>
        <w:tc>
          <w:tcPr>
            <w:tcW w:w="253" w:type="dxa"/>
            <w:tcBorders/>
            <w:shd w:fill="CCEEFF" w:val="clear"/>
            <w:vAlign w:val="bottom"/>
          </w:tcPr>
          <w:p>
            <w:pPr>
              <w:pStyle w:val="TableContents"/>
              <w:spacing w:before="0" w:after="0"/>
              <w:ind w:left="0" w:right="0" w:hanging="0"/>
              <w:rPr/>
            </w:pPr>
            <w:r>
              <w:rPr/>
              <w:t> </w:t>
            </w:r>
          </w:p>
        </w:tc>
        <w:tc>
          <w:tcPr>
            <w:tcW w:w="1178" w:type="dxa"/>
            <w:tcBorders/>
            <w:shd w:fill="CCEEFF" w:val="clear"/>
            <w:vAlign w:val="bottom"/>
          </w:tcPr>
          <w:p>
            <w:pPr>
              <w:pStyle w:val="TableContents"/>
              <w:spacing w:before="0" w:after="0"/>
              <w:ind w:left="0" w:right="0" w:hanging="0"/>
              <w:jc w:val="right"/>
              <w:rPr/>
            </w:pPr>
            <w:r>
              <w:rPr/>
              <w:t> </w:t>
            </w:r>
          </w:p>
        </w:tc>
        <w:tc>
          <w:tcPr>
            <w:tcW w:w="253" w:type="dxa"/>
            <w:tcBorders/>
            <w:shd w:fill="CCEEFF" w:val="clear"/>
            <w:vAlign w:val="bottom"/>
          </w:tcPr>
          <w:p>
            <w:pPr>
              <w:pStyle w:val="TableContents"/>
              <w:spacing w:before="0" w:after="0"/>
              <w:ind w:left="0" w:right="0" w:hanging="0"/>
              <w:rPr/>
            </w:pPr>
            <w:r>
              <w:rPr/>
              <w:t> </w:t>
            </w:r>
          </w:p>
        </w:tc>
        <w:tc>
          <w:tcPr>
            <w:tcW w:w="1178" w:type="dxa"/>
            <w:tcBorders/>
            <w:shd w:fill="CCEEFF" w:val="clear"/>
            <w:vAlign w:val="bottom"/>
          </w:tcPr>
          <w:p>
            <w:pPr>
              <w:pStyle w:val="TableContents"/>
              <w:spacing w:before="0" w:after="0"/>
              <w:ind w:left="0" w:right="0" w:hanging="0"/>
              <w:jc w:val="right"/>
              <w:rPr/>
            </w:pPr>
            <w:r>
              <w:rPr/>
              <w:t> </w:t>
            </w:r>
          </w:p>
        </w:tc>
        <w:tc>
          <w:tcPr>
            <w:tcW w:w="84" w:type="dxa"/>
            <w:tcBorders/>
            <w:shd w:fill="CCEEFF" w:val="clear"/>
            <w:vAlign w:val="bottom"/>
          </w:tcPr>
          <w:p>
            <w:pPr>
              <w:pStyle w:val="TableContents"/>
              <w:spacing w:before="0" w:after="0"/>
              <w:ind w:left="0" w:right="0" w:hanging="0"/>
              <w:rPr/>
            </w:pPr>
            <w:r>
              <w:rPr/>
              <w:t> </w:t>
            </w:r>
          </w:p>
        </w:tc>
      </w:tr>
      <w:tr>
        <w:trPr/>
        <w:tc>
          <w:tcPr>
            <w:tcW w:w="521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Income tax expense / (benefit)</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83,407</w:t>
            </w:r>
          </w:p>
        </w:tc>
        <w:tc>
          <w:tcPr>
            <w:tcW w:w="253" w:type="dxa"/>
            <w:tcBorders/>
            <w:shd w:fill="auto" w:val="clear"/>
            <w:vAlign w:val="bottom"/>
          </w:tcPr>
          <w:p>
            <w:pPr>
              <w:pStyle w:val="TableContents"/>
              <w:spacing w:before="0" w:after="0"/>
              <w:ind w:left="0" w:right="0" w:hanging="0"/>
              <w:rPr/>
            </w:pPr>
            <w:r>
              <w:rPr/>
              <w:t> </w:t>
            </w:r>
          </w:p>
        </w:tc>
        <w:tc>
          <w:tcPr>
            <w:tcW w:w="117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80,634</w:t>
            </w:r>
          </w:p>
        </w:tc>
        <w:tc>
          <w:tcPr>
            <w:tcW w:w="84" w:type="dxa"/>
            <w:tcBorders/>
            <w:shd w:fill="auto"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(c)</w:t>
      </w:r>
      <w:r>
        <w:rPr>
          <w:rFonts w:ascii="Times New Roman" w:hAnsi="Times New Roman"/>
        </w:rPr>
        <w:t xml:space="preserve">                       </w:t>
      </w:r>
      <w:r>
        <w:rPr>
          <w:rFonts w:ascii="Times New Roman" w:hAnsi="Times New Roman"/>
          <w:b/>
          <w:i/>
          <w:sz w:val="17"/>
        </w:rPr>
        <w:t>Effective and Statutory Rate Reconciliation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a reconciliation of the Canada statutory income tax rate to Argyles effective tax rate, for the years ended December 31, 2011 and :</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4917"/>
        <w:gridCol w:w="249"/>
        <w:gridCol w:w="1249"/>
        <w:gridCol w:w="250"/>
        <w:gridCol w:w="1249"/>
        <w:gridCol w:w="250"/>
      </w:tblGrid>
      <w:tr>
        <w:trPr/>
        <w:tc>
          <w:tcPr>
            <w:tcW w:w="4917" w:type="dxa"/>
            <w:tcBorders/>
            <w:shd w:fill="auto" w:val="clear"/>
            <w:vAlign w:val="bottom"/>
          </w:tcPr>
          <w:p>
            <w:pPr>
              <w:pStyle w:val="TableContents"/>
              <w:spacing w:before="0" w:after="0"/>
              <w:ind w:left="0" w:right="0" w:hanging="0"/>
              <w:rPr/>
            </w:pPr>
            <w:r>
              <w:rPr/>
              <w:t> </w:t>
            </w:r>
          </w:p>
        </w:tc>
        <w:tc>
          <w:tcPr>
            <w:tcW w:w="249"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50" w:type="dxa"/>
            <w:tcBorders/>
            <w:shd w:fill="auto" w:val="clear"/>
            <w:vAlign w:val="bottom"/>
          </w:tcPr>
          <w:p>
            <w:pPr>
              <w:pStyle w:val="TableContents"/>
              <w:spacing w:before="0" w:after="0"/>
              <w:ind w:left="0" w:right="0" w:hanging="0"/>
              <w:jc w:val="center"/>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250" w:type="dxa"/>
            <w:tcBorders/>
            <w:shd w:fill="auto" w:val="clear"/>
            <w:vAlign w:val="bottom"/>
          </w:tcPr>
          <w:p>
            <w:pPr>
              <w:pStyle w:val="TableContents"/>
              <w:spacing w:before="0" w:after="0"/>
              <w:ind w:left="0" w:right="0" w:hanging="0"/>
              <w:jc w:val="center"/>
              <w:rPr/>
            </w:pPr>
            <w:r>
              <w:rPr/>
              <w:t> </w:t>
            </w:r>
          </w:p>
        </w:tc>
      </w:tr>
      <w:tr>
        <w:trPr/>
        <w:tc>
          <w:tcPr>
            <w:tcW w:w="49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Statutory federal income tax rates</w:t>
            </w:r>
          </w:p>
        </w:tc>
        <w:tc>
          <w:tcPr>
            <w:tcW w:w="24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27.1</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29.0</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Increase (decrease):</w:t>
            </w:r>
          </w:p>
        </w:tc>
        <w:tc>
          <w:tcPr>
            <w:tcW w:w="24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pPr>
            <w:r>
              <w:rPr/>
              <w:t> </w:t>
            </w:r>
          </w:p>
        </w:tc>
        <w:tc>
          <w:tcPr>
            <w:tcW w:w="250" w:type="dxa"/>
            <w:tcBorders/>
            <w:shd w:fill="auto" w:val="clear"/>
            <w:vAlign w:val="bottom"/>
          </w:tcPr>
          <w:p>
            <w:pPr>
              <w:pStyle w:val="TableContents"/>
              <w:spacing w:before="0" w:after="0"/>
              <w:ind w:left="0" w:right="0" w:hanging="0"/>
              <w:rPr/>
            </w:pPr>
            <w:r>
              <w:rPr/>
              <w:t> </w:t>
            </w:r>
          </w:p>
        </w:tc>
      </w:tr>
      <w:tr>
        <w:trPr/>
        <w:tc>
          <w:tcPr>
            <w:tcW w:w="49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Foreign exchange adjustments</w:t>
            </w:r>
          </w:p>
        </w:tc>
        <w:tc>
          <w:tcPr>
            <w:tcW w:w="24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0.6</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tax rates in foreign jurisdictions</w:t>
            </w:r>
          </w:p>
        </w:tc>
        <w:tc>
          <w:tcPr>
            <w:tcW w:w="249" w:type="dxa"/>
            <w:tcBorders/>
            <w:shd w:fill="auto" w:val="clear"/>
            <w:vAlign w:val="bottom"/>
          </w:tcPr>
          <w:p>
            <w:pPr>
              <w:pStyle w:val="TableContents"/>
              <w:spacing w:before="0" w:after="0"/>
              <w:ind w:left="0" w:right="0" w:hanging="0"/>
              <w:rPr/>
            </w:pPr>
            <w:r>
              <w:rPr/>
              <w:t> </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-0.5</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0.1</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Reduction in tax rate</w:t>
            </w:r>
          </w:p>
        </w:tc>
        <w:tc>
          <w:tcPr>
            <w:tcW w:w="24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-0.3</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-0.2</w:t>
            </w:r>
          </w:p>
        </w:tc>
        <w:tc>
          <w:tcPr>
            <w:tcW w:w="25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249" w:type="dxa"/>
            <w:tcBorders/>
            <w:shd w:fill="auto" w:val="clear"/>
            <w:vAlign w:val="bottom"/>
          </w:tcPr>
          <w:p>
            <w:pPr>
              <w:pStyle w:val="TableContents"/>
              <w:spacing w:before="0" w:after="0"/>
              <w:ind w:left="0" w:right="0" w:hanging="0"/>
              <w:rPr/>
            </w:pPr>
            <w:r>
              <w:rPr/>
              <w:t> </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-0.4</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917" w:type="dxa"/>
            <w:tcBorders/>
            <w:shd w:fill="CCEEFF" w:val="clear"/>
            <w:vAlign w:val="bottom"/>
          </w:tcPr>
          <w:p>
            <w:pPr>
              <w:pStyle w:val="TableContents"/>
              <w:spacing w:before="0" w:after="0"/>
              <w:ind w:left="0" w:right="0" w:hanging="0"/>
              <w:rPr/>
            </w:pPr>
            <w:r>
              <w:rPr/>
              <w:t> </w:t>
            </w:r>
          </w:p>
        </w:tc>
        <w:tc>
          <w:tcPr>
            <w:tcW w:w="249"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c>
          <w:tcPr>
            <w:tcW w:w="1249" w:type="dxa"/>
            <w:tcBorders/>
            <w:shd w:fill="CCEEFF" w:val="clear"/>
            <w:vAlign w:val="bottom"/>
          </w:tcPr>
          <w:p>
            <w:pPr>
              <w:pStyle w:val="TableContents"/>
              <w:spacing w:before="0" w:after="0"/>
              <w:ind w:left="0" w:right="0" w:hanging="0"/>
              <w:jc w:val="right"/>
              <w:rPr/>
            </w:pPr>
            <w:r>
              <w:rPr/>
              <w:t> </w:t>
            </w:r>
          </w:p>
        </w:tc>
        <w:tc>
          <w:tcPr>
            <w:tcW w:w="250" w:type="dxa"/>
            <w:tcBorders/>
            <w:shd w:fill="CCEEFF" w:val="clear"/>
            <w:vAlign w:val="bottom"/>
          </w:tcPr>
          <w:p>
            <w:pPr>
              <w:pStyle w:val="TableContents"/>
              <w:spacing w:before="0" w:after="0"/>
              <w:ind w:left="0" w:right="0" w:hanging="0"/>
              <w:rPr/>
            </w:pPr>
            <w:r>
              <w:rPr/>
              <w:t> </w:t>
            </w:r>
          </w:p>
        </w:tc>
      </w:tr>
      <w:tr>
        <w:trPr/>
        <w:tc>
          <w:tcPr>
            <w:tcW w:w="491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Effective income tax rates</w:t>
            </w:r>
          </w:p>
        </w:tc>
        <w:tc>
          <w:tcPr>
            <w:tcW w:w="249" w:type="dxa"/>
            <w:tcBorders/>
            <w:shd w:fill="auto" w:val="clear"/>
            <w:vAlign w:val="bottom"/>
          </w:tcPr>
          <w:p>
            <w:pPr>
              <w:pStyle w:val="TableContents"/>
              <w:spacing w:before="0" w:after="0"/>
              <w:ind w:left="0" w:right="0" w:hanging="0"/>
              <w:rPr/>
            </w:pPr>
            <w:r>
              <w:rPr/>
              <w:t> </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26.5</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49"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29.1</w:t>
            </w:r>
          </w:p>
        </w:tc>
        <w:tc>
          <w:tcPr>
            <w:tcW w:w="25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HorizontalLine"/>
        <w:pBdr>
          <w:bottom w:val="single" w:sz="6" w:space="0" w:color="000000"/>
        </w:pBdr>
        <w:spacing w:before="0" w:after="0"/>
        <w:ind w:left="0" w:right="7654" w:hanging="0"/>
        <w:rPr/>
      </w:pPr>
      <w:r>
        <w:rPr/>
      </w:r>
    </w:p>
    <w:p>
      <w:pPr>
        <w:pStyle w:val="TextBody"/>
        <w:spacing w:before="0" w:after="0"/>
        <w:ind w:left="0" w:right="0" w:hanging="0"/>
        <w:rPr>
          <w:rFonts w:ascii="Times New Roman" w:hAnsi="Times New Roman"/>
        </w:rPr>
      </w:pPr>
      <w:r>
        <w:rPr>
          <w:rFonts w:ascii="Times New Roman" w:hAnsi="Times New Roman"/>
          <w:sz w:val="17"/>
        </w:rPr>
        <w:t>*</w:t>
      </w:r>
      <w:r>
        <w:rPr>
          <w:rFonts w:ascii="Times New Roman" w:hAnsi="Times New Roman"/>
        </w:rPr>
        <w:t xml:space="preserve">                             </w:t>
      </w:r>
      <w:r>
        <w:rPr>
          <w:rFonts w:ascii="Times New Roman" w:hAnsi="Times New Roman"/>
          <w:sz w:val="17"/>
        </w:rPr>
        <w:t>Included in other are adjustments mainly attributable to differences between the fiscal year-end for Canadian tax return purposes versus the financial statement calendar year-end.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47" w:name="PB_17_155615_5796"/>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(d)</w:t>
      </w:r>
      <w:r>
        <w:rPr>
          <w:rFonts w:ascii="Times New Roman" w:hAnsi="Times New Roman"/>
        </w:rPr>
        <w:t xml:space="preserve">                      </w:t>
      </w:r>
      <w:r>
        <w:rPr>
          <w:rFonts w:ascii="Times New Roman" w:hAnsi="Times New Roman"/>
          <w:b/>
          <w:i/>
          <w:sz w:val="17"/>
        </w:rPr>
        <w:t>Deferred Income Taxes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Deferred income taxes reflect the net tax effects of (a) temporary differences between the carrying amounts of assets and liabilities for financial reporting purposes and the amounts used for income tax purposes, and (b) operating loss and tax credit carry forwards.  These items are stated at the enacted tax rates that are expected to be in effect when taxes are actually paid or recovered.  In addition, certain corporate allocations were pushed-down to the carve-out financial statements, without corresponding assets / liabilities.  In such cases, the related deferred tax liability (or deferred tax asset, if applicable) was deemed to remain with BP and was not recorded by Argyle.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following table summarizes the deferred tax assets and liabilities, as of December 31, 2011 and 2010:</w:t>
      </w:r>
    </w:p>
    <w:p>
      <w:pPr>
        <w:pStyle w:val="TextBody"/>
        <w:spacing w:before="0" w:after="0"/>
        <w:ind w:left="0" w:right="0" w:hanging="0"/>
        <w:rPr/>
      </w:pPr>
      <w:r>
        <w:rPr/>
        <w:t> </w:t>
      </w:r>
    </w:p>
    <w:tbl>
      <w:tblPr>
        <w:tblW w:w="4000" w:type="pct"/>
        <w:jc w:val="left"/>
        <w:tblInd w:w="0" w:type="dxa"/>
        <w:tblCellMar>
          <w:top w:w="0" w:type="dxa"/>
          <w:left w:w="0" w:type="dxa"/>
          <w:bottom w:w="0" w:type="dxa"/>
          <w:right w:w="0" w:type="dxa"/>
        </w:tblCellMar>
      </w:tblPr>
      <w:tblGrid>
        <w:gridCol w:w="5114"/>
        <w:gridCol w:w="247"/>
        <w:gridCol w:w="1237"/>
        <w:gridCol w:w="247"/>
        <w:gridCol w:w="1237"/>
        <w:gridCol w:w="82"/>
      </w:tblGrid>
      <w:tr>
        <w:trPr/>
        <w:tc>
          <w:tcPr>
            <w:tcW w:w="5114"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272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2" w:type="dxa"/>
            <w:tcBorders/>
            <w:shd w:fill="auto" w:val="clear"/>
            <w:vAlign w:val="bottom"/>
          </w:tcPr>
          <w:p>
            <w:pPr>
              <w:pStyle w:val="TableContents"/>
              <w:spacing w:before="0" w:after="0"/>
              <w:ind w:left="0" w:right="0" w:hanging="0"/>
              <w:jc w:val="center"/>
              <w:rPr/>
            </w:pPr>
            <w:r>
              <w:rPr/>
              <w:t> </w:t>
            </w:r>
          </w:p>
        </w:tc>
      </w:tr>
      <w:tr>
        <w:trPr/>
        <w:tc>
          <w:tcPr>
            <w:tcW w:w="5114"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jc w:val="center"/>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47"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37"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2" w:type="dxa"/>
            <w:tcBorders/>
            <w:shd w:fill="auto" w:val="clear"/>
            <w:vAlign w:val="bottom"/>
          </w:tcPr>
          <w:p>
            <w:pPr>
              <w:pStyle w:val="TableContents"/>
              <w:spacing w:before="0" w:after="0"/>
              <w:ind w:left="0" w:right="0" w:hanging="0"/>
              <w:jc w:val="center"/>
              <w:rPr/>
            </w:pPr>
            <w:r>
              <w:rPr/>
              <w:t> </w:t>
            </w:r>
          </w:p>
        </w:tc>
      </w:tr>
      <w:tr>
        <w:trPr/>
        <w:tc>
          <w:tcPr>
            <w:tcW w:w="5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tax assets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82" w:type="dxa"/>
            <w:tcBorders/>
            <w:shd w:fill="CCEEFF" w:val="clear"/>
            <w:vAlign w:val="bottom"/>
          </w:tcPr>
          <w:p>
            <w:pPr>
              <w:pStyle w:val="TableContents"/>
              <w:spacing w:before="0" w:after="0"/>
              <w:ind w:left="0" w:right="0" w:hanging="0"/>
              <w:rPr/>
            </w:pPr>
            <w:r>
              <w:rPr/>
              <w:t> </w:t>
            </w:r>
          </w:p>
        </w:tc>
      </w:tr>
      <w:tr>
        <w:trPr/>
        <w:tc>
          <w:tcPr>
            <w:tcW w:w="5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Provision litigation</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26,430</w:t>
            </w:r>
          </w:p>
        </w:tc>
        <w:tc>
          <w:tcPr>
            <w:tcW w:w="82" w:type="dxa"/>
            <w:tcBorders/>
            <w:shd w:fill="auto" w:val="clear"/>
            <w:vAlign w:val="bottom"/>
          </w:tcPr>
          <w:p>
            <w:pPr>
              <w:pStyle w:val="TableContents"/>
              <w:spacing w:before="0" w:after="0"/>
              <w:ind w:left="0" w:right="0" w:hanging="0"/>
              <w:rPr/>
            </w:pPr>
            <w:r>
              <w:rPr/>
              <w:t> </w:t>
            </w:r>
          </w:p>
        </w:tc>
      </w:tr>
      <w:tr>
        <w:trPr/>
        <w:tc>
          <w:tcPr>
            <w:tcW w:w="5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Decommission provision</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27,766</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23,791</w:t>
            </w:r>
          </w:p>
        </w:tc>
        <w:tc>
          <w:tcPr>
            <w:tcW w:w="82" w:type="dxa"/>
            <w:tcBorders/>
            <w:shd w:fill="CCEEFF" w:val="clear"/>
            <w:vAlign w:val="bottom"/>
          </w:tcPr>
          <w:p>
            <w:pPr>
              <w:pStyle w:val="TableContents"/>
              <w:spacing w:before="0" w:after="0"/>
              <w:ind w:left="0" w:right="0" w:hanging="0"/>
              <w:rPr/>
            </w:pPr>
            <w:r>
              <w:rPr/>
              <w:t> </w:t>
            </w:r>
          </w:p>
        </w:tc>
      </w:tr>
      <w:tr>
        <w:trPr/>
        <w:tc>
          <w:tcPr>
            <w:tcW w:w="5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deferred tax assets</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3,544</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1,659</w:t>
            </w:r>
          </w:p>
        </w:tc>
        <w:tc>
          <w:tcPr>
            <w:tcW w:w="82" w:type="dxa"/>
            <w:tcBorders/>
            <w:shd w:fill="auto" w:val="clear"/>
            <w:vAlign w:val="bottom"/>
          </w:tcPr>
          <w:p>
            <w:pPr>
              <w:pStyle w:val="TableContents"/>
              <w:spacing w:before="0" w:after="0"/>
              <w:ind w:left="0" w:right="0" w:hanging="0"/>
              <w:rPr/>
            </w:pPr>
            <w:r>
              <w:rPr/>
              <w:t> </w:t>
            </w:r>
          </w:p>
        </w:tc>
      </w:tr>
      <w:tr>
        <w:trPr/>
        <w:tc>
          <w:tcPr>
            <w:tcW w:w="5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 tax assets</w:t>
            </w:r>
          </w:p>
        </w:tc>
        <w:tc>
          <w:tcPr>
            <w:tcW w:w="247"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31,310</w:t>
            </w:r>
          </w:p>
        </w:tc>
        <w:tc>
          <w:tcPr>
            <w:tcW w:w="247"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51,880</w:t>
            </w:r>
          </w:p>
        </w:tc>
        <w:tc>
          <w:tcPr>
            <w:tcW w:w="82" w:type="dxa"/>
            <w:tcBorders/>
            <w:shd w:fill="CCEEFF" w:val="clear"/>
            <w:vAlign w:val="bottom"/>
          </w:tcPr>
          <w:p>
            <w:pPr>
              <w:pStyle w:val="TableContents"/>
              <w:spacing w:before="0" w:after="0"/>
              <w:ind w:left="0" w:right="0" w:hanging="0"/>
              <w:rPr/>
            </w:pPr>
            <w:r>
              <w:rPr/>
              <w:t> </w:t>
            </w:r>
          </w:p>
        </w:tc>
      </w:tr>
      <w:tr>
        <w:trPr/>
        <w:tc>
          <w:tcPr>
            <w:tcW w:w="5114" w:type="dxa"/>
            <w:tcBorders/>
            <w:shd w:fill="auto" w:val="clear"/>
            <w:vAlign w:val="bottom"/>
          </w:tcPr>
          <w:p>
            <w:pPr>
              <w:pStyle w:val="TableContents"/>
              <w:spacing w:before="0" w:after="0"/>
              <w:ind w:left="0" w:right="0" w:hanging="0"/>
              <w:rPr/>
            </w:pPr>
            <w:r>
              <w:rPr/>
              <w:t> </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pPr>
            <w:r>
              <w:rPr/>
              <w:t> </w:t>
            </w:r>
          </w:p>
        </w:tc>
        <w:tc>
          <w:tcPr>
            <w:tcW w:w="82" w:type="dxa"/>
            <w:tcBorders/>
            <w:shd w:fill="auto" w:val="clear"/>
            <w:vAlign w:val="bottom"/>
          </w:tcPr>
          <w:p>
            <w:pPr>
              <w:pStyle w:val="TableContents"/>
              <w:spacing w:before="0" w:after="0"/>
              <w:ind w:left="0" w:right="0" w:hanging="0"/>
              <w:rPr/>
            </w:pPr>
            <w:r>
              <w:rPr/>
              <w:t> </w:t>
            </w:r>
          </w:p>
        </w:tc>
      </w:tr>
      <w:tr>
        <w:trPr/>
        <w:tc>
          <w:tcPr>
            <w:tcW w:w="5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Deferred tax liabilities</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82" w:type="dxa"/>
            <w:tcBorders/>
            <w:shd w:fill="CCEEFF" w:val="clear"/>
            <w:vAlign w:val="bottom"/>
          </w:tcPr>
          <w:p>
            <w:pPr>
              <w:pStyle w:val="TableContents"/>
              <w:spacing w:before="0" w:after="0"/>
              <w:ind w:left="0" w:right="0" w:hanging="0"/>
              <w:rPr/>
            </w:pPr>
            <w:r>
              <w:rPr/>
              <w:t> </w:t>
            </w:r>
          </w:p>
        </w:tc>
      </w:tr>
      <w:tr>
        <w:trPr/>
        <w:tc>
          <w:tcPr>
            <w:tcW w:w="5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Property, plant and equipment</w:t>
            </w:r>
          </w:p>
        </w:tc>
        <w:tc>
          <w:tcPr>
            <w:tcW w:w="247" w:type="dxa"/>
            <w:tcBorders/>
            <w:shd w:fill="auto" w:val="clear"/>
            <w:vAlign w:val="bottom"/>
          </w:tcPr>
          <w:p>
            <w:pPr>
              <w:pStyle w:val="TableContents"/>
              <w:spacing w:before="0" w:after="0"/>
              <w:ind w:left="0" w:right="0" w:hanging="0"/>
              <w:rPr/>
            </w:pPr>
            <w:r>
              <w:rPr/>
              <w:t> </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(114,405</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(116,963</w:t>
            </w:r>
          </w:p>
        </w:tc>
        <w:tc>
          <w:tcPr>
            <w:tcW w:w="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Other deferred tax liability</w:t>
            </w:r>
          </w:p>
        </w:tc>
        <w:tc>
          <w:tcPr>
            <w:tcW w:w="247" w:type="dxa"/>
            <w:tcBorders/>
            <w:shd w:fill="CCEEFF" w:val="clear"/>
            <w:vAlign w:val="bottom"/>
          </w:tcPr>
          <w:p>
            <w:pPr>
              <w:pStyle w:val="TableContents"/>
              <w:spacing w:before="0" w:after="0"/>
              <w:ind w:left="0" w:right="0" w:hanging="0"/>
              <w:rPr/>
            </w:pPr>
            <w:r>
              <w:rPr/>
              <w:t> </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(501</w:t>
            </w:r>
          </w:p>
        </w:tc>
        <w:tc>
          <w:tcPr>
            <w:tcW w:w="247"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w:t>
            </w:r>
          </w:p>
        </w:tc>
        <w:tc>
          <w:tcPr>
            <w:tcW w:w="82"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Total tax liabilities</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(114,906</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(117,320</w:t>
            </w:r>
          </w:p>
        </w:tc>
        <w:tc>
          <w:tcPr>
            <w:tcW w:w="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114" w:type="dxa"/>
            <w:tcBorders/>
            <w:shd w:fill="CCEEFF" w:val="clear"/>
            <w:vAlign w:val="bottom"/>
          </w:tcPr>
          <w:p>
            <w:pPr>
              <w:pStyle w:val="TableContents"/>
              <w:spacing w:before="0" w:after="0"/>
              <w:ind w:left="0" w:right="0" w:hanging="0"/>
              <w:rPr/>
            </w:pPr>
            <w:r>
              <w:rPr/>
              <w:t> </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247" w:type="dxa"/>
            <w:tcBorders/>
            <w:shd w:fill="CCEEFF" w:val="clear"/>
            <w:vAlign w:val="bottom"/>
          </w:tcPr>
          <w:p>
            <w:pPr>
              <w:pStyle w:val="TableContents"/>
              <w:spacing w:before="0" w:after="0"/>
              <w:ind w:left="0" w:right="0" w:hanging="0"/>
              <w:rPr/>
            </w:pPr>
            <w:r>
              <w:rPr/>
              <w:t> </w:t>
            </w:r>
          </w:p>
        </w:tc>
        <w:tc>
          <w:tcPr>
            <w:tcW w:w="1237" w:type="dxa"/>
            <w:tcBorders/>
            <w:shd w:fill="CCEEFF" w:val="clear"/>
            <w:vAlign w:val="bottom"/>
          </w:tcPr>
          <w:p>
            <w:pPr>
              <w:pStyle w:val="TableContents"/>
              <w:spacing w:before="0" w:after="0"/>
              <w:ind w:left="0" w:right="0" w:hanging="0"/>
              <w:jc w:val="right"/>
              <w:rPr/>
            </w:pPr>
            <w:r>
              <w:rPr/>
              <w:t> </w:t>
            </w:r>
          </w:p>
        </w:tc>
        <w:tc>
          <w:tcPr>
            <w:tcW w:w="82" w:type="dxa"/>
            <w:tcBorders/>
            <w:shd w:fill="CCEEFF" w:val="clear"/>
            <w:vAlign w:val="bottom"/>
          </w:tcPr>
          <w:p>
            <w:pPr>
              <w:pStyle w:val="TableContents"/>
              <w:spacing w:before="0" w:after="0"/>
              <w:ind w:left="0" w:right="0" w:hanging="0"/>
              <w:rPr/>
            </w:pPr>
            <w:r>
              <w:rPr/>
              <w:t> </w:t>
            </w:r>
          </w:p>
        </w:tc>
      </w:tr>
      <w:tr>
        <w:trPr/>
        <w:tc>
          <w:tcPr>
            <w:tcW w:w="51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Net deferred tax liabilities</w:t>
            </w:r>
          </w:p>
        </w:tc>
        <w:tc>
          <w:tcPr>
            <w:tcW w:w="247" w:type="dxa"/>
            <w:tcBorders/>
            <w:shd w:fill="auto" w:val="clear"/>
            <w:vAlign w:val="bottom"/>
          </w:tcPr>
          <w:p>
            <w:pPr>
              <w:pStyle w:val="TableContents"/>
              <w:spacing w:before="0" w:after="0"/>
              <w:ind w:left="0" w:right="0" w:hanging="0"/>
              <w:rPr/>
            </w:pPr>
            <w:r>
              <w:rPr/>
              <w:t> </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(83,596</w:t>
            </w:r>
          </w:p>
        </w:tc>
        <w:tc>
          <w:tcPr>
            <w:tcW w:w="247"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37" w:type="dxa"/>
            <w:tcBorders>
              <w:bottom w:val="double" w:sz="6"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(65,440</w:t>
            </w:r>
          </w:p>
        </w:tc>
        <w:tc>
          <w:tcPr>
            <w:tcW w:w="82"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(e)</w:t>
      </w:r>
      <w:r>
        <w:rPr>
          <w:rFonts w:ascii="Times New Roman" w:hAnsi="Times New Roman"/>
        </w:rPr>
        <w:t xml:space="preserve">                       </w:t>
      </w:r>
      <w:r>
        <w:rPr>
          <w:rFonts w:ascii="Times New Roman" w:hAnsi="Times New Roman"/>
          <w:b/>
          <w:i/>
          <w:sz w:val="17"/>
        </w:rPr>
        <w:t>Uncertain Tax Positions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is subject to income tax examinations by tax authorities.  Upon audit, taxing authorities may challenge all or part of an income tax position.  Argyle regularly assesses the outcome of potential examinations in each of the tax jurisdictions when determining the adequacy of the amount of unrecognized tax benefit recorded.  While it is often difficult to predict the final outcome or the timing of resolution of any particular tax position, Argyle has determined it has no uncertain tax positions through December 31, 2011.  However, audit outcomes and the timing of audit settlements and future events that would impact Argyles unrecognized tax benefits are subject to significant uncertainty.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48" w:name="PB_18_155741_2897"/>
      <w:bookmarkEnd w:id="48"/>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(10)</w:t>
      </w:r>
      <w:r>
        <w:rPr>
          <w:rFonts w:ascii="Times New Roman" w:hAnsi="Times New Roman"/>
        </w:rPr>
        <w:t xml:space="preserve">              </w:t>
      </w:r>
      <w:r>
        <w:rPr>
          <w:rFonts w:ascii="Times New Roman" w:hAnsi="Times New Roman"/>
          <w:b/>
          <w:sz w:val="17"/>
        </w:rPr>
        <w:t>Property, Plant, and Equipment</w:t>
      </w:r>
    </w:p>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1707"/>
        <w:gridCol w:w="189"/>
        <w:gridCol w:w="758"/>
        <w:gridCol w:w="189"/>
        <w:gridCol w:w="1329"/>
        <w:gridCol w:w="189"/>
        <w:gridCol w:w="1139"/>
        <w:gridCol w:w="189"/>
        <w:gridCol w:w="1139"/>
        <w:gridCol w:w="189"/>
        <w:gridCol w:w="949"/>
        <w:gridCol w:w="189"/>
        <w:gridCol w:w="759"/>
        <w:gridCol w:w="576"/>
      </w:tblGrid>
      <w:tr>
        <w:trPr/>
        <w:tc>
          <w:tcPr>
            <w:tcW w:w="170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018" w:type="dxa"/>
            <w:gridSpan w:val="11"/>
            <w:tcBorders/>
            <w:shd w:fill="auto" w:val="cle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576" w:type="dxa"/>
            <w:tcBorders/>
            <w:shd w:fill="auto" w:val="clear"/>
            <w:vAlign w:val="bottom"/>
          </w:tcPr>
          <w:p>
            <w:pPr>
              <w:pStyle w:val="TableContents"/>
              <w:spacing w:before="0" w:after="0"/>
              <w:ind w:left="0" w:right="0" w:hanging="0"/>
              <w:jc w:val="center"/>
              <w:rPr/>
            </w:pPr>
            <w:r>
              <w:rPr/>
              <w:t> </w:t>
            </w:r>
          </w:p>
        </w:tc>
      </w:tr>
      <w:tr>
        <w:trPr/>
        <w:tc>
          <w:tcPr>
            <w:tcW w:w="170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5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32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Fixtures and Office</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Plant, Machinery</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3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Decommissioning</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4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5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576" w:type="dxa"/>
            <w:tcBorders/>
            <w:shd w:fill="auto" w:val="clear"/>
            <w:vAlign w:val="bottom"/>
          </w:tcPr>
          <w:p>
            <w:pPr>
              <w:pStyle w:val="TableContents"/>
              <w:spacing w:before="0" w:after="0"/>
              <w:ind w:left="0" w:right="0" w:hanging="0"/>
              <w:jc w:val="center"/>
              <w:rPr/>
            </w:pPr>
            <w:r>
              <w:rPr/>
              <w:t> </w:t>
            </w:r>
          </w:p>
        </w:tc>
      </w:tr>
      <w:tr>
        <w:trPr/>
        <w:tc>
          <w:tcPr>
            <w:tcW w:w="170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jc w:val="center"/>
              <w:rPr/>
            </w:pPr>
            <w:r>
              <w:rPr/>
              <w:t> </w:t>
            </w:r>
          </w:p>
        </w:tc>
        <w:tc>
          <w:tcPr>
            <w:tcW w:w="75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Land</w:t>
            </w:r>
          </w:p>
        </w:tc>
        <w:tc>
          <w:tcPr>
            <w:tcW w:w="189" w:type="dxa"/>
            <w:tcBorders/>
            <w:shd w:fill="auto" w:val="clear"/>
            <w:vAlign w:val="bottom"/>
          </w:tcPr>
          <w:p>
            <w:pPr>
              <w:pStyle w:val="TableContents"/>
              <w:spacing w:before="0" w:after="0"/>
              <w:ind w:left="0" w:right="0" w:hanging="0"/>
              <w:jc w:val="center"/>
              <w:rPr/>
            </w:pPr>
            <w:r>
              <w:rPr/>
              <w:t> </w:t>
            </w:r>
          </w:p>
        </w:tc>
        <w:tc>
          <w:tcPr>
            <w:tcW w:w="13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Equipment</w:t>
            </w:r>
          </w:p>
        </w:tc>
        <w:tc>
          <w:tcPr>
            <w:tcW w:w="189" w:type="dxa"/>
            <w:tcBorders/>
            <w:shd w:fill="auto" w:val="clear"/>
            <w:vAlign w:val="bottom"/>
          </w:tcPr>
          <w:p>
            <w:pPr>
              <w:pStyle w:val="TableContents"/>
              <w:spacing w:before="0" w:after="0"/>
              <w:ind w:left="0" w:right="0" w:hanging="0"/>
              <w:jc w:val="center"/>
              <w:rPr/>
            </w:pPr>
            <w:r>
              <w:rPr/>
              <w:t> </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and Equipment</w:t>
            </w:r>
          </w:p>
        </w:tc>
        <w:tc>
          <w:tcPr>
            <w:tcW w:w="189" w:type="dxa"/>
            <w:tcBorders/>
            <w:shd w:fill="auto" w:val="clear"/>
            <w:vAlign w:val="bottom"/>
          </w:tcPr>
          <w:p>
            <w:pPr>
              <w:pStyle w:val="TableContents"/>
              <w:spacing w:before="0" w:after="0"/>
              <w:ind w:left="0" w:right="0" w:hanging="0"/>
              <w:jc w:val="center"/>
              <w:rPr/>
            </w:pPr>
            <w:r>
              <w:rPr/>
              <w:t> </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w:t>
            </w:r>
          </w:p>
        </w:tc>
        <w:tc>
          <w:tcPr>
            <w:tcW w:w="189" w:type="dxa"/>
            <w:tcBorders/>
            <w:shd w:fill="auto" w:val="clear"/>
            <w:vAlign w:val="bottom"/>
          </w:tcPr>
          <w:p>
            <w:pPr>
              <w:pStyle w:val="TableContents"/>
              <w:spacing w:before="0" w:after="0"/>
              <w:ind w:left="0" w:right="0" w:hanging="0"/>
              <w:jc w:val="center"/>
              <w:rPr/>
            </w:pPr>
            <w:r>
              <w:rPr/>
              <w:t> </w:t>
            </w:r>
          </w:p>
        </w:tc>
        <w:tc>
          <w:tcPr>
            <w:tcW w:w="94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189" w:type="dxa"/>
            <w:tcBorders/>
            <w:shd w:fill="auto" w:val="clear"/>
            <w:vAlign w:val="bottom"/>
          </w:tcPr>
          <w:p>
            <w:pPr>
              <w:pStyle w:val="TableContents"/>
              <w:spacing w:before="0" w:after="0"/>
              <w:ind w:left="0" w:right="0" w:hanging="0"/>
              <w:jc w:val="center"/>
              <w:rPr/>
            </w:pPr>
            <w:r>
              <w:rPr/>
              <w:t> </w:t>
            </w:r>
          </w:p>
        </w:tc>
        <w:tc>
          <w:tcPr>
            <w:tcW w:w="75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576" w:type="dxa"/>
            <w:tcBorders/>
            <w:shd w:fill="auto" w:val="clear"/>
            <w:vAlign w:val="bottom"/>
          </w:tcPr>
          <w:p>
            <w:pPr>
              <w:pStyle w:val="TableContents"/>
              <w:spacing w:before="0" w:after="0"/>
              <w:ind w:left="0" w:right="0" w:hanging="0"/>
              <w:jc w:val="center"/>
              <w:rPr/>
            </w:pPr>
            <w:r>
              <w:rPr/>
              <w:t> </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Cost</w:t>
            </w:r>
          </w:p>
        </w:tc>
        <w:tc>
          <w:tcPr>
            <w:tcW w:w="189"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32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4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59" w:type="dxa"/>
            <w:tcBorders/>
            <w:shd w:fill="CCEEFF" w:val="clear"/>
            <w:vAlign w:val="bottom"/>
          </w:tcPr>
          <w:p>
            <w:pPr>
              <w:pStyle w:val="TableContents"/>
              <w:spacing w:before="0" w:after="0"/>
              <w:ind w:left="0" w:right="0" w:hanging="0"/>
              <w:jc w:val="right"/>
              <w:rPr/>
            </w:pPr>
            <w:r>
              <w:rPr/>
              <w:t> </w:t>
            </w:r>
          </w:p>
        </w:tc>
        <w:tc>
          <w:tcPr>
            <w:tcW w:w="576" w:type="dxa"/>
            <w:tcBorders/>
            <w:shd w:fill="CCEEFF" w:val="clear"/>
            <w:vAlign w:val="bottom"/>
          </w:tcPr>
          <w:p>
            <w:pPr>
              <w:pStyle w:val="TableContents"/>
              <w:spacing w:before="0" w:after="0"/>
              <w:ind w:left="0" w:right="0" w:hanging="0"/>
              <w:rPr/>
            </w:pPr>
            <w:r>
              <w:rPr/>
              <w:t> </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1 January 2011</w:t>
            </w:r>
          </w:p>
        </w:tc>
        <w:tc>
          <w:tcPr>
            <w:tcW w:w="189"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189" w:type="dxa"/>
            <w:tcBorders/>
            <w:shd w:fill="auto" w:val="clear"/>
            <w:vAlign w:val="bottom"/>
          </w:tcPr>
          <w:p>
            <w:pPr>
              <w:pStyle w:val="TableContents"/>
              <w:spacing w:before="0" w:after="0"/>
              <w:ind w:left="0" w:right="0" w:hanging="0"/>
              <w:rPr/>
            </w:pPr>
            <w:r>
              <w:rPr/>
              <w:t> </w:t>
            </w:r>
          </w:p>
        </w:tc>
        <w:tc>
          <w:tcPr>
            <w:tcW w:w="1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2,168</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957,404</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82,073</w:t>
            </w:r>
          </w:p>
        </w:tc>
        <w:tc>
          <w:tcPr>
            <w:tcW w:w="189" w:type="dxa"/>
            <w:tcBorders/>
            <w:shd w:fill="auto" w:val="clear"/>
            <w:vAlign w:val="bottom"/>
          </w:tcPr>
          <w:p>
            <w:pPr>
              <w:pStyle w:val="TableContents"/>
              <w:spacing w:before="0" w:after="0"/>
              <w:ind w:left="0" w:right="0" w:hanging="0"/>
              <w:rPr/>
            </w:pPr>
            <w:r>
              <w:rPr/>
              <w:t> </w:t>
            </w:r>
          </w:p>
        </w:tc>
        <w:tc>
          <w:tcPr>
            <w:tcW w:w="9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8,469</w:t>
            </w:r>
          </w:p>
        </w:tc>
        <w:tc>
          <w:tcPr>
            <w:tcW w:w="189" w:type="dxa"/>
            <w:tcBorders/>
            <w:shd w:fill="auto" w:val="clear"/>
            <w:vAlign w:val="bottom"/>
          </w:tcPr>
          <w:p>
            <w:pPr>
              <w:pStyle w:val="TableContents"/>
              <w:spacing w:before="0" w:after="0"/>
              <w:ind w:left="0" w:right="0" w:hanging="0"/>
              <w:rPr/>
            </w:pPr>
            <w:r>
              <w:rPr/>
              <w:t> </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1,053,093</w:t>
            </w:r>
          </w:p>
        </w:tc>
        <w:tc>
          <w:tcPr>
            <w:tcW w:w="576" w:type="dxa"/>
            <w:tcBorders/>
            <w:shd w:fill="auto" w:val="clear"/>
            <w:vAlign w:val="bottom"/>
          </w:tcPr>
          <w:p>
            <w:pPr>
              <w:pStyle w:val="TableContents"/>
              <w:spacing w:before="0" w:after="0"/>
              <w:ind w:left="0" w:right="0" w:hanging="0"/>
              <w:rPr/>
            </w:pPr>
            <w:r>
              <w:rPr/>
              <w:t> </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Acquisitions</w:t>
            </w:r>
          </w:p>
        </w:tc>
        <w:tc>
          <w:tcPr>
            <w:tcW w:w="189"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8,443</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9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8,443</w:t>
            </w:r>
          </w:p>
        </w:tc>
        <w:tc>
          <w:tcPr>
            <w:tcW w:w="576" w:type="dxa"/>
            <w:tcBorders/>
            <w:shd w:fill="CCEEFF" w:val="clear"/>
            <w:vAlign w:val="bottom"/>
          </w:tcPr>
          <w:p>
            <w:pPr>
              <w:pStyle w:val="TableContents"/>
              <w:spacing w:before="0" w:after="0"/>
              <w:ind w:left="0" w:right="0" w:hanging="0"/>
              <w:rPr/>
            </w:pPr>
            <w:r>
              <w:rPr/>
              <w:t> </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Transfers</w:t>
            </w:r>
          </w:p>
        </w:tc>
        <w:tc>
          <w:tcPr>
            <w:tcW w:w="189"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(449</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364</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9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w:t>
            </w:r>
          </w:p>
        </w:tc>
        <w:tc>
          <w:tcPr>
            <w:tcW w:w="5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Deletions</w:t>
            </w:r>
          </w:p>
        </w:tc>
        <w:tc>
          <w:tcPr>
            <w:tcW w:w="189"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(6,130</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(927</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(7,151</w:t>
            </w:r>
          </w:p>
        </w:tc>
        <w:tc>
          <w:tcPr>
            <w:tcW w:w="5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9" w:type="dxa"/>
            <w:tcBorders/>
            <w:shd w:fill="auto" w:val="clear"/>
            <w:vAlign w:val="bottom"/>
          </w:tcPr>
          <w:p>
            <w:pPr>
              <w:pStyle w:val="TableContents"/>
              <w:spacing w:before="0" w:after="0"/>
              <w:ind w:left="0" w:right="0" w:hanging="0"/>
              <w:rPr/>
            </w:pPr>
            <w:r>
              <w:rPr/>
              <w:t> </w:t>
            </w:r>
          </w:p>
        </w:tc>
        <w:tc>
          <w:tcPr>
            <w:tcW w:w="7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9" w:type="dxa"/>
            <w:tcBorders/>
            <w:shd w:fill="auto" w:val="clear"/>
            <w:vAlign w:val="bottom"/>
          </w:tcPr>
          <w:p>
            <w:pPr>
              <w:pStyle w:val="TableContents"/>
              <w:spacing w:before="0" w:after="0"/>
              <w:ind w:left="0" w:right="0" w:hanging="0"/>
              <w:rPr/>
            </w:pPr>
            <w:r>
              <w:rPr/>
              <w:t> </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19,018</w:t>
            </w:r>
          </w:p>
        </w:tc>
        <w:tc>
          <w:tcPr>
            <w:tcW w:w="189" w:type="dxa"/>
            <w:tcBorders/>
            <w:shd w:fill="auto" w:val="clear"/>
            <w:vAlign w:val="bottom"/>
          </w:tcPr>
          <w:p>
            <w:pPr>
              <w:pStyle w:val="TableContents"/>
              <w:spacing w:before="0" w:after="0"/>
              <w:ind w:left="0" w:right="0" w:hanging="0"/>
              <w:rPr/>
            </w:pPr>
            <w:r>
              <w:rPr/>
              <w:t> </w:t>
            </w:r>
          </w:p>
        </w:tc>
        <w:tc>
          <w:tcPr>
            <w:tcW w:w="9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75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19,018</w:t>
            </w:r>
          </w:p>
        </w:tc>
        <w:tc>
          <w:tcPr>
            <w:tcW w:w="576" w:type="dxa"/>
            <w:tcBorders/>
            <w:shd w:fill="auto" w:val="clear"/>
            <w:vAlign w:val="bottom"/>
          </w:tcPr>
          <w:p>
            <w:pPr>
              <w:pStyle w:val="TableContents"/>
              <w:spacing w:before="0" w:after="0"/>
              <w:ind w:left="0" w:right="0" w:hanging="0"/>
              <w:rPr/>
            </w:pPr>
            <w:r>
              <w:rPr/>
              <w:t> </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2011</w:t>
            </w:r>
          </w:p>
        </w:tc>
        <w:tc>
          <w:tcPr>
            <w:tcW w:w="189" w:type="dxa"/>
            <w:tcBorders/>
            <w:shd w:fill="CCEEFF" w:val="clear"/>
            <w:vAlign w:val="bottom"/>
          </w:tcPr>
          <w:p>
            <w:pPr>
              <w:pStyle w:val="TableContents"/>
              <w:spacing w:before="0" w:after="0"/>
              <w:ind w:left="0" w:right="0" w:hanging="0"/>
              <w:rPr/>
            </w:pPr>
            <w:r>
              <w:rPr/>
              <w:t> </w:t>
            </w:r>
          </w:p>
        </w:tc>
        <w:tc>
          <w:tcPr>
            <w:tcW w:w="7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189" w:type="dxa"/>
            <w:tcBorders/>
            <w:shd w:fill="CCEEFF" w:val="clear"/>
            <w:vAlign w:val="bottom"/>
          </w:tcPr>
          <w:p>
            <w:pPr>
              <w:pStyle w:val="TableContents"/>
              <w:spacing w:before="0" w:after="0"/>
              <w:ind w:left="0" w:right="0" w:hanging="0"/>
              <w:rPr/>
            </w:pPr>
            <w:r>
              <w:rPr/>
              <w:t> </w:t>
            </w:r>
          </w:p>
        </w:tc>
        <w:tc>
          <w:tcPr>
            <w:tcW w:w="13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1,743</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960,058</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100,163</w:t>
            </w:r>
          </w:p>
        </w:tc>
        <w:tc>
          <w:tcPr>
            <w:tcW w:w="189" w:type="dxa"/>
            <w:tcBorders/>
            <w:shd w:fill="CCEEFF" w:val="clear"/>
            <w:vAlign w:val="bottom"/>
          </w:tcPr>
          <w:p>
            <w:pPr>
              <w:pStyle w:val="TableContents"/>
              <w:spacing w:before="0" w:after="0"/>
              <w:ind w:left="0" w:right="0" w:hanging="0"/>
              <w:rPr/>
            </w:pPr>
            <w:r>
              <w:rPr/>
              <w:t> </w:t>
            </w:r>
          </w:p>
        </w:tc>
        <w:tc>
          <w:tcPr>
            <w:tcW w:w="9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8,375</w:t>
            </w:r>
          </w:p>
        </w:tc>
        <w:tc>
          <w:tcPr>
            <w:tcW w:w="189" w:type="dxa"/>
            <w:tcBorders/>
            <w:shd w:fill="CCEEFF" w:val="clear"/>
            <w:vAlign w:val="bottom"/>
          </w:tcPr>
          <w:p>
            <w:pPr>
              <w:pStyle w:val="TableContents"/>
              <w:spacing w:before="0" w:after="0"/>
              <w:ind w:left="0" w:right="0" w:hanging="0"/>
              <w:rPr/>
            </w:pPr>
            <w:r>
              <w:rPr/>
              <w:t> </w:t>
            </w:r>
          </w:p>
        </w:tc>
        <w:tc>
          <w:tcPr>
            <w:tcW w:w="7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1,073,318</w:t>
            </w:r>
          </w:p>
        </w:tc>
        <w:tc>
          <w:tcPr>
            <w:tcW w:w="576" w:type="dxa"/>
            <w:tcBorders/>
            <w:shd w:fill="CCEEFF" w:val="clear"/>
            <w:vAlign w:val="bottom"/>
          </w:tcPr>
          <w:p>
            <w:pPr>
              <w:pStyle w:val="TableContents"/>
              <w:spacing w:before="0" w:after="0"/>
              <w:ind w:left="0" w:right="0" w:hanging="0"/>
              <w:rPr/>
            </w:pPr>
            <w:r>
              <w:rPr/>
              <w:t> </w:t>
            </w:r>
          </w:p>
        </w:tc>
      </w:tr>
      <w:tr>
        <w:trPr/>
        <w:tc>
          <w:tcPr>
            <w:tcW w:w="1707" w:type="dxa"/>
            <w:tcBorders/>
            <w:shd w:fill="auto" w:val="clear"/>
            <w:vAlign w:val="bottom"/>
          </w:tcPr>
          <w:p>
            <w:pPr>
              <w:pStyle w:val="TableContents"/>
              <w:spacing w:before="0" w:after="0"/>
              <w:ind w:left="0" w:right="0" w:hanging="0"/>
              <w:rPr/>
            </w:pPr>
            <w:r>
              <w:rPr/>
              <w:t> </w:t>
            </w:r>
          </w:p>
        </w:tc>
        <w:tc>
          <w:tcPr>
            <w:tcW w:w="189"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32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94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759" w:type="dxa"/>
            <w:tcBorders/>
            <w:shd w:fill="auto" w:val="clear"/>
            <w:vAlign w:val="bottom"/>
          </w:tcPr>
          <w:p>
            <w:pPr>
              <w:pStyle w:val="TableContents"/>
              <w:spacing w:before="0" w:after="0"/>
              <w:ind w:left="0" w:right="0" w:hanging="0"/>
              <w:jc w:val="right"/>
              <w:rPr/>
            </w:pPr>
            <w:r>
              <w:rPr/>
              <w:t> </w:t>
            </w:r>
          </w:p>
        </w:tc>
        <w:tc>
          <w:tcPr>
            <w:tcW w:w="576" w:type="dxa"/>
            <w:tcBorders/>
            <w:shd w:fill="auto" w:val="clear"/>
            <w:vAlign w:val="bottom"/>
          </w:tcPr>
          <w:p>
            <w:pPr>
              <w:pStyle w:val="TableContents"/>
              <w:spacing w:before="0" w:after="0"/>
              <w:ind w:left="0" w:right="0" w:hanging="0"/>
              <w:rPr/>
            </w:pPr>
            <w:r>
              <w:rPr/>
              <w:t> </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w:t>
            </w:r>
          </w:p>
        </w:tc>
        <w:tc>
          <w:tcPr>
            <w:tcW w:w="189"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32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113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949" w:type="dxa"/>
            <w:tcBorders/>
            <w:shd w:fill="CCEEFF" w:val="clear"/>
            <w:vAlign w:val="bottom"/>
          </w:tcPr>
          <w:p>
            <w:pPr>
              <w:pStyle w:val="TableContents"/>
              <w:spacing w:before="0" w:after="0"/>
              <w:ind w:left="0" w:right="0" w:hanging="0"/>
              <w:jc w:val="right"/>
              <w:rPr/>
            </w:pPr>
            <w:r>
              <w:rPr/>
              <w:t> </w:t>
            </w:r>
          </w:p>
        </w:tc>
        <w:tc>
          <w:tcPr>
            <w:tcW w:w="189" w:type="dxa"/>
            <w:tcBorders/>
            <w:shd w:fill="CCEEFF" w:val="clear"/>
            <w:vAlign w:val="bottom"/>
          </w:tcPr>
          <w:p>
            <w:pPr>
              <w:pStyle w:val="TableContents"/>
              <w:spacing w:before="0" w:after="0"/>
              <w:ind w:left="0" w:right="0" w:hanging="0"/>
              <w:rPr/>
            </w:pPr>
            <w:r>
              <w:rPr/>
              <w:t> </w:t>
            </w:r>
          </w:p>
        </w:tc>
        <w:tc>
          <w:tcPr>
            <w:tcW w:w="759" w:type="dxa"/>
            <w:tcBorders/>
            <w:shd w:fill="CCEEFF" w:val="clear"/>
            <w:vAlign w:val="bottom"/>
          </w:tcPr>
          <w:p>
            <w:pPr>
              <w:pStyle w:val="TableContents"/>
              <w:spacing w:before="0" w:after="0"/>
              <w:ind w:left="0" w:right="0" w:hanging="0"/>
              <w:jc w:val="right"/>
              <w:rPr/>
            </w:pPr>
            <w:r>
              <w:rPr/>
              <w:t> </w:t>
            </w:r>
          </w:p>
        </w:tc>
        <w:tc>
          <w:tcPr>
            <w:tcW w:w="576" w:type="dxa"/>
            <w:tcBorders/>
            <w:shd w:fill="CCEEFF" w:val="clear"/>
            <w:vAlign w:val="bottom"/>
          </w:tcPr>
          <w:p>
            <w:pPr>
              <w:pStyle w:val="TableContents"/>
              <w:spacing w:before="0" w:after="0"/>
              <w:ind w:left="0" w:right="0" w:hanging="0"/>
              <w:rPr/>
            </w:pPr>
            <w:r>
              <w:rPr/>
              <w:t> </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1 January 2011</w:t>
            </w:r>
          </w:p>
        </w:tc>
        <w:tc>
          <w:tcPr>
            <w:tcW w:w="189"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(1,259</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(464,691</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(15,424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(4,651</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(486,025</w:t>
            </w:r>
          </w:p>
        </w:tc>
        <w:tc>
          <w:tcPr>
            <w:tcW w:w="5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Charge for the year</w:t>
            </w:r>
          </w:p>
        </w:tc>
        <w:tc>
          <w:tcPr>
            <w:tcW w:w="189" w:type="dxa"/>
            <w:tcBorders/>
            <w:shd w:fill="CCEEFF" w:val="clear"/>
            <w:vAlign w:val="bottom"/>
          </w:tcPr>
          <w:p>
            <w:pPr>
              <w:pStyle w:val="TableContents"/>
              <w:spacing w:before="0" w:after="0"/>
              <w:ind w:left="0" w:right="0" w:hanging="0"/>
              <w:rPr/>
            </w:pPr>
            <w:r>
              <w:rPr/>
              <w:t> </w:t>
            </w:r>
          </w:p>
        </w:tc>
        <w:tc>
          <w:tcPr>
            <w:tcW w:w="75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3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(393</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(25,760</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(4,301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(241</w:t>
            </w:r>
          </w:p>
        </w:tc>
        <w:tc>
          <w:tcPr>
            <w:tcW w:w="18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(30,695</w:t>
            </w:r>
          </w:p>
        </w:tc>
        <w:tc>
          <w:tcPr>
            <w:tcW w:w="576"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Deletions</w:t>
            </w:r>
          </w:p>
        </w:tc>
        <w:tc>
          <w:tcPr>
            <w:tcW w:w="189" w:type="dxa"/>
            <w:tcBorders/>
            <w:shd w:fill="auto" w:val="clear"/>
            <w:vAlign w:val="bottom"/>
          </w:tcPr>
          <w:p>
            <w:pPr>
              <w:pStyle w:val="TableContents"/>
              <w:spacing w:before="0" w:after="0"/>
              <w:ind w:left="0" w:right="0" w:hanging="0"/>
              <w:rPr/>
            </w:pPr>
            <w:r>
              <w:rPr/>
              <w:t> </w:t>
            </w:r>
          </w:p>
        </w:tc>
        <w:tc>
          <w:tcPr>
            <w:tcW w:w="75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2,490</w:t>
            </w:r>
          </w:p>
        </w:tc>
        <w:tc>
          <w:tcPr>
            <w:tcW w:w="189" w:type="dxa"/>
            <w:tcBorders/>
            <w:shd w:fill="auto" w:val="clear"/>
            <w:vAlign w:val="bottom"/>
          </w:tcPr>
          <w:p>
            <w:pPr>
              <w:pStyle w:val="TableContents"/>
              <w:spacing w:before="0" w:after="0"/>
              <w:ind w:left="0" w:right="0" w:hanging="0"/>
              <w:rPr/>
            </w:pPr>
            <w:r>
              <w:rPr/>
              <w:t> </w:t>
            </w:r>
          </w:p>
        </w:tc>
        <w:tc>
          <w:tcPr>
            <w:tcW w:w="113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w:t>
            </w:r>
          </w:p>
        </w:tc>
        <w:tc>
          <w:tcPr>
            <w:tcW w:w="189" w:type="dxa"/>
            <w:tcBorders/>
            <w:shd w:fill="auto" w:val="clear"/>
            <w:vAlign w:val="bottom"/>
          </w:tcPr>
          <w:p>
            <w:pPr>
              <w:pStyle w:val="TableContents"/>
              <w:spacing w:before="0" w:after="0"/>
              <w:ind w:left="0" w:right="0" w:hanging="0"/>
              <w:rPr/>
            </w:pPr>
            <w:r>
              <w:rPr/>
              <w:t> </w:t>
            </w:r>
          </w:p>
        </w:tc>
        <w:tc>
          <w:tcPr>
            <w:tcW w:w="94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w:t>
            </w:r>
          </w:p>
        </w:tc>
        <w:tc>
          <w:tcPr>
            <w:tcW w:w="189" w:type="dxa"/>
            <w:tcBorders/>
            <w:shd w:fill="auto" w:val="clear"/>
            <w:vAlign w:val="bottom"/>
          </w:tcPr>
          <w:p>
            <w:pPr>
              <w:pStyle w:val="TableContents"/>
              <w:spacing w:before="0" w:after="0"/>
              <w:ind w:left="0" w:right="0" w:hanging="0"/>
              <w:rPr/>
            </w:pPr>
            <w:r>
              <w:rPr/>
              <w:t> </w:t>
            </w:r>
          </w:p>
        </w:tc>
        <w:tc>
          <w:tcPr>
            <w:tcW w:w="75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2,774</w:t>
            </w:r>
          </w:p>
        </w:tc>
        <w:tc>
          <w:tcPr>
            <w:tcW w:w="576" w:type="dxa"/>
            <w:tcBorders/>
            <w:shd w:fill="auto" w:val="clear"/>
            <w:vAlign w:val="bottom"/>
          </w:tcPr>
          <w:p>
            <w:pPr>
              <w:pStyle w:val="TableContents"/>
              <w:spacing w:before="0" w:after="0"/>
              <w:ind w:left="0" w:right="0" w:hanging="0"/>
              <w:rPr/>
            </w:pPr>
            <w:r>
              <w:rPr/>
              <w:t> </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Transfers</w:t>
            </w:r>
          </w:p>
        </w:tc>
        <w:tc>
          <w:tcPr>
            <w:tcW w:w="189" w:type="dxa"/>
            <w:tcBorders/>
            <w:shd w:fill="CCEEFF" w:val="clear"/>
            <w:vAlign w:val="bottom"/>
          </w:tcPr>
          <w:p>
            <w:pPr>
              <w:pStyle w:val="TableContents"/>
              <w:spacing w:before="0" w:after="0"/>
              <w:ind w:left="0" w:right="0" w:hanging="0"/>
              <w:rPr/>
            </w:pPr>
            <w:r>
              <w:rPr/>
              <w:t> </w:t>
            </w:r>
          </w:p>
        </w:tc>
        <w:tc>
          <w:tcPr>
            <w:tcW w:w="75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3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399</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94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75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403</w:t>
            </w:r>
          </w:p>
        </w:tc>
        <w:tc>
          <w:tcPr>
            <w:tcW w:w="576" w:type="dxa"/>
            <w:tcBorders/>
            <w:shd w:fill="CCEEFF" w:val="clear"/>
            <w:vAlign w:val="bottom"/>
          </w:tcPr>
          <w:p>
            <w:pPr>
              <w:pStyle w:val="TableContents"/>
              <w:spacing w:before="0" w:after="0"/>
              <w:ind w:left="0" w:right="0" w:hanging="0"/>
              <w:rPr/>
            </w:pPr>
            <w:r>
              <w:rPr/>
              <w:t> </w:t>
            </w:r>
          </w:p>
        </w:tc>
      </w:tr>
      <w:tr>
        <w:trPr/>
        <w:tc>
          <w:tcPr>
            <w:tcW w:w="1707"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2011</w:t>
            </w:r>
          </w:p>
        </w:tc>
        <w:tc>
          <w:tcPr>
            <w:tcW w:w="189" w:type="dxa"/>
            <w:tcBorders/>
            <w:shd w:fill="auto" w:val="clear"/>
            <w:vAlign w:val="bottom"/>
          </w:tcPr>
          <w:p>
            <w:pPr>
              <w:pStyle w:val="TableContents"/>
              <w:spacing w:before="0" w:after="0"/>
              <w:ind w:left="0" w:right="0" w:hanging="0"/>
              <w:rPr/>
            </w:pPr>
            <w:r>
              <w:rPr/>
              <w:t> </w:t>
            </w:r>
          </w:p>
        </w:tc>
        <w:tc>
          <w:tcPr>
            <w:tcW w:w="75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auto" w:val="clear"/>
            <w:vAlign w:val="bottom"/>
          </w:tcPr>
          <w:p>
            <w:pPr>
              <w:pStyle w:val="TableContents"/>
              <w:spacing w:before="0" w:after="0"/>
              <w:ind w:left="0" w:right="0" w:hanging="0"/>
              <w:rPr/>
            </w:pPr>
            <w:r>
              <w:rPr/>
              <w:t> </w:t>
            </w:r>
          </w:p>
        </w:tc>
        <w:tc>
          <w:tcPr>
            <w:tcW w:w="13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(1,253</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(487,957</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3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(19,535</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4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(4,798</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5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(513,543</w:t>
            </w:r>
          </w:p>
        </w:tc>
        <w:tc>
          <w:tcPr>
            <w:tcW w:w="576"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07"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book amount at 31 December 2011</w:t>
            </w:r>
          </w:p>
        </w:tc>
        <w:tc>
          <w:tcPr>
            <w:tcW w:w="189" w:type="dxa"/>
            <w:tcBorders/>
            <w:shd w:fill="CCEEFF" w:val="clear"/>
            <w:vAlign w:val="bottom"/>
          </w:tcPr>
          <w:p>
            <w:pPr>
              <w:pStyle w:val="TableContents"/>
              <w:spacing w:before="0" w:after="0"/>
              <w:ind w:left="0" w:right="0" w:hanging="0"/>
              <w:rPr/>
            </w:pPr>
            <w:r>
              <w:rPr/>
              <w:t> </w:t>
            </w:r>
          </w:p>
        </w:tc>
        <w:tc>
          <w:tcPr>
            <w:tcW w:w="758"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189" w:type="dxa"/>
            <w:tcBorders/>
            <w:shd w:fill="CCEEFF" w:val="clear"/>
            <w:vAlign w:val="bottom"/>
          </w:tcPr>
          <w:p>
            <w:pPr>
              <w:pStyle w:val="TableContents"/>
              <w:spacing w:before="0" w:after="0"/>
              <w:ind w:left="0" w:right="0" w:hanging="0"/>
              <w:rPr/>
            </w:pPr>
            <w:r>
              <w:rPr/>
              <w:t> </w:t>
            </w:r>
          </w:p>
        </w:tc>
        <w:tc>
          <w:tcPr>
            <w:tcW w:w="13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489</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472,101</w:t>
            </w:r>
          </w:p>
        </w:tc>
        <w:tc>
          <w:tcPr>
            <w:tcW w:w="189" w:type="dxa"/>
            <w:tcBorders/>
            <w:shd w:fill="CCEEFF" w:val="clear"/>
            <w:vAlign w:val="bottom"/>
          </w:tcPr>
          <w:p>
            <w:pPr>
              <w:pStyle w:val="TableContents"/>
              <w:spacing w:before="0" w:after="0"/>
              <w:ind w:left="0" w:right="0" w:hanging="0"/>
              <w:rPr/>
            </w:pPr>
            <w:r>
              <w:rPr/>
              <w:t> </w:t>
            </w:r>
          </w:p>
        </w:tc>
        <w:tc>
          <w:tcPr>
            <w:tcW w:w="113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80,628</w:t>
            </w:r>
          </w:p>
        </w:tc>
        <w:tc>
          <w:tcPr>
            <w:tcW w:w="189" w:type="dxa"/>
            <w:tcBorders/>
            <w:shd w:fill="CCEEFF" w:val="clear"/>
            <w:vAlign w:val="bottom"/>
          </w:tcPr>
          <w:p>
            <w:pPr>
              <w:pStyle w:val="TableContents"/>
              <w:spacing w:before="0" w:after="0"/>
              <w:ind w:left="0" w:right="0" w:hanging="0"/>
              <w:rPr/>
            </w:pPr>
            <w:r>
              <w:rPr/>
              <w:t> </w:t>
            </w:r>
          </w:p>
        </w:tc>
        <w:tc>
          <w:tcPr>
            <w:tcW w:w="94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3,577</w:t>
            </w:r>
          </w:p>
        </w:tc>
        <w:tc>
          <w:tcPr>
            <w:tcW w:w="189" w:type="dxa"/>
            <w:tcBorders/>
            <w:shd w:fill="CCEEFF" w:val="clear"/>
            <w:vAlign w:val="bottom"/>
          </w:tcPr>
          <w:p>
            <w:pPr>
              <w:pStyle w:val="TableContents"/>
              <w:spacing w:before="0" w:after="0"/>
              <w:ind w:left="0" w:right="0" w:hanging="0"/>
              <w:rPr/>
            </w:pPr>
            <w:r>
              <w:rPr/>
              <w:t> </w:t>
            </w:r>
          </w:p>
        </w:tc>
        <w:tc>
          <w:tcPr>
            <w:tcW w:w="75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559,774</w:t>
            </w:r>
          </w:p>
        </w:tc>
        <w:tc>
          <w:tcPr>
            <w:tcW w:w="57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4650" w:type="pct"/>
        <w:jc w:val="left"/>
        <w:tblInd w:w="0" w:type="dxa"/>
        <w:tblCellMar>
          <w:top w:w="0" w:type="dxa"/>
          <w:left w:w="0" w:type="dxa"/>
          <w:bottom w:w="0" w:type="dxa"/>
          <w:right w:w="0" w:type="dxa"/>
        </w:tblCellMar>
      </w:tblPr>
      <w:tblGrid>
        <w:gridCol w:w="1799"/>
        <w:gridCol w:w="199"/>
        <w:gridCol w:w="799"/>
        <w:gridCol w:w="200"/>
        <w:gridCol w:w="1299"/>
        <w:gridCol w:w="199"/>
        <w:gridCol w:w="1199"/>
        <w:gridCol w:w="200"/>
        <w:gridCol w:w="1298"/>
        <w:gridCol w:w="200"/>
        <w:gridCol w:w="999"/>
        <w:gridCol w:w="200"/>
        <w:gridCol w:w="799"/>
        <w:gridCol w:w="100"/>
      </w:tblGrid>
      <w:tr>
        <w:trPr/>
        <w:tc>
          <w:tcPr>
            <w:tcW w:w="179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7392" w:type="dxa"/>
            <w:gridSpan w:val="11"/>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100" w:type="dxa"/>
            <w:tcBorders/>
            <w:shd w:fill="auto" w:val="clear"/>
            <w:vAlign w:val="bottom"/>
          </w:tcPr>
          <w:p>
            <w:pPr>
              <w:pStyle w:val="TableContents"/>
              <w:spacing w:before="0" w:after="0"/>
              <w:ind w:left="0" w:right="0" w:hanging="0"/>
              <w:jc w:val="center"/>
              <w:rPr/>
            </w:pPr>
            <w:r>
              <w:rPr/>
              <w:t> </w:t>
            </w:r>
          </w:p>
        </w:tc>
      </w:tr>
      <w:tr>
        <w:trPr/>
        <w:tc>
          <w:tcPr>
            <w:tcW w:w="179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799" w:type="dxa"/>
            <w:tcBorders/>
            <w:shd w:fill="auto" w:val="cle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Fixtures and Office</w:t>
            </w:r>
          </w:p>
        </w:tc>
        <w:tc>
          <w:tcPr>
            <w:tcW w:w="1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99"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Plant, Machinery</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98" w:type="dxa"/>
            <w:tcBorders>
              <w:top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Decommissioning</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9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00"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79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0" w:type="dxa"/>
            <w:tcBorders/>
            <w:shd w:fill="auto" w:val="clear"/>
            <w:vAlign w:val="bottom"/>
          </w:tcPr>
          <w:p>
            <w:pPr>
              <w:pStyle w:val="TableContents"/>
              <w:spacing w:before="0" w:after="0"/>
              <w:ind w:left="0" w:right="0" w:hanging="0"/>
              <w:jc w:val="center"/>
              <w:rPr/>
            </w:pPr>
            <w:r>
              <w:rPr/>
              <w:t> </w:t>
            </w:r>
          </w:p>
        </w:tc>
      </w:tr>
      <w:tr>
        <w:trPr/>
        <w:tc>
          <w:tcPr>
            <w:tcW w:w="179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Land</w:t>
            </w:r>
          </w:p>
        </w:tc>
        <w:tc>
          <w:tcPr>
            <w:tcW w:w="200" w:type="dxa"/>
            <w:tcBorders/>
            <w:shd w:fill="auto" w:val="clear"/>
            <w:vAlign w:val="bottom"/>
          </w:tcPr>
          <w:p>
            <w:pPr>
              <w:pStyle w:val="TableContents"/>
              <w:spacing w:before="0" w:after="0"/>
              <w:ind w:left="0" w:right="0" w:hanging="0"/>
              <w:jc w:val="center"/>
              <w:rPr/>
            </w:pPr>
            <w:r>
              <w:rPr/>
              <w:t> </w:t>
            </w:r>
          </w:p>
        </w:tc>
        <w:tc>
          <w:tcPr>
            <w:tcW w:w="12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Equipment</w:t>
            </w:r>
          </w:p>
        </w:tc>
        <w:tc>
          <w:tcPr>
            <w:tcW w:w="199" w:type="dxa"/>
            <w:tcBorders/>
            <w:shd w:fill="auto" w:val="clear"/>
            <w:vAlign w:val="bottom"/>
          </w:tcPr>
          <w:p>
            <w:pPr>
              <w:pStyle w:val="TableContents"/>
              <w:spacing w:before="0" w:after="0"/>
              <w:ind w:left="0" w:right="0" w:hanging="0"/>
              <w:jc w:val="center"/>
              <w:rPr/>
            </w:pPr>
            <w:r>
              <w:rPr/>
              <w:t> </w:t>
            </w:r>
          </w:p>
        </w:tc>
        <w:tc>
          <w:tcPr>
            <w:tcW w:w="11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and Equipment</w:t>
            </w:r>
          </w:p>
        </w:tc>
        <w:tc>
          <w:tcPr>
            <w:tcW w:w="200" w:type="dxa"/>
            <w:tcBorders/>
            <w:shd w:fill="auto" w:val="clear"/>
            <w:vAlign w:val="bottom"/>
          </w:tcPr>
          <w:p>
            <w:pPr>
              <w:pStyle w:val="TableContents"/>
              <w:spacing w:before="0" w:after="0"/>
              <w:ind w:left="0" w:right="0" w:hanging="0"/>
              <w:jc w:val="center"/>
              <w:rPr/>
            </w:pPr>
            <w:r>
              <w:rPr/>
              <w:t> </w:t>
            </w:r>
          </w:p>
        </w:tc>
        <w:tc>
          <w:tcPr>
            <w:tcW w:w="129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Asset</w:t>
            </w:r>
          </w:p>
        </w:tc>
        <w:tc>
          <w:tcPr>
            <w:tcW w:w="200" w:type="dxa"/>
            <w:tcBorders/>
            <w:shd w:fill="auto" w:val="clear"/>
            <w:vAlign w:val="bottom"/>
          </w:tcPr>
          <w:p>
            <w:pPr>
              <w:pStyle w:val="TableContents"/>
              <w:spacing w:before="0" w:after="0"/>
              <w:ind w:left="0" w:right="0" w:hanging="0"/>
              <w:jc w:val="center"/>
              <w:rPr/>
            </w:pPr>
            <w:r>
              <w:rPr/>
              <w:t> </w:t>
            </w:r>
          </w:p>
        </w:tc>
        <w:tc>
          <w:tcPr>
            <w:tcW w:w="9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Transportation</w:t>
            </w:r>
          </w:p>
        </w:tc>
        <w:tc>
          <w:tcPr>
            <w:tcW w:w="200" w:type="dxa"/>
            <w:tcBorders/>
            <w:shd w:fill="auto" w:val="clear"/>
            <w:vAlign w:val="bottom"/>
          </w:tcPr>
          <w:p>
            <w:pPr>
              <w:pStyle w:val="TableContents"/>
              <w:spacing w:before="0" w:after="0"/>
              <w:ind w:left="0" w:right="0" w:hanging="0"/>
              <w:jc w:val="center"/>
              <w:rPr/>
            </w:pPr>
            <w:r>
              <w:rPr/>
              <w:t> </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100" w:type="dxa"/>
            <w:tcBorders/>
            <w:shd w:fill="auto" w:val="clear"/>
            <w:vAlign w:val="bottom"/>
          </w:tcPr>
          <w:p>
            <w:pPr>
              <w:pStyle w:val="TableContents"/>
              <w:spacing w:before="0" w:after="0"/>
              <w:ind w:left="0" w:right="0" w:hanging="0"/>
              <w:jc w:val="center"/>
              <w:rPr/>
            </w:pPr>
            <w:r>
              <w:rPr/>
              <w:t> </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Cost</w:t>
            </w:r>
          </w:p>
        </w:tc>
        <w:tc>
          <w:tcPr>
            <w:tcW w:w="199"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299"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298"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pPr>
            <w:r>
              <w:rPr/>
              <w:t> </w:t>
            </w:r>
          </w:p>
        </w:tc>
        <w:tc>
          <w:tcPr>
            <w:tcW w:w="100" w:type="dxa"/>
            <w:tcBorders/>
            <w:shd w:fill="CCEEFF" w:val="clear"/>
            <w:vAlign w:val="bottom"/>
          </w:tcPr>
          <w:p>
            <w:pPr>
              <w:pStyle w:val="TableContents"/>
              <w:spacing w:before="0" w:after="0"/>
              <w:ind w:left="0" w:right="0" w:hanging="0"/>
              <w:rPr/>
            </w:pPr>
            <w:r>
              <w:rPr/>
              <w:t> </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1 January 2010</w:t>
            </w:r>
          </w:p>
        </w:tc>
        <w:tc>
          <w:tcPr>
            <w:tcW w:w="199"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200" w:type="dxa"/>
            <w:tcBorders/>
            <w:shd w:fill="auto" w:val="clear"/>
            <w:vAlign w:val="bottom"/>
          </w:tcPr>
          <w:p>
            <w:pPr>
              <w:pStyle w:val="TableContents"/>
              <w:spacing w:before="0" w:after="0"/>
              <w:ind w:left="0" w:right="0" w:hanging="0"/>
              <w:rPr/>
            </w:pPr>
            <w:r>
              <w:rPr/>
              <w:t> </w:t>
            </w:r>
          </w:p>
        </w:tc>
        <w:tc>
          <w:tcPr>
            <w:tcW w:w="12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3,212</w:t>
            </w:r>
          </w:p>
        </w:tc>
        <w:tc>
          <w:tcPr>
            <w:tcW w:w="199" w:type="dxa"/>
            <w:tcBorders/>
            <w:shd w:fill="auto" w:val="clear"/>
            <w:vAlign w:val="bottom"/>
          </w:tcPr>
          <w:p>
            <w:pPr>
              <w:pStyle w:val="TableContents"/>
              <w:spacing w:before="0" w:after="0"/>
              <w:ind w:left="0" w:right="0" w:hanging="0"/>
              <w:rPr/>
            </w:pPr>
            <w:r>
              <w:rPr/>
              <w:t> </w:t>
            </w:r>
          </w:p>
        </w:tc>
        <w:tc>
          <w:tcPr>
            <w:tcW w:w="11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971,240</w:t>
            </w:r>
          </w:p>
        </w:tc>
        <w:tc>
          <w:tcPr>
            <w:tcW w:w="200" w:type="dxa"/>
            <w:tcBorders/>
            <w:shd w:fill="auto" w:val="clear"/>
            <w:vAlign w:val="bottom"/>
          </w:tcPr>
          <w:p>
            <w:pPr>
              <w:pStyle w:val="TableContents"/>
              <w:spacing w:before="0" w:after="0"/>
              <w:ind w:left="0" w:right="0" w:hanging="0"/>
              <w:rPr/>
            </w:pPr>
            <w:r>
              <w:rPr/>
              <w:t> </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73,856</w:t>
            </w:r>
          </w:p>
        </w:tc>
        <w:tc>
          <w:tcPr>
            <w:tcW w:w="200" w:type="dxa"/>
            <w:tcBorders/>
            <w:shd w:fill="auto" w:val="clear"/>
            <w:vAlign w:val="bottom"/>
          </w:tcPr>
          <w:p>
            <w:pPr>
              <w:pStyle w:val="TableContents"/>
              <w:spacing w:before="0" w:after="0"/>
              <w:ind w:left="0" w:right="0" w:hanging="0"/>
              <w:rPr/>
            </w:pPr>
            <w:r>
              <w:rPr/>
              <w:t> </w:t>
            </w:r>
          </w:p>
        </w:tc>
        <w:tc>
          <w:tcPr>
            <w:tcW w:w="9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8,502</w:t>
            </w:r>
          </w:p>
        </w:tc>
        <w:tc>
          <w:tcPr>
            <w:tcW w:w="200"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1,059,789</w:t>
            </w:r>
          </w:p>
        </w:tc>
        <w:tc>
          <w:tcPr>
            <w:tcW w:w="100" w:type="dxa"/>
            <w:tcBorders/>
            <w:shd w:fill="auto" w:val="clear"/>
            <w:vAlign w:val="bottom"/>
          </w:tcPr>
          <w:p>
            <w:pPr>
              <w:pStyle w:val="TableContents"/>
              <w:spacing w:before="0" w:after="0"/>
              <w:ind w:left="0" w:right="0" w:hanging="0"/>
              <w:rPr/>
            </w:pPr>
            <w:r>
              <w:rPr/>
              <w:t> </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Acquisitions</w:t>
            </w:r>
          </w:p>
        </w:tc>
        <w:tc>
          <w:tcPr>
            <w:tcW w:w="199"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2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CCEEFF" w:val="clear"/>
            <w:vAlign w:val="bottom"/>
          </w:tcPr>
          <w:p>
            <w:pPr>
              <w:pStyle w:val="TableContents"/>
              <w:spacing w:before="0" w:after="0"/>
              <w:ind w:left="0" w:right="0" w:hanging="0"/>
              <w:rPr/>
            </w:pPr>
            <w:r>
              <w:rPr/>
              <w:t> </w:t>
            </w:r>
          </w:p>
        </w:tc>
        <w:tc>
          <w:tcPr>
            <w:tcW w:w="11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5,478</w:t>
            </w:r>
          </w:p>
        </w:tc>
        <w:tc>
          <w:tcPr>
            <w:tcW w:w="200" w:type="dxa"/>
            <w:tcBorders/>
            <w:shd w:fill="CCEEFF" w:val="clear"/>
            <w:vAlign w:val="bottom"/>
          </w:tcPr>
          <w:p>
            <w:pPr>
              <w:pStyle w:val="TableContents"/>
              <w:spacing w:before="0" w:after="0"/>
              <w:ind w:left="0" w:right="0" w:hanging="0"/>
              <w:rPr/>
            </w:pPr>
            <w:r>
              <w:rPr/>
              <w:t> </w:t>
            </w:r>
          </w:p>
        </w:tc>
        <w:tc>
          <w:tcPr>
            <w:tcW w:w="12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5,478</w:t>
            </w:r>
          </w:p>
        </w:tc>
        <w:tc>
          <w:tcPr>
            <w:tcW w:w="100" w:type="dxa"/>
            <w:tcBorders/>
            <w:shd w:fill="CCEEFF" w:val="clear"/>
            <w:vAlign w:val="bottom"/>
          </w:tcPr>
          <w:p>
            <w:pPr>
              <w:pStyle w:val="TableContents"/>
              <w:spacing w:before="0" w:after="0"/>
              <w:ind w:left="0" w:right="0" w:hanging="0"/>
              <w:rPr/>
            </w:pPr>
            <w:r>
              <w:rPr/>
              <w:t> </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Transfers</w:t>
            </w:r>
          </w:p>
        </w:tc>
        <w:tc>
          <w:tcPr>
            <w:tcW w:w="199"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9" w:type="dxa"/>
            <w:tcBorders/>
            <w:shd w:fill="auto" w:val="clear"/>
            <w:vAlign w:val="bottom"/>
          </w:tcPr>
          <w:p>
            <w:pPr>
              <w:pStyle w:val="TableContents"/>
              <w:spacing w:before="0" w:after="0"/>
              <w:ind w:left="0" w:right="0" w:hanging="0"/>
              <w:rPr/>
            </w:pPr>
            <w:r>
              <w:rPr/>
              <w:t> </w:t>
            </w:r>
          </w:p>
        </w:tc>
        <w:tc>
          <w:tcPr>
            <w:tcW w:w="11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(14,470</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w:t>
            </w:r>
          </w:p>
        </w:tc>
        <w:tc>
          <w:tcPr>
            <w:tcW w:w="200" w:type="dxa"/>
            <w:tcBorders/>
            <w:shd w:fill="auto" w:val="clear"/>
            <w:vAlign w:val="bottom"/>
          </w:tcPr>
          <w:p>
            <w:pPr>
              <w:pStyle w:val="TableContents"/>
              <w:spacing w:before="0" w:after="0"/>
              <w:ind w:left="0" w:right="0" w:hanging="0"/>
              <w:rPr/>
            </w:pPr>
            <w:r>
              <w:rPr/>
              <w:t> </w:t>
            </w:r>
          </w:p>
        </w:tc>
        <w:tc>
          <w:tcPr>
            <w:tcW w:w="9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(14,452</w:t>
            </w:r>
          </w:p>
        </w:tc>
        <w:tc>
          <w:tcPr>
            <w:tcW w:w="1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Deletions</w:t>
            </w:r>
          </w:p>
        </w:tc>
        <w:tc>
          <w:tcPr>
            <w:tcW w:w="199"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2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(1,066</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(4,844</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(26</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(5,936</w:t>
            </w:r>
          </w:p>
        </w:tc>
        <w:tc>
          <w:tcPr>
            <w:tcW w:w="1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99" w:type="dxa"/>
            <w:tcBorders/>
            <w:shd w:fill="auto" w:val="clear"/>
            <w:vAlign w:val="bottom"/>
          </w:tcPr>
          <w:p>
            <w:pPr>
              <w:pStyle w:val="TableContents"/>
              <w:spacing w:before="0" w:after="0"/>
              <w:ind w:left="0" w:right="0" w:hanging="0"/>
              <w:rPr/>
            </w:pPr>
            <w:r>
              <w:rPr/>
              <w:t> </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9" w:type="dxa"/>
            <w:tcBorders/>
            <w:shd w:fill="auto" w:val="clear"/>
            <w:vAlign w:val="bottom"/>
          </w:tcPr>
          <w:p>
            <w:pPr>
              <w:pStyle w:val="TableContents"/>
              <w:spacing w:before="0" w:after="0"/>
              <w:ind w:left="0" w:right="0" w:hanging="0"/>
              <w:rPr/>
            </w:pPr>
            <w:r>
              <w:rPr/>
              <w:t> </w:t>
            </w:r>
          </w:p>
        </w:tc>
        <w:tc>
          <w:tcPr>
            <w:tcW w:w="11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8,214</w:t>
            </w:r>
          </w:p>
        </w:tc>
        <w:tc>
          <w:tcPr>
            <w:tcW w:w="200" w:type="dxa"/>
            <w:tcBorders/>
            <w:shd w:fill="auto" w:val="clear"/>
            <w:vAlign w:val="bottom"/>
          </w:tcPr>
          <w:p>
            <w:pPr>
              <w:pStyle w:val="TableContents"/>
              <w:spacing w:before="0" w:after="0"/>
              <w:ind w:left="0" w:right="0" w:hanging="0"/>
              <w:rPr/>
            </w:pPr>
            <w:r>
              <w:rPr/>
              <w:t> </w:t>
            </w:r>
          </w:p>
        </w:tc>
        <w:tc>
          <w:tcPr>
            <w:tcW w:w="9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8,214</w:t>
            </w:r>
          </w:p>
        </w:tc>
        <w:tc>
          <w:tcPr>
            <w:tcW w:w="100" w:type="dxa"/>
            <w:tcBorders/>
            <w:shd w:fill="auto" w:val="clear"/>
            <w:vAlign w:val="bottom"/>
          </w:tcPr>
          <w:p>
            <w:pPr>
              <w:pStyle w:val="TableContents"/>
              <w:spacing w:before="0" w:after="0"/>
              <w:ind w:left="0" w:right="0" w:hanging="0"/>
              <w:rPr/>
            </w:pPr>
            <w:r>
              <w:rPr/>
              <w:t> </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2010</w:t>
            </w:r>
          </w:p>
        </w:tc>
        <w:tc>
          <w:tcPr>
            <w:tcW w:w="199"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200" w:type="dxa"/>
            <w:tcBorders/>
            <w:shd w:fill="CCEEFF" w:val="clear"/>
            <w:vAlign w:val="bottom"/>
          </w:tcPr>
          <w:p>
            <w:pPr>
              <w:pStyle w:val="TableContents"/>
              <w:spacing w:before="0" w:after="0"/>
              <w:ind w:left="0" w:right="0" w:hanging="0"/>
              <w:rPr/>
            </w:pPr>
            <w:r>
              <w:rPr/>
              <w:t> </w:t>
            </w:r>
          </w:p>
        </w:tc>
        <w:tc>
          <w:tcPr>
            <w:tcW w:w="12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2,168</w:t>
            </w:r>
          </w:p>
        </w:tc>
        <w:tc>
          <w:tcPr>
            <w:tcW w:w="199" w:type="dxa"/>
            <w:tcBorders/>
            <w:shd w:fill="CCEEFF" w:val="clear"/>
            <w:vAlign w:val="bottom"/>
          </w:tcPr>
          <w:p>
            <w:pPr>
              <w:pStyle w:val="TableContents"/>
              <w:spacing w:before="0" w:after="0"/>
              <w:ind w:left="0" w:right="0" w:hanging="0"/>
              <w:rPr/>
            </w:pPr>
            <w:r>
              <w:rPr/>
              <w:t> </w:t>
            </w:r>
          </w:p>
        </w:tc>
        <w:tc>
          <w:tcPr>
            <w:tcW w:w="11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957,404</w:t>
            </w:r>
          </w:p>
        </w:tc>
        <w:tc>
          <w:tcPr>
            <w:tcW w:w="200" w:type="dxa"/>
            <w:tcBorders/>
            <w:shd w:fill="CCEEFF" w:val="clear"/>
            <w:vAlign w:val="bottom"/>
          </w:tcPr>
          <w:p>
            <w:pPr>
              <w:pStyle w:val="TableContents"/>
              <w:spacing w:before="0" w:after="0"/>
              <w:ind w:left="0" w:right="0" w:hanging="0"/>
              <w:rPr/>
            </w:pPr>
            <w:r>
              <w:rPr/>
              <w:t> </w:t>
            </w:r>
          </w:p>
        </w:tc>
        <w:tc>
          <w:tcPr>
            <w:tcW w:w="129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82,073</w:t>
            </w:r>
          </w:p>
        </w:tc>
        <w:tc>
          <w:tcPr>
            <w:tcW w:w="200" w:type="dxa"/>
            <w:tcBorders/>
            <w:shd w:fill="CCEEFF" w:val="clear"/>
            <w:vAlign w:val="bottom"/>
          </w:tcPr>
          <w:p>
            <w:pPr>
              <w:pStyle w:val="TableContents"/>
              <w:spacing w:before="0" w:after="0"/>
              <w:ind w:left="0" w:right="0" w:hanging="0"/>
              <w:rPr/>
            </w:pPr>
            <w:r>
              <w:rPr/>
              <w:t> </w:t>
            </w:r>
          </w:p>
        </w:tc>
        <w:tc>
          <w:tcPr>
            <w:tcW w:w="9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8,469</w:t>
            </w:r>
          </w:p>
        </w:tc>
        <w:tc>
          <w:tcPr>
            <w:tcW w:w="200"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1,053,093</w:t>
            </w:r>
          </w:p>
        </w:tc>
        <w:tc>
          <w:tcPr>
            <w:tcW w:w="100" w:type="dxa"/>
            <w:tcBorders/>
            <w:shd w:fill="CCEEFF" w:val="clear"/>
            <w:vAlign w:val="bottom"/>
          </w:tcPr>
          <w:p>
            <w:pPr>
              <w:pStyle w:val="TableContents"/>
              <w:spacing w:before="0" w:after="0"/>
              <w:ind w:left="0" w:right="0" w:hanging="0"/>
              <w:rPr/>
            </w:pPr>
            <w:r>
              <w:rPr/>
              <w:t> </w:t>
            </w:r>
          </w:p>
        </w:tc>
      </w:tr>
      <w:tr>
        <w:trPr/>
        <w:tc>
          <w:tcPr>
            <w:tcW w:w="1799"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299" w:type="dxa"/>
            <w:tcBorders/>
            <w:shd w:fill="auto" w:val="clear"/>
            <w:vAlign w:val="bottom"/>
          </w:tcPr>
          <w:p>
            <w:pPr>
              <w:pStyle w:val="TableContents"/>
              <w:spacing w:before="0" w:after="0"/>
              <w:ind w:left="0" w:right="0" w:hanging="0"/>
              <w:jc w:val="right"/>
              <w:rPr/>
            </w:pPr>
            <w:r>
              <w:rPr/>
              <w:t> </w:t>
            </w:r>
          </w:p>
        </w:tc>
        <w:tc>
          <w:tcPr>
            <w:tcW w:w="199" w:type="dxa"/>
            <w:tcBorders/>
            <w:shd w:fill="auto" w:val="clear"/>
            <w:vAlign w:val="bottom"/>
          </w:tcPr>
          <w:p>
            <w:pPr>
              <w:pStyle w:val="TableContents"/>
              <w:spacing w:before="0" w:after="0"/>
              <w:ind w:left="0" w:right="0" w:hanging="0"/>
              <w:rPr/>
            </w:pPr>
            <w:r>
              <w:rPr/>
              <w:t> </w:t>
            </w:r>
          </w:p>
        </w:tc>
        <w:tc>
          <w:tcPr>
            <w:tcW w:w="1199"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1298"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999" w:type="dxa"/>
            <w:tcBorders/>
            <w:shd w:fill="auto" w:val="clear"/>
            <w:vAlign w:val="bottom"/>
          </w:tcPr>
          <w:p>
            <w:pPr>
              <w:pStyle w:val="TableContents"/>
              <w:spacing w:before="0" w:after="0"/>
              <w:ind w:left="0" w:right="0" w:hanging="0"/>
              <w:jc w:val="right"/>
              <w:rPr/>
            </w:pPr>
            <w:r>
              <w:rPr/>
              <w:t> </w:t>
            </w:r>
          </w:p>
        </w:tc>
        <w:tc>
          <w:tcPr>
            <w:tcW w:w="200"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pPr>
            <w:r>
              <w:rPr/>
              <w:t> </w:t>
            </w:r>
          </w:p>
        </w:tc>
        <w:tc>
          <w:tcPr>
            <w:tcW w:w="100" w:type="dxa"/>
            <w:tcBorders/>
            <w:shd w:fill="auto" w:val="clear"/>
            <w:vAlign w:val="bottom"/>
          </w:tcPr>
          <w:p>
            <w:pPr>
              <w:pStyle w:val="TableContents"/>
              <w:spacing w:before="0" w:after="0"/>
              <w:ind w:left="0" w:right="0" w:hanging="0"/>
              <w:rPr/>
            </w:pPr>
            <w:r>
              <w:rPr/>
              <w:t> </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Depreciation</w:t>
            </w:r>
          </w:p>
        </w:tc>
        <w:tc>
          <w:tcPr>
            <w:tcW w:w="199"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299" w:type="dxa"/>
            <w:tcBorders/>
            <w:shd w:fill="CCEEFF" w:val="clear"/>
            <w:vAlign w:val="bottom"/>
          </w:tcPr>
          <w:p>
            <w:pPr>
              <w:pStyle w:val="TableContents"/>
              <w:spacing w:before="0" w:after="0"/>
              <w:ind w:left="0" w:right="0" w:hanging="0"/>
              <w:jc w:val="right"/>
              <w:rPr/>
            </w:pPr>
            <w:r>
              <w:rPr/>
              <w:t> </w:t>
            </w:r>
          </w:p>
        </w:tc>
        <w:tc>
          <w:tcPr>
            <w:tcW w:w="199" w:type="dxa"/>
            <w:tcBorders/>
            <w:shd w:fill="CCEEFF" w:val="clear"/>
            <w:vAlign w:val="bottom"/>
          </w:tcPr>
          <w:p>
            <w:pPr>
              <w:pStyle w:val="TableContents"/>
              <w:spacing w:before="0" w:after="0"/>
              <w:ind w:left="0" w:right="0" w:hanging="0"/>
              <w:rPr/>
            </w:pPr>
            <w:r>
              <w:rPr/>
              <w:t> </w:t>
            </w:r>
          </w:p>
        </w:tc>
        <w:tc>
          <w:tcPr>
            <w:tcW w:w="11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1298"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999" w:type="dxa"/>
            <w:tcBorders/>
            <w:shd w:fill="CCEEFF" w:val="clear"/>
            <w:vAlign w:val="bottom"/>
          </w:tcPr>
          <w:p>
            <w:pPr>
              <w:pStyle w:val="TableContents"/>
              <w:spacing w:before="0" w:after="0"/>
              <w:ind w:left="0" w:right="0" w:hanging="0"/>
              <w:jc w:val="right"/>
              <w:rPr/>
            </w:pPr>
            <w:r>
              <w:rPr/>
              <w:t> </w:t>
            </w:r>
          </w:p>
        </w:tc>
        <w:tc>
          <w:tcPr>
            <w:tcW w:w="200"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pPr>
            <w:r>
              <w:rPr/>
              <w:t> </w:t>
            </w:r>
          </w:p>
        </w:tc>
        <w:tc>
          <w:tcPr>
            <w:tcW w:w="100" w:type="dxa"/>
            <w:tcBorders/>
            <w:shd w:fill="CCEEFF" w:val="clear"/>
            <w:vAlign w:val="bottom"/>
          </w:tcPr>
          <w:p>
            <w:pPr>
              <w:pStyle w:val="TableContents"/>
              <w:spacing w:before="0" w:after="0"/>
              <w:ind w:left="0" w:right="0" w:hanging="0"/>
              <w:rPr/>
            </w:pPr>
            <w:r>
              <w:rPr/>
              <w:t> </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1 January 2010</w:t>
            </w:r>
          </w:p>
        </w:tc>
        <w:tc>
          <w:tcPr>
            <w:tcW w:w="199"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(1,999</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(457,889</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(9,541</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(4,504</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(473,933</w:t>
            </w:r>
          </w:p>
        </w:tc>
        <w:tc>
          <w:tcPr>
            <w:tcW w:w="1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Charge for the year</w:t>
            </w:r>
          </w:p>
        </w:tc>
        <w:tc>
          <w:tcPr>
            <w:tcW w:w="199" w:type="dxa"/>
            <w:tcBorders/>
            <w:shd w:fill="CCEEFF" w:val="clear"/>
            <w:vAlign w:val="bottom"/>
          </w:tcPr>
          <w:p>
            <w:pPr>
              <w:pStyle w:val="TableContents"/>
              <w:spacing w:before="0" w:after="0"/>
              <w:ind w:left="0" w:right="0" w:hanging="0"/>
              <w:rPr/>
            </w:pPr>
            <w:r>
              <w:rPr/>
              <w:t> </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2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(305</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(25,298</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(3,444</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(181</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(29,228</w:t>
            </w:r>
          </w:p>
        </w:tc>
        <w:tc>
          <w:tcPr>
            <w:tcW w:w="1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Deletions</w:t>
            </w:r>
          </w:p>
        </w:tc>
        <w:tc>
          <w:tcPr>
            <w:tcW w:w="199"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1,067</w:t>
            </w:r>
          </w:p>
        </w:tc>
        <w:tc>
          <w:tcPr>
            <w:tcW w:w="199" w:type="dxa"/>
            <w:tcBorders/>
            <w:shd w:fill="auto" w:val="clear"/>
            <w:vAlign w:val="bottom"/>
          </w:tcPr>
          <w:p>
            <w:pPr>
              <w:pStyle w:val="TableContents"/>
              <w:spacing w:before="0" w:after="0"/>
              <w:ind w:left="0" w:right="0" w:hanging="0"/>
              <w:rPr/>
            </w:pPr>
            <w:r>
              <w:rPr/>
              <w:t> </w:t>
            </w:r>
          </w:p>
        </w:tc>
        <w:tc>
          <w:tcPr>
            <w:tcW w:w="11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4,845</w:t>
            </w:r>
          </w:p>
        </w:tc>
        <w:tc>
          <w:tcPr>
            <w:tcW w:w="200" w:type="dxa"/>
            <w:tcBorders/>
            <w:shd w:fill="auto" w:val="clear"/>
            <w:vAlign w:val="bottom"/>
          </w:tcPr>
          <w:p>
            <w:pPr>
              <w:pStyle w:val="TableContents"/>
              <w:spacing w:before="0" w:after="0"/>
              <w:ind w:left="0" w:right="0" w:hanging="0"/>
              <w:rPr/>
            </w:pPr>
            <w:r>
              <w:rPr/>
              <w:t> </w:t>
            </w:r>
          </w:p>
        </w:tc>
        <w:tc>
          <w:tcPr>
            <w:tcW w:w="1298"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9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w:t>
            </w:r>
          </w:p>
        </w:tc>
        <w:tc>
          <w:tcPr>
            <w:tcW w:w="200" w:type="dxa"/>
            <w:tcBorders/>
            <w:shd w:fill="auto" w:val="clear"/>
            <w:vAlign w:val="bottom"/>
          </w:tcPr>
          <w:p>
            <w:pPr>
              <w:pStyle w:val="TableContents"/>
              <w:spacing w:before="0" w:after="0"/>
              <w:ind w:left="0" w:right="0" w:hanging="0"/>
              <w:rPr/>
            </w:pPr>
            <w:r>
              <w:rPr/>
              <w:t> </w:t>
            </w:r>
          </w:p>
        </w:tc>
        <w:tc>
          <w:tcPr>
            <w:tcW w:w="79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5,939</w:t>
            </w:r>
          </w:p>
        </w:tc>
        <w:tc>
          <w:tcPr>
            <w:tcW w:w="100" w:type="dxa"/>
            <w:tcBorders/>
            <w:shd w:fill="auto" w:val="clear"/>
            <w:vAlign w:val="bottom"/>
          </w:tcPr>
          <w:p>
            <w:pPr>
              <w:pStyle w:val="TableContents"/>
              <w:spacing w:before="0" w:after="0"/>
              <w:ind w:left="0" w:right="0" w:hanging="0"/>
              <w:rPr/>
            </w:pPr>
            <w:r>
              <w:rPr/>
              <w:t> </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Transfers</w:t>
            </w:r>
          </w:p>
        </w:tc>
        <w:tc>
          <w:tcPr>
            <w:tcW w:w="199"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CCEEFF" w:val="clear"/>
            <w:vAlign w:val="bottom"/>
          </w:tcPr>
          <w:p>
            <w:pPr>
              <w:pStyle w:val="TableContents"/>
              <w:spacing w:before="0" w:after="0"/>
              <w:ind w:left="0" w:right="0" w:hanging="0"/>
              <w:rPr/>
            </w:pPr>
            <w:r>
              <w:rPr/>
              <w:t> </w:t>
            </w:r>
          </w:p>
        </w:tc>
        <w:tc>
          <w:tcPr>
            <w:tcW w:w="12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(22</w:t>
            </w:r>
          </w:p>
        </w:tc>
        <w:tc>
          <w:tcPr>
            <w:tcW w:w="199"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13,651</w:t>
            </w:r>
          </w:p>
        </w:tc>
        <w:tc>
          <w:tcPr>
            <w:tcW w:w="200" w:type="dxa"/>
            <w:tcBorders/>
            <w:shd w:fill="CCEEFF" w:val="clear"/>
            <w:vAlign w:val="bottom"/>
          </w:tcPr>
          <w:p>
            <w:pPr>
              <w:pStyle w:val="TableContents"/>
              <w:spacing w:before="0" w:after="0"/>
              <w:ind w:left="0" w:right="0" w:hanging="0"/>
              <w:rPr/>
            </w:pPr>
            <w:r>
              <w:rPr/>
              <w:t> </w:t>
            </w:r>
          </w:p>
        </w:tc>
        <w:tc>
          <w:tcPr>
            <w:tcW w:w="129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(2,439</w:t>
            </w:r>
          </w:p>
        </w:tc>
        <w:tc>
          <w:tcPr>
            <w:tcW w:w="200"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w:t>
            </w:r>
          </w:p>
        </w:tc>
        <w:tc>
          <w:tcPr>
            <w:tcW w:w="200"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11,197</w:t>
            </w:r>
          </w:p>
        </w:tc>
        <w:tc>
          <w:tcPr>
            <w:tcW w:w="100" w:type="dxa"/>
            <w:tcBorders/>
            <w:shd w:fill="CCEEFF" w:val="clear"/>
            <w:vAlign w:val="bottom"/>
          </w:tcPr>
          <w:p>
            <w:pPr>
              <w:pStyle w:val="TableContents"/>
              <w:spacing w:before="0" w:after="0"/>
              <w:ind w:left="0" w:right="0" w:hanging="0"/>
              <w:rPr/>
            </w:pPr>
            <w:r>
              <w:rPr/>
              <w:t> </w:t>
            </w:r>
          </w:p>
        </w:tc>
      </w:tr>
      <w:tr>
        <w:trPr/>
        <w:tc>
          <w:tcPr>
            <w:tcW w:w="179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2010</w:t>
            </w:r>
          </w:p>
        </w:tc>
        <w:tc>
          <w:tcPr>
            <w:tcW w:w="199" w:type="dxa"/>
            <w:tcBorders/>
            <w:shd w:fill="auto" w:val="clear"/>
            <w:vAlign w:val="bottom"/>
          </w:tcPr>
          <w:p>
            <w:pPr>
              <w:pStyle w:val="TableContents"/>
              <w:spacing w:before="0" w:after="0"/>
              <w:ind w:left="0" w:right="0" w:hanging="0"/>
              <w:rPr/>
            </w:pPr>
            <w:r>
              <w:rPr/>
              <w:t> </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0" w:type="dxa"/>
            <w:tcBorders/>
            <w:shd w:fill="auto" w:val="clear"/>
            <w:vAlign w:val="bottom"/>
          </w:tcPr>
          <w:p>
            <w:pPr>
              <w:pStyle w:val="TableContents"/>
              <w:spacing w:before="0" w:after="0"/>
              <w:ind w:left="0" w:right="0" w:hanging="0"/>
              <w:rPr/>
            </w:pPr>
            <w:r>
              <w:rPr/>
              <w:t> </w:t>
            </w:r>
          </w:p>
        </w:tc>
        <w:tc>
          <w:tcPr>
            <w:tcW w:w="12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(1,259</w:t>
            </w:r>
          </w:p>
        </w:tc>
        <w:tc>
          <w:tcPr>
            <w:tcW w:w="19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(464,691</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98"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(15,424</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9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(4,651</w:t>
            </w:r>
          </w:p>
        </w:tc>
        <w:tc>
          <w:tcPr>
            <w:tcW w:w="2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79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(486,025</w:t>
            </w:r>
          </w:p>
        </w:tc>
        <w:tc>
          <w:tcPr>
            <w:tcW w:w="100"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1799"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Net book amount at 31 December 2010</w:t>
            </w:r>
          </w:p>
        </w:tc>
        <w:tc>
          <w:tcPr>
            <w:tcW w:w="199"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2,979</w:t>
            </w:r>
          </w:p>
        </w:tc>
        <w:tc>
          <w:tcPr>
            <w:tcW w:w="200" w:type="dxa"/>
            <w:tcBorders/>
            <w:shd w:fill="CCEEFF" w:val="clear"/>
            <w:vAlign w:val="bottom"/>
          </w:tcPr>
          <w:p>
            <w:pPr>
              <w:pStyle w:val="TableContents"/>
              <w:spacing w:before="0" w:after="0"/>
              <w:ind w:left="0" w:right="0" w:hanging="0"/>
              <w:rPr/>
            </w:pPr>
            <w:r>
              <w:rPr/>
              <w:t> </w:t>
            </w:r>
          </w:p>
        </w:tc>
        <w:tc>
          <w:tcPr>
            <w:tcW w:w="12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909</w:t>
            </w:r>
          </w:p>
        </w:tc>
        <w:tc>
          <w:tcPr>
            <w:tcW w:w="199" w:type="dxa"/>
            <w:tcBorders/>
            <w:shd w:fill="CCEEFF" w:val="clear"/>
            <w:vAlign w:val="bottom"/>
          </w:tcPr>
          <w:p>
            <w:pPr>
              <w:pStyle w:val="TableContents"/>
              <w:spacing w:before="0" w:after="0"/>
              <w:ind w:left="0" w:right="0" w:hanging="0"/>
              <w:rPr/>
            </w:pPr>
            <w:r>
              <w:rPr/>
              <w:t> </w:t>
            </w:r>
          </w:p>
        </w:tc>
        <w:tc>
          <w:tcPr>
            <w:tcW w:w="11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492,713</w:t>
            </w:r>
          </w:p>
        </w:tc>
        <w:tc>
          <w:tcPr>
            <w:tcW w:w="200" w:type="dxa"/>
            <w:tcBorders/>
            <w:shd w:fill="CCEEFF" w:val="clear"/>
            <w:vAlign w:val="bottom"/>
          </w:tcPr>
          <w:p>
            <w:pPr>
              <w:pStyle w:val="TableContents"/>
              <w:spacing w:before="0" w:after="0"/>
              <w:ind w:left="0" w:right="0" w:hanging="0"/>
              <w:rPr/>
            </w:pPr>
            <w:r>
              <w:rPr/>
              <w:t> </w:t>
            </w:r>
          </w:p>
        </w:tc>
        <w:tc>
          <w:tcPr>
            <w:tcW w:w="1298"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66,649</w:t>
            </w:r>
          </w:p>
        </w:tc>
        <w:tc>
          <w:tcPr>
            <w:tcW w:w="200" w:type="dxa"/>
            <w:tcBorders/>
            <w:shd w:fill="CCEEFF" w:val="clear"/>
            <w:vAlign w:val="bottom"/>
          </w:tcPr>
          <w:p>
            <w:pPr>
              <w:pStyle w:val="TableContents"/>
              <w:spacing w:before="0" w:after="0"/>
              <w:ind w:left="0" w:right="0" w:hanging="0"/>
              <w:rPr/>
            </w:pPr>
            <w:r>
              <w:rPr/>
              <w:t> </w:t>
            </w:r>
          </w:p>
        </w:tc>
        <w:tc>
          <w:tcPr>
            <w:tcW w:w="9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3,818</w:t>
            </w:r>
          </w:p>
        </w:tc>
        <w:tc>
          <w:tcPr>
            <w:tcW w:w="200" w:type="dxa"/>
            <w:tcBorders/>
            <w:shd w:fill="CCEEFF" w:val="clear"/>
            <w:vAlign w:val="bottom"/>
          </w:tcPr>
          <w:p>
            <w:pPr>
              <w:pStyle w:val="TableContents"/>
              <w:spacing w:before="0" w:after="0"/>
              <w:ind w:left="0" w:right="0" w:hanging="0"/>
              <w:rPr/>
            </w:pPr>
            <w:r>
              <w:rPr/>
              <w:t> </w:t>
            </w:r>
          </w:p>
        </w:tc>
        <w:tc>
          <w:tcPr>
            <w:tcW w:w="79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567,068</w:t>
            </w:r>
          </w:p>
        </w:tc>
        <w:tc>
          <w:tcPr>
            <w:tcW w:w="100"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Depreciation and amortization expense on the statements of comprehensive income is equal to depreciation of $30,695 plus amortization of $267 for the year ended December 31, 2011. For the year ended December 31, 2010, these amounts were $29,228 of depreciation and amortization of $827.</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(11)</w:t>
      </w:r>
      <w:r>
        <w:rPr>
          <w:rFonts w:ascii="Times New Roman" w:hAnsi="Times New Roman"/>
        </w:rPr>
        <w:t xml:space="preserve">              </w:t>
      </w:r>
      <w:r>
        <w:rPr>
          <w:rFonts w:ascii="Times New Roman" w:hAnsi="Times New Roman"/>
          <w:b/>
          <w:sz w:val="17"/>
        </w:rPr>
        <w:t>Financial Instruments and Financial Risk Factors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BP holds various financial assets and liabilities that relate to Argyle, in particular receivables, payables, accruals, and derivatives. Details of these financial assets and liabilities can be found in other notes to these financial statements. From a financial risk factor perspective, Argyles financial instruments (specifically, its derivative portfolio) are managed by IST, which manages for the Business all financial risk factors, namely market risk, credit risk, and liquidity risk.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49" w:name="PB_19_161431_3020"/>
      <w:bookmarkEnd w:id="49"/>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(12)</w:t>
      </w:r>
      <w:r>
        <w:rPr>
          <w:rFonts w:ascii="Times New Roman" w:hAnsi="Times New Roman"/>
        </w:rPr>
        <w:t xml:space="preserve">              </w:t>
      </w:r>
      <w:r>
        <w:rPr>
          <w:rFonts w:ascii="Times New Roman" w:hAnsi="Times New Roman"/>
          <w:b/>
          <w:sz w:val="17"/>
        </w:rPr>
        <w:t>Inventories</w:t>
      </w:r>
    </w:p>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6113"/>
        <w:gridCol w:w="184"/>
        <w:gridCol w:w="1203"/>
        <w:gridCol w:w="185"/>
        <w:gridCol w:w="1203"/>
        <w:gridCol w:w="92"/>
      </w:tblGrid>
      <w:tr>
        <w:trPr/>
        <w:tc>
          <w:tcPr>
            <w:tcW w:w="6113"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2591"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92" w:type="dxa"/>
            <w:tcBorders/>
            <w:shd w:fill="auto" w:val="clear"/>
            <w:vAlign w:val="bottom"/>
          </w:tcPr>
          <w:p>
            <w:pPr>
              <w:pStyle w:val="TableContents"/>
              <w:spacing w:before="0" w:after="0"/>
              <w:ind w:left="0" w:right="0" w:hanging="0"/>
              <w:jc w:val="center"/>
              <w:rPr/>
            </w:pPr>
            <w:r>
              <w:rPr/>
              <w:t> </w:t>
            </w:r>
          </w:p>
        </w:tc>
      </w:tr>
      <w:tr>
        <w:trPr/>
        <w:tc>
          <w:tcPr>
            <w:tcW w:w="6113" w:type="dxa"/>
            <w:tcBorders/>
            <w:shd w:fill="auto" w:val="clear"/>
            <w:vAlign w:val="bottom"/>
          </w:tcPr>
          <w:p>
            <w:pPr>
              <w:pStyle w:val="TableContents"/>
              <w:spacing w:before="0" w:after="0"/>
              <w:ind w:left="0" w:right="0" w:hanging="0"/>
              <w:rPr/>
            </w:pPr>
            <w:r>
              <w:rPr/>
              <w:t> </w:t>
            </w:r>
          </w:p>
        </w:tc>
        <w:tc>
          <w:tcPr>
            <w:tcW w:w="184" w:type="dxa"/>
            <w:tcBorders/>
            <w:shd w:fill="auto" w:val="clear"/>
            <w:vAlign w:val="bottom"/>
          </w:tcPr>
          <w:p>
            <w:pPr>
              <w:pStyle w:val="TableContents"/>
              <w:spacing w:before="0" w:after="0"/>
              <w:ind w:left="0" w:right="0" w:hanging="0"/>
              <w:jc w:val="center"/>
              <w:rPr/>
            </w:pPr>
            <w:r>
              <w:rPr/>
              <w:t> </w:t>
            </w:r>
          </w:p>
        </w:tc>
        <w:tc>
          <w:tcPr>
            <w:tcW w:w="120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85"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0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92" w:type="dxa"/>
            <w:tcBorders/>
            <w:shd w:fill="auto" w:val="clear"/>
            <w:vAlign w:val="bottom"/>
          </w:tcPr>
          <w:p>
            <w:pPr>
              <w:pStyle w:val="TableContents"/>
              <w:spacing w:before="0" w:after="0"/>
              <w:ind w:left="0" w:right="0" w:hanging="0"/>
              <w:jc w:val="center"/>
              <w:rPr/>
            </w:pPr>
            <w:r>
              <w:rPr/>
              <w:t> </w:t>
            </w:r>
          </w:p>
        </w:tc>
      </w:tr>
      <w:tr>
        <w:trPr/>
        <w:tc>
          <w:tcPr>
            <w:tcW w:w="611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Cost of inventories expensed in the statement of comprehensive income</w:t>
            </w:r>
          </w:p>
        </w:tc>
        <w:tc>
          <w:tcPr>
            <w:tcW w:w="184" w:type="dxa"/>
            <w:tcBorders/>
            <w:shd w:fill="CCEEFF" w:val="clear"/>
            <w:vAlign w:val="bottom"/>
          </w:tcPr>
          <w:p>
            <w:pPr>
              <w:pStyle w:val="TableContents"/>
              <w:spacing w:before="0" w:after="0"/>
              <w:ind w:left="0" w:right="0" w:hanging="0"/>
              <w:rPr/>
            </w:pPr>
            <w:r>
              <w:rPr/>
              <w:t> </w:t>
            </w:r>
          </w:p>
        </w:tc>
        <w:tc>
          <w:tcPr>
            <w:tcW w:w="120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2,788,800</w:t>
            </w:r>
          </w:p>
        </w:tc>
        <w:tc>
          <w:tcPr>
            <w:tcW w:w="185" w:type="dxa"/>
            <w:tcBorders/>
            <w:shd w:fill="CCEEFF" w:val="clear"/>
            <w:vAlign w:val="bottom"/>
          </w:tcPr>
          <w:p>
            <w:pPr>
              <w:pStyle w:val="TableContents"/>
              <w:spacing w:before="0" w:after="0"/>
              <w:ind w:left="0" w:right="0" w:hanging="0"/>
              <w:rPr/>
            </w:pPr>
            <w:r>
              <w:rPr/>
              <w:t> </w:t>
            </w:r>
          </w:p>
        </w:tc>
        <w:tc>
          <w:tcPr>
            <w:tcW w:w="1203"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2,357,333</w:t>
            </w:r>
          </w:p>
        </w:tc>
        <w:tc>
          <w:tcPr>
            <w:tcW w:w="9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(13)</w:t>
      </w:r>
      <w:r>
        <w:rPr>
          <w:rFonts w:ascii="Times New Roman" w:hAnsi="Times New Roman"/>
        </w:rPr>
        <w:t xml:space="preserve">              </w:t>
      </w:r>
      <w:r>
        <w:rPr>
          <w:rFonts w:ascii="Times New Roman" w:hAnsi="Times New Roman"/>
          <w:b/>
          <w:sz w:val="17"/>
        </w:rPr>
        <w:t>Trade and Other Receivables</w:t>
      </w:r>
    </w:p>
    <w:p>
      <w:pPr>
        <w:pStyle w:val="TextBody"/>
        <w:spacing w:before="0" w:after="0"/>
        <w:ind w:left="0" w:right="0" w:hanging="0"/>
        <w:rPr/>
      </w:pPr>
      <w:r>
        <w:rPr/>
        <w:t> </w:t>
      </w:r>
    </w:p>
    <w:tbl>
      <w:tblPr>
        <w:tblW w:w="4550" w:type="pct"/>
        <w:jc w:val="left"/>
        <w:tblInd w:w="0" w:type="dxa"/>
        <w:tblCellMar>
          <w:top w:w="0" w:type="dxa"/>
          <w:left w:w="0" w:type="dxa"/>
          <w:bottom w:w="0" w:type="dxa"/>
          <w:right w:w="0" w:type="dxa"/>
        </w:tblCellMar>
      </w:tblPr>
      <w:tblGrid>
        <w:gridCol w:w="4212"/>
        <w:gridCol w:w="191"/>
        <w:gridCol w:w="1054"/>
        <w:gridCol w:w="191"/>
        <w:gridCol w:w="1053"/>
        <w:gridCol w:w="191"/>
        <w:gridCol w:w="1053"/>
        <w:gridCol w:w="192"/>
        <w:gridCol w:w="1053"/>
        <w:gridCol w:w="96"/>
      </w:tblGrid>
      <w:tr>
        <w:trPr/>
        <w:tc>
          <w:tcPr>
            <w:tcW w:w="4212"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4787"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96" w:type="dxa"/>
            <w:tcBorders/>
            <w:shd w:fill="auto" w:val="clear"/>
            <w:vAlign w:val="bottom"/>
          </w:tcPr>
          <w:p>
            <w:pPr>
              <w:pStyle w:val="TableContents"/>
              <w:spacing w:before="0" w:after="0"/>
              <w:ind w:left="0" w:right="0" w:hanging="0"/>
              <w:jc w:val="center"/>
              <w:rPr/>
            </w:pPr>
            <w:r>
              <w:rPr/>
              <w:t> </w:t>
            </w:r>
          </w:p>
        </w:tc>
      </w:tr>
      <w:tr>
        <w:trPr/>
        <w:tc>
          <w:tcPr>
            <w:tcW w:w="4212"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2298"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298" w:type="dxa"/>
            <w:gridSpan w:val="3"/>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96" w:type="dxa"/>
            <w:tcBorders/>
            <w:shd w:fill="auto" w:val="clear"/>
            <w:vAlign w:val="bottom"/>
          </w:tcPr>
          <w:p>
            <w:pPr>
              <w:pStyle w:val="TableContents"/>
              <w:spacing w:before="0" w:after="0"/>
              <w:ind w:left="0" w:right="0" w:hanging="0"/>
              <w:jc w:val="center"/>
              <w:rPr/>
            </w:pPr>
            <w:r>
              <w:rPr/>
              <w:t> </w:t>
            </w:r>
          </w:p>
        </w:tc>
      </w:tr>
      <w:tr>
        <w:trPr/>
        <w:tc>
          <w:tcPr>
            <w:tcW w:w="4212" w:type="dxa"/>
            <w:tcBorders/>
            <w:shd w:fill="auto" w:val="clear"/>
            <w:vAlign w:val="bottom"/>
          </w:tcPr>
          <w:p>
            <w:pPr>
              <w:pStyle w:val="TableContents"/>
              <w:spacing w:before="0" w:after="0"/>
              <w:ind w:left="0" w:right="0" w:hanging="0"/>
              <w:rPr/>
            </w:pPr>
            <w:r>
              <w:rPr/>
              <w:t> </w:t>
            </w:r>
          </w:p>
        </w:tc>
        <w:tc>
          <w:tcPr>
            <w:tcW w:w="191" w:type="dxa"/>
            <w:tcBorders/>
            <w:shd w:fill="auto" w:val="clear"/>
            <w:vAlign w:val="bottom"/>
          </w:tcPr>
          <w:p>
            <w:pPr>
              <w:pStyle w:val="TableContents"/>
              <w:spacing w:before="0" w:after="0"/>
              <w:ind w:left="0" w:right="0" w:hanging="0"/>
              <w:jc w:val="center"/>
              <w:rPr/>
            </w:pPr>
            <w:r>
              <w:rPr/>
              <w:t> </w:t>
            </w:r>
          </w:p>
        </w:tc>
        <w:tc>
          <w:tcPr>
            <w:tcW w:w="105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Current</w:t>
            </w:r>
          </w:p>
        </w:tc>
        <w:tc>
          <w:tcPr>
            <w:tcW w:w="191"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Non-Current</w:t>
            </w:r>
          </w:p>
        </w:tc>
        <w:tc>
          <w:tcPr>
            <w:tcW w:w="191" w:type="dxa"/>
            <w:tcBorders/>
            <w:shd w:fill="auto" w:val="clear"/>
            <w:vAlign w:val="bottom"/>
          </w:tcPr>
          <w:p>
            <w:pPr>
              <w:pStyle w:val="TableContents"/>
              <w:spacing w:before="0" w:after="0"/>
              <w:ind w:left="0" w:right="0" w:hanging="0"/>
              <w:jc w:val="center"/>
              <w:rPr/>
            </w:pPr>
            <w:r>
              <w:rPr/>
              <w:t> </w:t>
            </w:r>
          </w:p>
        </w:tc>
        <w:tc>
          <w:tcPr>
            <w:tcW w:w="1053"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Current</w:t>
            </w:r>
          </w:p>
        </w:tc>
        <w:tc>
          <w:tcPr>
            <w:tcW w:w="192"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053"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Non-Current</w:t>
            </w:r>
          </w:p>
        </w:tc>
        <w:tc>
          <w:tcPr>
            <w:tcW w:w="96" w:type="dxa"/>
            <w:tcBorders/>
            <w:shd w:fill="auto" w:val="clear"/>
            <w:vAlign w:val="bottom"/>
          </w:tcPr>
          <w:p>
            <w:pPr>
              <w:pStyle w:val="TableContents"/>
              <w:spacing w:before="0" w:after="0"/>
              <w:ind w:left="0" w:right="0" w:hanging="0"/>
              <w:jc w:val="center"/>
              <w:rPr/>
            </w:pPr>
            <w:r>
              <w:rPr/>
              <w:t> </w:t>
            </w:r>
          </w:p>
        </w:tc>
      </w:tr>
      <w:tr>
        <w:trPr/>
        <w:tc>
          <w:tcPr>
            <w:tcW w:w="42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Financial assets</w:t>
            </w:r>
          </w:p>
        </w:tc>
        <w:tc>
          <w:tcPr>
            <w:tcW w:w="191" w:type="dxa"/>
            <w:tcBorders/>
            <w:shd w:fill="CCEEFF" w:val="clear"/>
            <w:vAlign w:val="bottom"/>
          </w:tcPr>
          <w:p>
            <w:pPr>
              <w:pStyle w:val="TableContents"/>
              <w:spacing w:before="0" w:after="0"/>
              <w:ind w:left="0" w:right="0" w:hanging="0"/>
              <w:rPr/>
            </w:pPr>
            <w:r>
              <w:rPr/>
              <w:t> </w:t>
            </w:r>
          </w:p>
        </w:tc>
        <w:tc>
          <w:tcPr>
            <w:tcW w:w="1054" w:type="dxa"/>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pPr>
            <w:r>
              <w:rPr/>
              <w:t> </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pPr>
            <w:r>
              <w:rPr/>
              <w:t> </w:t>
            </w:r>
          </w:p>
        </w:tc>
        <w:tc>
          <w:tcPr>
            <w:tcW w:w="192"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pPr>
            <w:r>
              <w:rPr/>
              <w:t> </w:t>
            </w:r>
          </w:p>
        </w:tc>
        <w:tc>
          <w:tcPr>
            <w:tcW w:w="96" w:type="dxa"/>
            <w:tcBorders/>
            <w:shd w:fill="CCEEFF" w:val="clear"/>
            <w:vAlign w:val="bottom"/>
          </w:tcPr>
          <w:p>
            <w:pPr>
              <w:pStyle w:val="TableContents"/>
              <w:spacing w:before="0" w:after="0"/>
              <w:ind w:left="0" w:right="0" w:hanging="0"/>
              <w:rPr/>
            </w:pPr>
            <w:r>
              <w:rPr/>
              <w:t> </w:t>
            </w:r>
          </w:p>
        </w:tc>
      </w:tr>
      <w:tr>
        <w:trPr/>
        <w:tc>
          <w:tcPr>
            <w:tcW w:w="42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Trade receivables</w:t>
            </w:r>
          </w:p>
        </w:tc>
        <w:tc>
          <w:tcPr>
            <w:tcW w:w="191" w:type="dxa"/>
            <w:tcBorders/>
            <w:shd w:fill="auto" w:val="clear"/>
            <w:vAlign w:val="bottom"/>
          </w:tcPr>
          <w:p>
            <w:pPr>
              <w:pStyle w:val="TableContents"/>
              <w:spacing w:before="0" w:after="0"/>
              <w:ind w:left="0" w:right="0" w:hanging="0"/>
              <w:rPr/>
            </w:pPr>
            <w:r>
              <w:rPr/>
              <w:t> </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200,860</w:t>
            </w:r>
          </w:p>
        </w:tc>
        <w:tc>
          <w:tcPr>
            <w:tcW w:w="191"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190,811</w:t>
            </w:r>
          </w:p>
        </w:tc>
        <w:tc>
          <w:tcPr>
            <w:tcW w:w="192"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96" w:type="dxa"/>
            <w:tcBorders/>
            <w:shd w:fill="auto" w:val="clear"/>
            <w:vAlign w:val="bottom"/>
          </w:tcPr>
          <w:p>
            <w:pPr>
              <w:pStyle w:val="TableContents"/>
              <w:spacing w:before="0" w:after="0"/>
              <w:ind w:left="0" w:right="0" w:hanging="0"/>
              <w:rPr/>
            </w:pPr>
            <w:r>
              <w:rPr/>
              <w:t> </w:t>
            </w:r>
          </w:p>
        </w:tc>
      </w:tr>
      <w:tr>
        <w:trPr/>
        <w:tc>
          <w:tcPr>
            <w:tcW w:w="42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Amounts receivable from joint venture partners</w:t>
            </w:r>
          </w:p>
        </w:tc>
        <w:tc>
          <w:tcPr>
            <w:tcW w:w="191" w:type="dxa"/>
            <w:tcBorders/>
            <w:shd w:fill="CCEEFF" w:val="clear"/>
            <w:vAlign w:val="bottom"/>
          </w:tcPr>
          <w:p>
            <w:pPr>
              <w:pStyle w:val="TableContents"/>
              <w:spacing w:before="0" w:after="0"/>
              <w:ind w:left="0" w:right="0" w:hanging="0"/>
              <w:rPr/>
            </w:pPr>
            <w:r>
              <w:rPr/>
              <w:t> </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21,554</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18,616</w:t>
            </w:r>
          </w:p>
        </w:tc>
        <w:tc>
          <w:tcPr>
            <w:tcW w:w="192"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r>
      <w:tr>
        <w:trPr/>
        <w:tc>
          <w:tcPr>
            <w:tcW w:w="421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receivables</w:t>
            </w:r>
          </w:p>
        </w:tc>
        <w:tc>
          <w:tcPr>
            <w:tcW w:w="191" w:type="dxa"/>
            <w:tcBorders/>
            <w:shd w:fill="auto" w:val="clear"/>
            <w:vAlign w:val="bottom"/>
          </w:tcPr>
          <w:p>
            <w:pPr>
              <w:pStyle w:val="TableContents"/>
              <w:spacing w:before="0" w:after="0"/>
              <w:ind w:left="0" w:right="0" w:hanging="0"/>
              <w:rPr/>
            </w:pPr>
            <w:r>
              <w:rPr/>
              <w:t> </w:t>
            </w:r>
          </w:p>
        </w:tc>
        <w:tc>
          <w:tcPr>
            <w:tcW w:w="1054"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w:t>
            </w:r>
          </w:p>
        </w:tc>
        <w:tc>
          <w:tcPr>
            <w:tcW w:w="191"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w:t>
            </w:r>
          </w:p>
        </w:tc>
        <w:tc>
          <w:tcPr>
            <w:tcW w:w="192" w:type="dxa"/>
            <w:tcBorders/>
            <w:shd w:fill="auto" w:val="clear"/>
            <w:vAlign w:val="bottom"/>
          </w:tcPr>
          <w:p>
            <w:pPr>
              <w:pStyle w:val="TableContents"/>
              <w:spacing w:before="0" w:after="0"/>
              <w:ind w:left="0" w:right="0" w:hanging="0"/>
              <w:rPr/>
            </w:pPr>
            <w:r>
              <w:rPr/>
              <w:t> </w:t>
            </w:r>
          </w:p>
        </w:tc>
        <w:tc>
          <w:tcPr>
            <w:tcW w:w="1053"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9,976</w:t>
            </w:r>
          </w:p>
        </w:tc>
        <w:tc>
          <w:tcPr>
            <w:tcW w:w="96" w:type="dxa"/>
            <w:tcBorders/>
            <w:shd w:fill="auto" w:val="clear"/>
            <w:vAlign w:val="bottom"/>
          </w:tcPr>
          <w:p>
            <w:pPr>
              <w:pStyle w:val="TableContents"/>
              <w:spacing w:before="0" w:after="0"/>
              <w:ind w:left="0" w:right="0" w:hanging="0"/>
              <w:rPr/>
            </w:pPr>
            <w:r>
              <w:rPr/>
              <w:t> </w:t>
            </w:r>
          </w:p>
        </w:tc>
      </w:tr>
      <w:tr>
        <w:trPr/>
        <w:tc>
          <w:tcPr>
            <w:tcW w:w="4212"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Related party receivables</w:t>
            </w:r>
          </w:p>
        </w:tc>
        <w:tc>
          <w:tcPr>
            <w:tcW w:w="191" w:type="dxa"/>
            <w:tcBorders/>
            <w:shd w:fill="CCEEFF" w:val="clear"/>
            <w:vAlign w:val="bottom"/>
          </w:tcPr>
          <w:p>
            <w:pPr>
              <w:pStyle w:val="TableContents"/>
              <w:spacing w:before="0" w:after="0"/>
              <w:ind w:left="0" w:right="0" w:hanging="0"/>
              <w:rPr/>
            </w:pPr>
            <w:r>
              <w:rPr/>
              <w:t> </w:t>
            </w:r>
          </w:p>
        </w:tc>
        <w:tc>
          <w:tcPr>
            <w:tcW w:w="1054"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143,013</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91"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76,492</w:t>
            </w:r>
          </w:p>
        </w:tc>
        <w:tc>
          <w:tcPr>
            <w:tcW w:w="192" w:type="dxa"/>
            <w:tcBorders/>
            <w:shd w:fill="CCEEFF" w:val="clear"/>
            <w:vAlign w:val="bottom"/>
          </w:tcPr>
          <w:p>
            <w:pPr>
              <w:pStyle w:val="TableContents"/>
              <w:spacing w:before="0" w:after="0"/>
              <w:ind w:left="0" w:right="0" w:hanging="0"/>
              <w:rPr/>
            </w:pPr>
            <w:r>
              <w:rPr/>
              <w:t> </w:t>
            </w:r>
          </w:p>
        </w:tc>
        <w:tc>
          <w:tcPr>
            <w:tcW w:w="1053"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9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Trade and other receivables are noninterest bearing. The receivable related to the 2007 pipeline sale (discussed in note 4  Disposals and Impairments) is included in other receivables above. These amounts are net of any allowances discussed in note 14  Valuation and Other Qualifying Accounts.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(14)</w:t>
      </w:r>
      <w:r>
        <w:rPr>
          <w:rFonts w:ascii="Times New Roman" w:hAnsi="Times New Roman"/>
        </w:rPr>
        <w:t xml:space="preserve">              </w:t>
      </w:r>
      <w:r>
        <w:rPr>
          <w:rFonts w:ascii="Times New Roman" w:hAnsi="Times New Roman"/>
          <w:b/>
          <w:sz w:val="17"/>
        </w:rPr>
        <w:t>Valuation and Other Qualifying Accounts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Valuation and qualifying accounts are deducted in the balance sheet from the assets to which they apply. For the 2011 year, no such balances exist.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(15)</w:t>
      </w:r>
      <w:r>
        <w:rPr>
          <w:rFonts w:ascii="Times New Roman" w:hAnsi="Times New Roman"/>
        </w:rPr>
        <w:t xml:space="preserve">              </w:t>
      </w:r>
      <w:r>
        <w:rPr>
          <w:rFonts w:ascii="Times New Roman" w:hAnsi="Times New Roman"/>
          <w:b/>
          <w:sz w:val="17"/>
        </w:rPr>
        <w:t>Trade and Other Payables</w:t>
      </w:r>
    </w:p>
    <w:p>
      <w:pPr>
        <w:pStyle w:val="TextBody"/>
        <w:spacing w:before="0" w:after="0"/>
        <w:ind w:left="0" w:right="0" w:hanging="0"/>
        <w:rPr/>
      </w:pPr>
      <w:r>
        <w:rPr/>
        <w:t> </w:t>
      </w:r>
    </w:p>
    <w:tbl>
      <w:tblPr>
        <w:tblW w:w="4700" w:type="pct"/>
        <w:jc w:val="left"/>
        <w:tblInd w:w="0" w:type="dxa"/>
        <w:tblCellMar>
          <w:top w:w="0" w:type="dxa"/>
          <w:left w:w="0" w:type="dxa"/>
          <w:bottom w:w="0" w:type="dxa"/>
          <w:right w:w="0" w:type="dxa"/>
        </w:tblCellMar>
      </w:tblPr>
      <w:tblGrid>
        <w:gridCol w:w="3776"/>
        <w:gridCol w:w="203"/>
        <w:gridCol w:w="1225"/>
        <w:gridCol w:w="204"/>
        <w:gridCol w:w="1225"/>
        <w:gridCol w:w="203"/>
        <w:gridCol w:w="1225"/>
        <w:gridCol w:w="204"/>
        <w:gridCol w:w="1225"/>
        <w:gridCol w:w="102"/>
      </w:tblGrid>
      <w:tr>
        <w:trPr/>
        <w:tc>
          <w:tcPr>
            <w:tcW w:w="377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5511" w:type="dxa"/>
            <w:gridSpan w:val="7"/>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102" w:type="dxa"/>
            <w:tcBorders/>
            <w:shd w:fill="auto" w:val="clear"/>
            <w:vAlign w:val="bottom"/>
          </w:tcPr>
          <w:p>
            <w:pPr>
              <w:pStyle w:val="TableContents"/>
              <w:spacing w:before="0" w:after="0"/>
              <w:ind w:left="0" w:right="0" w:hanging="0"/>
              <w:jc w:val="center"/>
              <w:rPr/>
            </w:pPr>
            <w:r>
              <w:rPr/>
              <w:t> </w:t>
            </w:r>
          </w:p>
        </w:tc>
      </w:tr>
      <w:tr>
        <w:trPr/>
        <w:tc>
          <w:tcPr>
            <w:tcW w:w="377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265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0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2654" w:type="dxa"/>
            <w:gridSpan w:val="3"/>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102" w:type="dxa"/>
            <w:tcBorders/>
            <w:shd w:fill="auto" w:val="clear"/>
            <w:vAlign w:val="bottom"/>
          </w:tcPr>
          <w:p>
            <w:pPr>
              <w:pStyle w:val="TableContents"/>
              <w:spacing w:before="0" w:after="0"/>
              <w:ind w:left="0" w:right="0" w:hanging="0"/>
              <w:jc w:val="center"/>
              <w:rPr/>
            </w:pPr>
            <w:r>
              <w:rPr/>
              <w:t> </w:t>
            </w:r>
          </w:p>
        </w:tc>
      </w:tr>
      <w:tr>
        <w:trPr/>
        <w:tc>
          <w:tcPr>
            <w:tcW w:w="3776" w:type="dxa"/>
            <w:tcBorders/>
            <w:shd w:fill="auto" w:val="clear"/>
            <w:vAlign w:val="bottom"/>
          </w:tcPr>
          <w:p>
            <w:pPr>
              <w:pStyle w:val="TableContents"/>
              <w:spacing w:before="0" w:after="0"/>
              <w:ind w:left="0" w:right="0" w:hanging="0"/>
              <w:rPr/>
            </w:pPr>
            <w:r>
              <w:rPr/>
              <w:t> </w:t>
            </w:r>
          </w:p>
        </w:tc>
        <w:tc>
          <w:tcPr>
            <w:tcW w:w="203" w:type="dxa"/>
            <w:tcBorders/>
            <w:shd w:fill="auto" w:val="clear"/>
            <w:vAlign w:val="bottom"/>
          </w:tcPr>
          <w:p>
            <w:pPr>
              <w:pStyle w:val="TableContents"/>
              <w:spacing w:before="0" w:after="0"/>
              <w:ind w:left="0" w:right="0" w:hanging="0"/>
              <w:jc w:val="center"/>
              <w:rPr/>
            </w:pPr>
            <w:r>
              <w:rPr/>
              <w:t> </w:t>
            </w:r>
          </w:p>
        </w:tc>
        <w:tc>
          <w:tcPr>
            <w:tcW w:w="12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Current</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Non-Current</w:t>
            </w:r>
          </w:p>
        </w:tc>
        <w:tc>
          <w:tcPr>
            <w:tcW w:w="203" w:type="dxa"/>
            <w:tcBorders/>
            <w:shd w:fill="auto" w:val="clear"/>
            <w:vAlign w:val="bottom"/>
          </w:tcPr>
          <w:p>
            <w:pPr>
              <w:pStyle w:val="TableContents"/>
              <w:spacing w:before="0" w:after="0"/>
              <w:ind w:left="0" w:right="0" w:hanging="0"/>
              <w:jc w:val="center"/>
              <w:rPr/>
            </w:pPr>
            <w:r>
              <w:rPr/>
              <w:t> </w:t>
            </w:r>
          </w:p>
        </w:tc>
        <w:tc>
          <w:tcPr>
            <w:tcW w:w="1225"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Current</w:t>
            </w:r>
          </w:p>
        </w:tc>
        <w:tc>
          <w:tcPr>
            <w:tcW w:w="204"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5"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Non-Current</w:t>
            </w:r>
          </w:p>
        </w:tc>
        <w:tc>
          <w:tcPr>
            <w:tcW w:w="102" w:type="dxa"/>
            <w:tcBorders/>
            <w:shd w:fill="auto" w:val="clear"/>
            <w:vAlign w:val="bottom"/>
          </w:tcPr>
          <w:p>
            <w:pPr>
              <w:pStyle w:val="TableContents"/>
              <w:spacing w:before="0" w:after="0"/>
              <w:ind w:left="0" w:right="0" w:hanging="0"/>
              <w:jc w:val="center"/>
              <w:rPr/>
            </w:pPr>
            <w:r>
              <w:rPr/>
              <w:t> </w:t>
            </w:r>
          </w:p>
        </w:tc>
      </w:tr>
      <w:tr>
        <w:trPr/>
        <w:tc>
          <w:tcPr>
            <w:tcW w:w="37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Financial liabilities</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pPr>
            <w:r>
              <w:rPr/>
              <w:t> </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pPr>
            <w:r>
              <w:rPr/>
              <w:t> </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pPr>
            <w:r>
              <w:rPr/>
              <w:t> </w:t>
            </w:r>
          </w:p>
        </w:tc>
        <w:tc>
          <w:tcPr>
            <w:tcW w:w="102" w:type="dxa"/>
            <w:tcBorders/>
            <w:shd w:fill="CCEEFF" w:val="clear"/>
            <w:vAlign w:val="bottom"/>
          </w:tcPr>
          <w:p>
            <w:pPr>
              <w:pStyle w:val="TableContents"/>
              <w:spacing w:before="0" w:after="0"/>
              <w:ind w:left="0" w:right="0" w:hanging="0"/>
              <w:rPr/>
            </w:pPr>
            <w:r>
              <w:rPr/>
              <w:t> </w:t>
            </w:r>
          </w:p>
        </w:tc>
      </w:tr>
      <w:tr>
        <w:trPr/>
        <w:tc>
          <w:tcPr>
            <w:tcW w:w="37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Trade payables</w:t>
            </w:r>
          </w:p>
        </w:tc>
        <w:tc>
          <w:tcPr>
            <w:tcW w:w="203"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287,208</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390,839</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auto" w:val="clear"/>
            <w:vAlign w:val="bottom"/>
          </w:tcPr>
          <w:p>
            <w:pPr>
              <w:pStyle w:val="TableContents"/>
              <w:spacing w:before="0" w:after="0"/>
              <w:ind w:left="0" w:right="0" w:hanging="0"/>
              <w:rPr/>
            </w:pPr>
            <w:r>
              <w:rPr/>
              <w:t> </w:t>
            </w:r>
          </w:p>
        </w:tc>
      </w:tr>
      <w:tr>
        <w:trPr/>
        <w:tc>
          <w:tcPr>
            <w:tcW w:w="37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Amounts payable to joint controlled entities</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1,048</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922</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r>
        <w:trPr/>
        <w:tc>
          <w:tcPr>
            <w:tcW w:w="377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 payables</w:t>
            </w:r>
          </w:p>
        </w:tc>
        <w:tc>
          <w:tcPr>
            <w:tcW w:w="203"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4,917</w:t>
            </w:r>
          </w:p>
        </w:tc>
        <w:tc>
          <w:tcPr>
            <w:tcW w:w="203"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10,000</w:t>
            </w:r>
          </w:p>
        </w:tc>
        <w:tc>
          <w:tcPr>
            <w:tcW w:w="204" w:type="dxa"/>
            <w:tcBorders/>
            <w:shd w:fill="auto" w:val="clear"/>
            <w:vAlign w:val="bottom"/>
          </w:tcPr>
          <w:p>
            <w:pPr>
              <w:pStyle w:val="TableContents"/>
              <w:spacing w:before="0" w:after="0"/>
              <w:ind w:left="0" w:right="0" w:hanging="0"/>
              <w:rPr/>
            </w:pPr>
            <w:r>
              <w:rPr/>
              <w:t> </w:t>
            </w:r>
          </w:p>
        </w:tc>
        <w:tc>
          <w:tcPr>
            <w:tcW w:w="1225"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15,246</w:t>
            </w:r>
          </w:p>
        </w:tc>
        <w:tc>
          <w:tcPr>
            <w:tcW w:w="102" w:type="dxa"/>
            <w:tcBorders/>
            <w:shd w:fill="auto" w:val="clear"/>
            <w:vAlign w:val="bottom"/>
          </w:tcPr>
          <w:p>
            <w:pPr>
              <w:pStyle w:val="TableContents"/>
              <w:spacing w:before="0" w:after="0"/>
              <w:ind w:left="0" w:right="0" w:hanging="0"/>
              <w:rPr/>
            </w:pPr>
            <w:r>
              <w:rPr/>
              <w:t> </w:t>
            </w:r>
          </w:p>
        </w:tc>
      </w:tr>
      <w:tr>
        <w:trPr/>
        <w:tc>
          <w:tcPr>
            <w:tcW w:w="377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Related party payables</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109,319</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203"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64,709</w:t>
            </w:r>
          </w:p>
        </w:tc>
        <w:tc>
          <w:tcPr>
            <w:tcW w:w="204" w:type="dxa"/>
            <w:tcBorders/>
            <w:shd w:fill="CCEEFF" w:val="clear"/>
            <w:vAlign w:val="bottom"/>
          </w:tcPr>
          <w:p>
            <w:pPr>
              <w:pStyle w:val="TableContents"/>
              <w:spacing w:before="0" w:after="0"/>
              <w:ind w:left="0" w:right="0" w:hanging="0"/>
              <w:rPr/>
            </w:pPr>
            <w:r>
              <w:rPr/>
              <w:t> </w:t>
            </w:r>
          </w:p>
        </w:tc>
        <w:tc>
          <w:tcPr>
            <w:tcW w:w="1225"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02"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payable related to the 2007 pipeline sale (discussed in Note 4  Disposals and Impairments) is included in the current portion of other payables above.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(16)</w:t>
      </w:r>
      <w:r>
        <w:rPr>
          <w:rFonts w:ascii="Times New Roman" w:hAnsi="Times New Roman"/>
        </w:rPr>
        <w:t xml:space="preserve">              </w:t>
      </w:r>
      <w:r>
        <w:rPr>
          <w:rFonts w:ascii="Times New Roman" w:hAnsi="Times New Roman"/>
          <w:b/>
          <w:sz w:val="17"/>
        </w:rPr>
        <w:t>Derivative Financial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conducting our business, we are exposed to certain risks related to fluctuations in commodity and energy prices. Our Parent enters into certain derivative contracts to manage these risks. While derivatives contracts entered into are intended to manage specific risks associated with the Business, they have not been designated as hedging instruments.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Changes in the fair value of these derivatives instruments are reflected in our statement of comprehensive income in accordance with SEC Staff Accounting Bulletin Topic 1B. However, as another affiliate of the Parent is our legal counterparty to the contracts, all market risk, credit risk, and liquidity risk are born by the Parent. Accordingly, the fair values of these derivative contracts are not included on our balance sheet.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50" w:name="PB_20_155448_7056"/>
      <w:bookmarkEnd w:id="50"/>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impact of the derivative financial instruments on the statement of comprehensive income is shown in the table below:</w:t>
      </w:r>
    </w:p>
    <w:p>
      <w:pPr>
        <w:pStyle w:val="TextBody"/>
        <w:spacing w:before="0" w:after="0"/>
        <w:ind w:left="0" w:right="0" w:hanging="0"/>
        <w:rPr/>
      </w:pPr>
      <w:r>
        <w:rPr/>
        <w:t> </w:t>
      </w:r>
    </w:p>
    <w:tbl>
      <w:tblPr>
        <w:tblW w:w="4050" w:type="pct"/>
        <w:jc w:val="left"/>
        <w:tblInd w:w="0" w:type="dxa"/>
        <w:tblCellMar>
          <w:top w:w="0" w:type="dxa"/>
          <w:left w:w="0" w:type="dxa"/>
          <w:bottom w:w="0" w:type="dxa"/>
          <w:right w:w="0" w:type="dxa"/>
        </w:tblCellMar>
      </w:tblPr>
      <w:tblGrid>
        <w:gridCol w:w="5314"/>
        <w:gridCol w:w="253"/>
        <w:gridCol w:w="1180"/>
        <w:gridCol w:w="253"/>
        <w:gridCol w:w="1181"/>
        <w:gridCol w:w="85"/>
      </w:tblGrid>
      <w:tr>
        <w:trPr/>
        <w:tc>
          <w:tcPr>
            <w:tcW w:w="5314"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jc w:val="center"/>
              <w:rPr/>
            </w:pPr>
            <w:r>
              <w:rPr/>
              <w:t> </w:t>
            </w:r>
          </w:p>
        </w:tc>
        <w:tc>
          <w:tcPr>
            <w:tcW w:w="2614" w:type="dxa"/>
            <w:gridSpan w:val="3"/>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85" w:type="dxa"/>
            <w:tcBorders/>
            <w:shd w:fill="auto" w:val="clear"/>
            <w:vAlign w:val="bottom"/>
          </w:tcPr>
          <w:p>
            <w:pPr>
              <w:pStyle w:val="TableContents"/>
              <w:spacing w:before="0" w:after="0"/>
              <w:ind w:left="0" w:right="0" w:hanging="0"/>
              <w:jc w:val="center"/>
              <w:rPr/>
            </w:pPr>
            <w:r>
              <w:rPr/>
              <w:t> </w:t>
            </w:r>
          </w:p>
        </w:tc>
      </w:tr>
      <w:tr>
        <w:trPr/>
        <w:tc>
          <w:tcPr>
            <w:tcW w:w="5314"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jc w:val="center"/>
              <w:rPr/>
            </w:pPr>
            <w:r>
              <w:rPr/>
              <w:t> </w:t>
            </w:r>
          </w:p>
        </w:tc>
        <w:tc>
          <w:tcPr>
            <w:tcW w:w="118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253"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181"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2010</w:t>
            </w:r>
          </w:p>
        </w:tc>
        <w:tc>
          <w:tcPr>
            <w:tcW w:w="85" w:type="dxa"/>
            <w:tcBorders/>
            <w:shd w:fill="auto" w:val="clear"/>
            <w:vAlign w:val="bottom"/>
          </w:tcPr>
          <w:p>
            <w:pPr>
              <w:pStyle w:val="TableContents"/>
              <w:spacing w:before="0" w:after="0"/>
              <w:ind w:left="0" w:right="0" w:hanging="0"/>
              <w:jc w:val="center"/>
              <w:rPr/>
            </w:pPr>
            <w:r>
              <w:rPr/>
              <w:t> </w:t>
            </w:r>
          </w:p>
        </w:tc>
      </w:tr>
      <w:tr>
        <w:trPr/>
        <w:tc>
          <w:tcPr>
            <w:tcW w:w="5314" w:type="dxa"/>
            <w:tcBorders/>
            <w:shd w:fill="auto" w:val="clear"/>
            <w:vAlign w:val="bottom"/>
          </w:tcPr>
          <w:p>
            <w:pPr>
              <w:pStyle w:val="TableContents"/>
              <w:spacing w:before="0" w:after="0"/>
              <w:ind w:left="0" w:right="0" w:hanging="0"/>
              <w:rPr/>
            </w:pPr>
            <w:r>
              <w:rPr/>
              <w:t> </w:t>
            </w:r>
          </w:p>
        </w:tc>
        <w:tc>
          <w:tcPr>
            <w:tcW w:w="253" w:type="dxa"/>
            <w:tcBorders/>
            <w:shd w:fill="auto" w:val="clear"/>
            <w:vAlign w:val="bottom"/>
          </w:tcPr>
          <w:p>
            <w:pPr>
              <w:pStyle w:val="TableContents"/>
              <w:spacing w:before="0" w:after="0"/>
              <w:ind w:left="0" w:right="0" w:hanging="0"/>
              <w:rPr/>
            </w:pPr>
            <w:r>
              <w:rPr/>
              <w:t> </w:t>
            </w:r>
          </w:p>
        </w:tc>
        <w:tc>
          <w:tcPr>
            <w:tcW w:w="1180" w:type="dxa"/>
            <w:tcBorders/>
            <w:shd w:fill="auto" w:val="clear"/>
            <w:vAlign w:val="bottom"/>
          </w:tcPr>
          <w:p>
            <w:pPr>
              <w:pStyle w:val="TableContents"/>
              <w:spacing w:before="0" w:after="0"/>
              <w:ind w:left="0" w:right="0" w:hanging="0"/>
              <w:jc w:val="right"/>
              <w:rPr/>
            </w:pPr>
            <w:r>
              <w:rPr/>
              <w:t> </w:t>
            </w:r>
          </w:p>
        </w:tc>
        <w:tc>
          <w:tcPr>
            <w:tcW w:w="253" w:type="dxa"/>
            <w:tcBorders/>
            <w:shd w:fill="auto" w:val="clear"/>
            <w:vAlign w:val="bottom"/>
          </w:tcPr>
          <w:p>
            <w:pPr>
              <w:pStyle w:val="TableContents"/>
              <w:spacing w:before="0" w:after="0"/>
              <w:ind w:left="0" w:right="0" w:hanging="0"/>
              <w:rPr/>
            </w:pPr>
            <w:r>
              <w:rPr/>
              <w:t> </w:t>
            </w:r>
          </w:p>
        </w:tc>
        <w:tc>
          <w:tcPr>
            <w:tcW w:w="1181" w:type="dxa"/>
            <w:tcBorders/>
            <w:shd w:fill="auto" w:val="clear"/>
            <w:vAlign w:val="bottom"/>
          </w:tcPr>
          <w:p>
            <w:pPr>
              <w:pStyle w:val="TableContents"/>
              <w:spacing w:before="0" w:after="0"/>
              <w:ind w:left="0" w:right="0" w:hanging="0"/>
              <w:jc w:val="right"/>
              <w:rPr/>
            </w:pPr>
            <w:r>
              <w:rPr/>
              <w:t> </w:t>
            </w:r>
          </w:p>
        </w:tc>
        <w:tc>
          <w:tcPr>
            <w:tcW w:w="85" w:type="dxa"/>
            <w:tcBorders/>
            <w:shd w:fill="auto" w:val="clear"/>
            <w:vAlign w:val="bottom"/>
          </w:tcPr>
          <w:p>
            <w:pPr>
              <w:pStyle w:val="TableContents"/>
              <w:spacing w:before="0" w:after="0"/>
              <w:ind w:left="0" w:right="0" w:hanging="0"/>
              <w:rPr/>
            </w:pPr>
            <w:r>
              <w:rPr/>
              <w:t> </w:t>
            </w:r>
          </w:p>
        </w:tc>
      </w:tr>
      <w:tr>
        <w:trPr/>
        <w:tc>
          <w:tcPr>
            <w:tcW w:w="53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Natural Gas Liquid Derivatives (gain) / loss</w:t>
            </w:r>
          </w:p>
        </w:tc>
        <w:tc>
          <w:tcPr>
            <w:tcW w:w="253" w:type="dxa"/>
            <w:tcBorders/>
            <w:shd w:fill="CCEEFF" w:val="clear"/>
            <w:vAlign w:val="bottom"/>
          </w:tcPr>
          <w:p>
            <w:pPr>
              <w:pStyle w:val="TableContents"/>
              <w:spacing w:before="0" w:after="0"/>
              <w:ind w:left="0" w:right="0" w:hanging="0"/>
              <w:rPr/>
            </w:pPr>
            <w:r>
              <w:rPr/>
              <w:t> </w:t>
            </w:r>
          </w:p>
        </w:tc>
        <w:tc>
          <w:tcPr>
            <w:tcW w:w="118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(327</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(25,600</w:t>
            </w:r>
          </w:p>
        </w:tc>
        <w:tc>
          <w:tcPr>
            <w:tcW w:w="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531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Power Derivatives (gain) / loss</w:t>
            </w:r>
          </w:p>
        </w:tc>
        <w:tc>
          <w:tcPr>
            <w:tcW w:w="253" w:type="dxa"/>
            <w:tcBorders/>
            <w:shd w:fill="auto" w:val="clear"/>
            <w:vAlign w:val="bottom"/>
          </w:tcPr>
          <w:p>
            <w:pPr>
              <w:pStyle w:val="TableContents"/>
              <w:spacing w:before="0" w:after="0"/>
              <w:ind w:left="0" w:right="0" w:hanging="0"/>
              <w:rPr/>
            </w:pPr>
            <w:r>
              <w:rPr/>
              <w:t> </w:t>
            </w:r>
          </w:p>
        </w:tc>
        <w:tc>
          <w:tcPr>
            <w:tcW w:w="1180"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(983</w:t>
            </w:r>
          </w:p>
        </w:tc>
        <w:tc>
          <w:tcPr>
            <w:tcW w:w="253"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1,534</w:t>
            </w:r>
          </w:p>
        </w:tc>
        <w:tc>
          <w:tcPr>
            <w:tcW w:w="85" w:type="dxa"/>
            <w:tcBorders/>
            <w:shd w:fill="auto" w:val="clear"/>
            <w:vAlign w:val="bottom"/>
          </w:tcPr>
          <w:p>
            <w:pPr>
              <w:pStyle w:val="TableContents"/>
              <w:spacing w:before="0" w:after="0"/>
              <w:ind w:left="0" w:right="0" w:hanging="0"/>
              <w:rPr/>
            </w:pPr>
            <w:r>
              <w:rPr/>
              <w:t> </w:t>
            </w:r>
          </w:p>
        </w:tc>
      </w:tr>
      <w:tr>
        <w:trPr/>
        <w:tc>
          <w:tcPr>
            <w:tcW w:w="5314"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Total</w:t>
            </w:r>
          </w:p>
        </w:tc>
        <w:tc>
          <w:tcPr>
            <w:tcW w:w="253" w:type="dxa"/>
            <w:tcBorders/>
            <w:shd w:fill="CCEEFF" w:val="clear"/>
            <w:vAlign w:val="bottom"/>
          </w:tcPr>
          <w:p>
            <w:pPr>
              <w:pStyle w:val="TableContents"/>
              <w:spacing w:before="0" w:after="0"/>
              <w:ind w:left="0" w:right="0" w:hanging="0"/>
              <w:rPr/>
            </w:pPr>
            <w:r>
              <w:rPr/>
              <w:t> </w:t>
            </w:r>
          </w:p>
        </w:tc>
        <w:tc>
          <w:tcPr>
            <w:tcW w:w="1180"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(1,310</w:t>
            </w:r>
          </w:p>
        </w:tc>
        <w:tc>
          <w:tcPr>
            <w:tcW w:w="253"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181"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(24,066</w:t>
            </w:r>
          </w:p>
        </w:tc>
        <w:tc>
          <w:tcPr>
            <w:tcW w:w="85" w:type="dxa"/>
            <w:tcBorders/>
            <w:shd w:fill="CCEEFF"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(17)</w:t>
      </w:r>
      <w:r>
        <w:rPr>
          <w:rFonts w:ascii="Times New Roman" w:hAnsi="Times New Roman"/>
        </w:rPr>
        <w:t xml:space="preserve">              </w:t>
      </w:r>
      <w:r>
        <w:rPr>
          <w:rFonts w:ascii="Times New Roman" w:hAnsi="Times New Roman"/>
          <w:b/>
          <w:sz w:val="17"/>
        </w:rPr>
        <w:t>Provisions</w:t>
      </w:r>
    </w:p>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1323"/>
        <w:gridCol w:w="3310"/>
        <w:gridCol w:w="188"/>
        <w:gridCol w:w="1229"/>
        <w:gridCol w:w="189"/>
        <w:gridCol w:w="1229"/>
        <w:gridCol w:w="188"/>
        <w:gridCol w:w="1229"/>
        <w:gridCol w:w="95"/>
      </w:tblGrid>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40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95" w:type="dxa"/>
            <w:tcBorders/>
            <w:shd w:fill="auto" w:val="clear"/>
            <w:vAlign w:val="bottom"/>
          </w:tcPr>
          <w:p>
            <w:pPr>
              <w:pStyle w:val="TableContents"/>
              <w:spacing w:before="0" w:after="0"/>
              <w:ind w:left="0" w:right="0" w:hanging="0"/>
              <w:jc w:val="center"/>
              <w:rPr/>
            </w:pPr>
            <w:r>
              <w:rPr/>
              <w:t> </w:t>
            </w:r>
          </w:p>
        </w:tc>
      </w:tr>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Decommissioning</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Environmental</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95" w:type="dxa"/>
            <w:tcBorders/>
            <w:shd w:fill="auto" w:val="clear"/>
            <w:vAlign w:val="bottom"/>
          </w:tcPr>
          <w:p>
            <w:pPr>
              <w:pStyle w:val="TableContents"/>
              <w:spacing w:before="0" w:after="0"/>
              <w:ind w:left="0" w:right="0" w:hanging="0"/>
              <w:jc w:val="center"/>
              <w:rPr/>
            </w:pPr>
            <w:r>
              <w:rPr/>
              <w:t> </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1 January 2011</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102,066</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5,853</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107,919</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adjustments</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(2,508</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(52</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(2,560</w:t>
            </w:r>
          </w:p>
        </w:tc>
        <w:tc>
          <w:tcPr>
            <w:tcW w:w="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New or increased provisions</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746</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556</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1,302</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Unwinding of discount</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1,836</w:t>
            </w:r>
          </w:p>
        </w:tc>
        <w:tc>
          <w:tcPr>
            <w:tcW w:w="189"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1,950</w:t>
            </w:r>
          </w:p>
        </w:tc>
        <w:tc>
          <w:tcPr>
            <w:tcW w:w="95" w:type="dxa"/>
            <w:tcBorders/>
            <w:shd w:fill="auto" w:val="clear"/>
            <w:vAlign w:val="bottom"/>
          </w:tcPr>
          <w:p>
            <w:pPr>
              <w:pStyle w:val="TableContents"/>
              <w:spacing w:before="0" w:after="0"/>
              <w:ind w:left="0" w:right="0" w:hanging="0"/>
              <w:rPr/>
            </w:pPr>
            <w:r>
              <w:rPr/>
              <w:t> </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 in discount rate</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20,916</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180</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21,096</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(2,114</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(431</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(2,545</w:t>
            </w:r>
          </w:p>
        </w:tc>
        <w:tc>
          <w:tcPr>
            <w:tcW w:w="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2011</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120,942</w:t>
            </w:r>
          </w:p>
        </w:tc>
        <w:tc>
          <w:tcPr>
            <w:tcW w:w="189"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6,220</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127,162</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95" w:type="dxa"/>
            <w:tcBorders/>
            <w:shd w:fill="auto" w:val="clear"/>
            <w:vAlign w:val="bottom"/>
          </w:tcPr>
          <w:p>
            <w:pPr>
              <w:pStyle w:val="TableContents"/>
              <w:spacing w:before="0" w:after="0"/>
              <w:ind w:left="0" w:right="0" w:hanging="0"/>
              <w:rPr/>
            </w:pPr>
            <w:r>
              <w:rPr/>
              <w:t> </w:t>
            </w:r>
          </w:p>
        </w:tc>
      </w:tr>
      <w:tr>
        <w:trPr/>
        <w:tc>
          <w:tcPr>
            <w:tcW w:w="13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Of which </w:t>
            </w:r>
          </w:p>
        </w:tc>
        <w:tc>
          <w:tcPr>
            <w:tcW w:w="33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1,538</w:t>
            </w:r>
          </w:p>
        </w:tc>
        <w:tc>
          <w:tcPr>
            <w:tcW w:w="95" w:type="dxa"/>
            <w:tcBorders/>
            <w:shd w:fill="CCEEFF" w:val="clear"/>
            <w:vAlign w:val="bottom"/>
          </w:tcPr>
          <w:p>
            <w:pPr>
              <w:pStyle w:val="TableContents"/>
              <w:spacing w:before="0" w:after="0"/>
              <w:ind w:left="0" w:right="0" w:hanging="0"/>
              <w:rPr/>
            </w:pPr>
            <w:r>
              <w:rPr/>
              <w:t> </w:t>
            </w:r>
          </w:p>
        </w:tc>
      </w:tr>
      <w:tr>
        <w:trPr/>
        <w:tc>
          <w:tcPr>
            <w:tcW w:w="1323" w:type="dxa"/>
            <w:tcBorders/>
            <w:shd w:fill="auto" w:val="clear"/>
          </w:tcPr>
          <w:p>
            <w:pPr>
              <w:pStyle w:val="TableContents"/>
              <w:spacing w:before="0" w:after="0"/>
              <w:ind w:left="0" w:right="0" w:hanging="0"/>
              <w:rPr/>
            </w:pPr>
            <w:r>
              <w:rPr/>
              <w:t> </w:t>
            </w:r>
          </w:p>
        </w:tc>
        <w:tc>
          <w:tcPr>
            <w:tcW w:w="3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-non-current</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120,942</w:t>
            </w:r>
          </w:p>
        </w:tc>
        <w:tc>
          <w:tcPr>
            <w:tcW w:w="189"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4,682</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125,624</w:t>
            </w:r>
          </w:p>
        </w:tc>
        <w:tc>
          <w:tcPr>
            <w:tcW w:w="95" w:type="dxa"/>
            <w:tcBorders>
              <w:bottom w:val="single" w:sz="8" w:space="0" w:color="000000"/>
            </w:tcBorders>
            <w:shd w:fill="auto" w:val="clear"/>
            <w:tcMar>
              <w:bottom w:w="28" w:type="dxa"/>
            </w:tcMar>
            <w:vAlign w:val="bottom"/>
          </w:tcPr>
          <w:p>
            <w:pPr>
              <w:pStyle w:val="TableContents"/>
              <w:spacing w:before="0" w:after="0"/>
              <w:ind w:left="0" w:right="0" w:hanging="0"/>
              <w:rPr/>
            </w:pPr>
            <w:r>
              <w:rPr/>
              <w:t> </w:t>
            </w:r>
          </w:p>
        </w:tc>
      </w:tr>
      <w:tr>
        <w:trPr/>
        <w:tc>
          <w:tcPr>
            <w:tcW w:w="4633" w:type="dxa"/>
            <w:gridSpan w:val="2"/>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120,942</w:t>
            </w:r>
          </w:p>
        </w:tc>
        <w:tc>
          <w:tcPr>
            <w:tcW w:w="189"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6,220</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127,162</w:t>
            </w:r>
          </w:p>
        </w:tc>
        <w:tc>
          <w:tcPr>
            <w:tcW w:w="9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tbl>
      <w:tblPr>
        <w:tblW w:w="4400" w:type="pct"/>
        <w:jc w:val="left"/>
        <w:tblInd w:w="0" w:type="dxa"/>
        <w:tblCellMar>
          <w:top w:w="0" w:type="dxa"/>
          <w:left w:w="0" w:type="dxa"/>
          <w:bottom w:w="0" w:type="dxa"/>
          <w:right w:w="0" w:type="dxa"/>
        </w:tblCellMar>
      </w:tblPr>
      <w:tblGrid>
        <w:gridCol w:w="1323"/>
        <w:gridCol w:w="3310"/>
        <w:gridCol w:w="188"/>
        <w:gridCol w:w="1229"/>
        <w:gridCol w:w="189"/>
        <w:gridCol w:w="1229"/>
        <w:gridCol w:w="188"/>
        <w:gridCol w:w="1229"/>
        <w:gridCol w:w="95"/>
      </w:tblGrid>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4064" w:type="dxa"/>
            <w:gridSpan w:val="5"/>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95" w:type="dxa"/>
            <w:tcBorders/>
            <w:shd w:fill="auto" w:val="clear"/>
            <w:vAlign w:val="bottom"/>
          </w:tcPr>
          <w:p>
            <w:pPr>
              <w:pStyle w:val="TableContents"/>
              <w:spacing w:before="0" w:after="0"/>
              <w:ind w:left="0" w:right="0" w:hanging="0"/>
              <w:jc w:val="center"/>
              <w:rPr/>
            </w:pPr>
            <w:r>
              <w:rPr/>
              <w:t> </w:t>
            </w:r>
          </w:p>
        </w:tc>
      </w:tr>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jc w:val="center"/>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Decommissioning</w:t>
            </w:r>
          </w:p>
        </w:tc>
        <w:tc>
          <w:tcPr>
            <w:tcW w:w="189"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Environmental</w:t>
            </w:r>
          </w:p>
        </w:tc>
        <w:tc>
          <w:tcPr>
            <w:tcW w:w="188" w:type="dxa"/>
            <w:tcBorders>
              <w:top w:val="single" w:sz="8" w:space="0" w:color="000000"/>
            </w:tcBorders>
            <w:shd w:fill="auto" w:val="clear"/>
            <w:tcMar>
              <w:top w:w="28" w:type="dxa"/>
            </w:tcMar>
            <w:vAlign w:val="bottom"/>
          </w:tcPr>
          <w:p>
            <w:pPr>
              <w:pStyle w:val="TableContents"/>
              <w:spacing w:before="0" w:after="0"/>
              <w:ind w:left="0" w:right="0" w:hanging="0"/>
              <w:jc w:val="center"/>
              <w:rPr/>
            </w:pPr>
            <w:r>
              <w:rPr/>
              <w:t> </w:t>
            </w:r>
          </w:p>
        </w:tc>
        <w:tc>
          <w:tcPr>
            <w:tcW w:w="1229" w:type="dxa"/>
            <w:tcBorders>
              <w:top w:val="single" w:sz="8" w:space="0" w:color="000000"/>
              <w:bottom w:val="single" w:sz="8"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Total</w:t>
            </w:r>
          </w:p>
        </w:tc>
        <w:tc>
          <w:tcPr>
            <w:tcW w:w="95" w:type="dxa"/>
            <w:tcBorders/>
            <w:shd w:fill="auto" w:val="clear"/>
            <w:vAlign w:val="bottom"/>
          </w:tcPr>
          <w:p>
            <w:pPr>
              <w:pStyle w:val="TableContents"/>
              <w:spacing w:before="0" w:after="0"/>
              <w:ind w:left="0" w:right="0" w:hanging="0"/>
              <w:jc w:val="center"/>
              <w:rPr/>
            </w:pPr>
            <w:r>
              <w:rPr/>
              <w:t> </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1 January 2010</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92,557</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2,184</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94,741</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adjustments</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3,415</w:t>
            </w:r>
          </w:p>
        </w:tc>
        <w:tc>
          <w:tcPr>
            <w:tcW w:w="189"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161</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3,576</w:t>
            </w:r>
          </w:p>
        </w:tc>
        <w:tc>
          <w:tcPr>
            <w:tcW w:w="95" w:type="dxa"/>
            <w:tcBorders/>
            <w:shd w:fill="auto" w:val="clear"/>
            <w:vAlign w:val="bottom"/>
          </w:tcPr>
          <w:p>
            <w:pPr>
              <w:pStyle w:val="TableContents"/>
              <w:spacing w:before="0" w:after="0"/>
              <w:ind w:left="0" w:right="0" w:hanging="0"/>
              <w:rPr/>
            </w:pPr>
            <w:r>
              <w:rPr/>
              <w:t> </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New or increased provisions</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3,868</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3,868</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Unwinding of discount</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1,653</w:t>
            </w:r>
          </w:p>
        </w:tc>
        <w:tc>
          <w:tcPr>
            <w:tcW w:w="189"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98</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1,751</w:t>
            </w:r>
          </w:p>
        </w:tc>
        <w:tc>
          <w:tcPr>
            <w:tcW w:w="95" w:type="dxa"/>
            <w:tcBorders/>
            <w:shd w:fill="auto" w:val="clear"/>
            <w:vAlign w:val="bottom"/>
          </w:tcPr>
          <w:p>
            <w:pPr>
              <w:pStyle w:val="TableContents"/>
              <w:spacing w:before="0" w:after="0"/>
              <w:ind w:left="0" w:right="0" w:hanging="0"/>
              <w:rPr/>
            </w:pPr>
            <w:r>
              <w:rPr/>
              <w:t> </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Change in discount rate</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4,800</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25</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4,825</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Other</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(359</w:t>
            </w:r>
          </w:p>
        </w:tc>
        <w:tc>
          <w:tcPr>
            <w:tcW w:w="189"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(483</w:t>
            </w:r>
          </w:p>
        </w:tc>
        <w:tc>
          <w:tcPr>
            <w:tcW w:w="188"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(842</w:t>
            </w:r>
          </w:p>
        </w:tc>
        <w:tc>
          <w:tcPr>
            <w:tcW w:w="95" w:type="dxa"/>
            <w:tcBorders/>
            <w:shd w:fill="auto" w:val="clear"/>
            <w:vAlign w:val="bottom"/>
          </w:tcPr>
          <w:p>
            <w:pPr>
              <w:pStyle w:val="TableContents"/>
              <w:spacing w:before="0" w:after="0"/>
              <w:ind w:left="0" w:right="0" w:hanging="0"/>
              <w:rPr>
                <w:rFonts w:ascii="Times New Roman" w:hAnsi="Times New Roman"/>
                <w:sz w:val="17"/>
              </w:rPr>
            </w:pPr>
            <w:r>
              <w:rPr>
                <w:rFonts w:ascii="Times New Roman" w:hAnsi="Times New Roman"/>
                <w:sz w:val="17"/>
              </w:rPr>
              <w:t>)</w:t>
            </w:r>
          </w:p>
        </w:tc>
      </w:tr>
      <w:tr>
        <w:trPr/>
        <w:tc>
          <w:tcPr>
            <w:tcW w:w="4633" w:type="dxa"/>
            <w:gridSpan w:val="2"/>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At 31 December 2010</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102,066</w:t>
            </w:r>
          </w:p>
        </w:tc>
        <w:tc>
          <w:tcPr>
            <w:tcW w:w="189"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5,853</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single" w:sz="8"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107,919</w:t>
            </w:r>
          </w:p>
        </w:tc>
        <w:tc>
          <w:tcPr>
            <w:tcW w:w="95" w:type="dxa"/>
            <w:tcBorders/>
            <w:shd w:fill="CCEEFF" w:val="clear"/>
            <w:vAlign w:val="bottom"/>
          </w:tcPr>
          <w:p>
            <w:pPr>
              <w:pStyle w:val="TableContents"/>
              <w:spacing w:before="0" w:after="0"/>
              <w:ind w:left="0" w:right="0" w:hanging="0"/>
              <w:rPr/>
            </w:pPr>
            <w:r>
              <w:rPr/>
              <w:t> </w:t>
            </w:r>
          </w:p>
        </w:tc>
      </w:tr>
      <w:tr>
        <w:trPr/>
        <w:tc>
          <w:tcPr>
            <w:tcW w:w="4633" w:type="dxa"/>
            <w:gridSpan w:val="2"/>
            <w:tcBorders/>
            <w:shd w:fill="auto" w:val="clear"/>
            <w:vAlign w:val="bottom"/>
          </w:tcPr>
          <w:p>
            <w:pPr>
              <w:pStyle w:val="TableContents"/>
              <w:spacing w:before="0" w:after="0"/>
              <w:ind w:left="0" w:right="0" w:hanging="0"/>
              <w:rPr/>
            </w:pPr>
            <w:r>
              <w:rPr/>
              <w:t> </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189"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188" w:type="dxa"/>
            <w:tcBorders/>
            <w:shd w:fill="auto" w:val="clear"/>
            <w:vAlign w:val="bottom"/>
          </w:tcPr>
          <w:p>
            <w:pPr>
              <w:pStyle w:val="TableContents"/>
              <w:spacing w:before="0" w:after="0"/>
              <w:ind w:left="0" w:right="0" w:hanging="0"/>
              <w:rPr/>
            </w:pPr>
            <w:r>
              <w:rPr/>
              <w:t> </w:t>
            </w:r>
          </w:p>
        </w:tc>
        <w:tc>
          <w:tcPr>
            <w:tcW w:w="1229" w:type="dxa"/>
            <w:tcBorders/>
            <w:shd w:fill="auto" w:val="clear"/>
            <w:vAlign w:val="bottom"/>
          </w:tcPr>
          <w:p>
            <w:pPr>
              <w:pStyle w:val="TableContents"/>
              <w:spacing w:before="0" w:after="0"/>
              <w:ind w:left="0" w:right="0" w:hanging="0"/>
              <w:jc w:val="right"/>
              <w:rPr/>
            </w:pPr>
            <w:r>
              <w:rPr/>
              <w:t> </w:t>
            </w:r>
          </w:p>
        </w:tc>
        <w:tc>
          <w:tcPr>
            <w:tcW w:w="95" w:type="dxa"/>
            <w:tcBorders/>
            <w:shd w:fill="auto" w:val="clear"/>
            <w:vAlign w:val="bottom"/>
          </w:tcPr>
          <w:p>
            <w:pPr>
              <w:pStyle w:val="TableContents"/>
              <w:spacing w:before="0" w:after="0"/>
              <w:ind w:left="0" w:right="0" w:hanging="0"/>
              <w:rPr/>
            </w:pPr>
            <w:r>
              <w:rPr/>
              <w:t> </w:t>
            </w:r>
          </w:p>
        </w:tc>
      </w:tr>
      <w:tr>
        <w:trPr/>
        <w:tc>
          <w:tcPr>
            <w:tcW w:w="1323"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 xml:space="preserve">Of which </w:t>
            </w:r>
          </w:p>
        </w:tc>
        <w:tc>
          <w:tcPr>
            <w:tcW w:w="3310"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-current</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50</w:t>
            </w:r>
          </w:p>
        </w:tc>
        <w:tc>
          <w:tcPr>
            <w:tcW w:w="189"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1,383</w:t>
            </w:r>
          </w:p>
        </w:tc>
        <w:tc>
          <w:tcPr>
            <w:tcW w:w="188" w:type="dxa"/>
            <w:tcBorders/>
            <w:shd w:fill="CCEEFF" w:val="clear"/>
            <w:vAlign w:val="bottom"/>
          </w:tcPr>
          <w:p>
            <w:pPr>
              <w:pStyle w:val="TableContents"/>
              <w:spacing w:before="0" w:after="0"/>
              <w:ind w:left="0" w:right="0" w:hanging="0"/>
              <w:rPr/>
            </w:pPr>
            <w:r>
              <w:rPr/>
              <w:t> </w:t>
            </w:r>
          </w:p>
        </w:tc>
        <w:tc>
          <w:tcPr>
            <w:tcW w:w="1229"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1,433</w:t>
            </w:r>
          </w:p>
        </w:tc>
        <w:tc>
          <w:tcPr>
            <w:tcW w:w="95" w:type="dxa"/>
            <w:tcBorders/>
            <w:shd w:fill="CCEEFF" w:val="clear"/>
            <w:vAlign w:val="bottom"/>
          </w:tcPr>
          <w:p>
            <w:pPr>
              <w:pStyle w:val="TableContents"/>
              <w:spacing w:before="0" w:after="0"/>
              <w:ind w:left="0" w:right="0" w:hanging="0"/>
              <w:rPr/>
            </w:pPr>
            <w:r>
              <w:rPr/>
              <w:t> </w:t>
            </w:r>
          </w:p>
        </w:tc>
      </w:tr>
      <w:tr>
        <w:trPr/>
        <w:tc>
          <w:tcPr>
            <w:tcW w:w="1323" w:type="dxa"/>
            <w:tcBorders/>
            <w:shd w:fill="auto" w:val="clear"/>
          </w:tcPr>
          <w:p>
            <w:pPr>
              <w:pStyle w:val="TableContents"/>
              <w:spacing w:before="0" w:after="0"/>
              <w:ind w:left="0" w:right="0" w:hanging="0"/>
              <w:rPr/>
            </w:pPr>
            <w:r>
              <w:rPr/>
              <w:t> </w:t>
            </w:r>
          </w:p>
        </w:tc>
        <w:tc>
          <w:tcPr>
            <w:tcW w:w="331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-non-current</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102,016</w:t>
            </w:r>
          </w:p>
        </w:tc>
        <w:tc>
          <w:tcPr>
            <w:tcW w:w="189"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4,470</w:t>
            </w:r>
          </w:p>
        </w:tc>
        <w:tc>
          <w:tcPr>
            <w:tcW w:w="188" w:type="dxa"/>
            <w:tcBorders/>
            <w:shd w:fill="auto" w:val="clear"/>
            <w:vAlign w:val="bottom"/>
          </w:tcPr>
          <w:p>
            <w:pPr>
              <w:pStyle w:val="TableContents"/>
              <w:spacing w:before="0" w:after="0"/>
              <w:ind w:left="0" w:right="0" w:hanging="0"/>
              <w:rPr/>
            </w:pPr>
            <w:r>
              <w:rPr/>
              <w:t> </w:t>
            </w:r>
          </w:p>
        </w:tc>
        <w:tc>
          <w:tcPr>
            <w:tcW w:w="1229" w:type="dxa"/>
            <w:tcBorders>
              <w:bottom w:val="single" w:sz="8" w:space="0" w:color="000000"/>
            </w:tcBorders>
            <w:shd w:fill="auto"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106,486</w:t>
            </w:r>
          </w:p>
        </w:tc>
        <w:tc>
          <w:tcPr>
            <w:tcW w:w="95" w:type="dxa"/>
            <w:tcBorders/>
            <w:shd w:fill="auto" w:val="clear"/>
            <w:vAlign w:val="bottom"/>
          </w:tcPr>
          <w:p>
            <w:pPr>
              <w:pStyle w:val="TableContents"/>
              <w:spacing w:before="0" w:after="0"/>
              <w:ind w:left="0" w:right="0" w:hanging="0"/>
              <w:rPr/>
            </w:pPr>
            <w:r>
              <w:rPr/>
              <w:t> </w:t>
            </w:r>
          </w:p>
        </w:tc>
      </w:tr>
      <w:tr>
        <w:trPr/>
        <w:tc>
          <w:tcPr>
            <w:tcW w:w="4633" w:type="dxa"/>
            <w:gridSpan w:val="2"/>
            <w:tcBorders/>
            <w:shd w:fill="CCEEFF" w:val="clear"/>
            <w:vAlign w:val="bottom"/>
          </w:tcPr>
          <w:p>
            <w:pPr>
              <w:pStyle w:val="TableContents"/>
              <w:spacing w:before="0" w:after="0"/>
              <w:ind w:left="0" w:right="0" w:hanging="0"/>
              <w:rPr/>
            </w:pPr>
            <w:r>
              <w:rPr/>
              <w:t> </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102,066</w:t>
            </w:r>
          </w:p>
        </w:tc>
        <w:tc>
          <w:tcPr>
            <w:tcW w:w="189"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5,853</w:t>
            </w:r>
          </w:p>
        </w:tc>
        <w:tc>
          <w:tcPr>
            <w:tcW w:w="188" w:type="dxa"/>
            <w:tcBorders/>
            <w:shd w:fill="CCEEFF" w:val="clear"/>
            <w:vAlign w:val="bottom"/>
          </w:tcPr>
          <w:p>
            <w:pPr>
              <w:pStyle w:val="TableContents"/>
              <w:spacing w:before="0" w:after="0"/>
              <w:ind w:left="0" w:right="0" w:hanging="0"/>
              <w:rPr/>
            </w:pPr>
            <w:r>
              <w:rPr/>
              <w:t> </w:t>
            </w:r>
          </w:p>
        </w:tc>
        <w:tc>
          <w:tcPr>
            <w:tcW w:w="1229" w:type="dxa"/>
            <w:tcBorders>
              <w:bottom w:val="double" w:sz="6" w:space="0" w:color="000000"/>
            </w:tcBorders>
            <w:shd w:fill="CCEEFF" w:val="clear"/>
            <w:tcMar>
              <w:bottom w:w="28" w:type="dxa"/>
            </w:tcM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107,919</w:t>
            </w:r>
          </w:p>
        </w:tc>
        <w:tc>
          <w:tcPr>
            <w:tcW w:w="95"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51" w:name="PB_21_160115_5335"/>
      <w:bookmarkEnd w:id="51"/>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Argyle makes full provision for the future cost of decommissioning facilities and pipelines on a discounted basis at the installation of those facilities. The provision for the costs of decommissioning those facilities and pipelines at the end of the economic lives has been estimated using existing technology, at current prices or future assumptions, depending on the expected timing of the activity, and discounted using a discount rate of 0.5% at December 31, 2011 and 1.5% at December 31, 2010. These costs are generally expected to be incurred over the next 30 years. While the provision is based on the best estimate of future costs and the economic lives of the facilities and pipelines, there is uncertainty regarding both the amount and timing of these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Provisions for environmental remediation are made when a clean-up is probable and the amount of the obligation can be reliably estimated. Generally, this coincides with commitment to a formal plan of action or, if earlier, on divestment or on closure of inactive sites. The provision for environmental liabilities has been estimated using current technology at current prices and discounted using a real discount rate of 0.5% at December 31, 2011 and 1.5% at December 31, 2010. The majority of these costs are expected to be incurred over the next 10 years. The extent and cost of future remediation programs are inherently difficult to estimate, they depend on the scale of any possible contamination, the timing and extent of corrective actions, and also our share of the liability.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(18)</w:t>
      </w:r>
      <w:r>
        <w:rPr>
          <w:rFonts w:ascii="Times New Roman" w:hAnsi="Times New Roman"/>
        </w:rPr>
        <w:t xml:space="preserve">              </w:t>
      </w:r>
      <w:r>
        <w:rPr>
          <w:rFonts w:ascii="Times New Roman" w:hAnsi="Times New Roman"/>
          <w:b/>
          <w:sz w:val="17"/>
        </w:rPr>
        <w:t>Contingencies and Commitments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normal course of business, Argyle enters into commitments for product purchases from suppliers. There is one set-volume contract existing at December 31, 2011, for C3 product, with the commitment extending to March 2019. Amounts due under the contract at forecasted prices are shown in the table below:</w:t>
      </w:r>
    </w:p>
    <w:p>
      <w:pPr>
        <w:pStyle w:val="TextBody"/>
        <w:spacing w:before="0" w:after="0"/>
        <w:ind w:left="0" w:right="0" w:hanging="0"/>
        <w:rPr/>
      </w:pPr>
      <w:r>
        <w:rPr/>
        <w:t> </w:t>
      </w:r>
    </w:p>
    <w:tbl>
      <w:tblPr>
        <w:tblW w:w="3200" w:type="pct"/>
        <w:jc w:val="left"/>
        <w:tblInd w:w="0" w:type="dxa"/>
        <w:tblCellMar>
          <w:top w:w="0" w:type="dxa"/>
          <w:left w:w="0" w:type="dxa"/>
          <w:bottom w:w="0" w:type="dxa"/>
          <w:right w:w="0" w:type="dxa"/>
        </w:tblCellMar>
      </w:tblPr>
      <w:tblGrid>
        <w:gridCol w:w="5066"/>
        <w:gridCol w:w="199"/>
        <w:gridCol w:w="1200"/>
        <w:gridCol w:w="66"/>
      </w:tblGrid>
      <w:tr>
        <w:trPr/>
        <w:tc>
          <w:tcPr>
            <w:tcW w:w="5066"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0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 thousand</w:t>
            </w:r>
          </w:p>
        </w:tc>
        <w:tc>
          <w:tcPr>
            <w:tcW w:w="66" w:type="dxa"/>
            <w:tcBorders/>
            <w:shd w:fill="auto" w:val="clear"/>
            <w:vAlign w:val="bottom"/>
          </w:tcPr>
          <w:p>
            <w:pPr>
              <w:pStyle w:val="TableContents"/>
              <w:spacing w:before="0" w:after="0"/>
              <w:ind w:left="0" w:right="0" w:hanging="0"/>
              <w:jc w:val="center"/>
              <w:rPr/>
            </w:pPr>
            <w:r>
              <w:rPr/>
              <w:t> </w:t>
            </w:r>
          </w:p>
        </w:tc>
      </w:tr>
      <w:tr>
        <w:trPr/>
        <w:tc>
          <w:tcPr>
            <w:tcW w:w="5066" w:type="dxa"/>
            <w:tcBorders/>
            <w:shd w:fill="auto" w:val="clear"/>
            <w:vAlign w:val="bottom"/>
          </w:tcPr>
          <w:p>
            <w:pPr>
              <w:pStyle w:val="TableContents"/>
              <w:spacing w:before="0" w:after="0"/>
              <w:ind w:left="0" w:right="0" w:hanging="0"/>
              <w:rPr/>
            </w:pPr>
            <w:r>
              <w:rPr/>
              <w:t> </w:t>
            </w:r>
          </w:p>
        </w:tc>
        <w:tc>
          <w:tcPr>
            <w:tcW w:w="199" w:type="dxa"/>
            <w:tcBorders/>
            <w:shd w:fill="auto" w:val="clear"/>
            <w:vAlign w:val="bottom"/>
          </w:tcPr>
          <w:p>
            <w:pPr>
              <w:pStyle w:val="TableContents"/>
              <w:spacing w:before="0" w:after="0"/>
              <w:ind w:left="0" w:right="0" w:hanging="0"/>
              <w:jc w:val="center"/>
              <w:rPr/>
            </w:pPr>
            <w:r>
              <w:rPr/>
              <w:t> </w:t>
            </w:r>
          </w:p>
        </w:tc>
        <w:tc>
          <w:tcPr>
            <w:tcW w:w="1200"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2011</w:t>
            </w:r>
          </w:p>
        </w:tc>
        <w:tc>
          <w:tcPr>
            <w:tcW w:w="66" w:type="dxa"/>
            <w:tcBorders/>
            <w:shd w:fill="auto" w:val="clear"/>
            <w:vAlign w:val="bottom"/>
          </w:tcPr>
          <w:p>
            <w:pPr>
              <w:pStyle w:val="TableContents"/>
              <w:spacing w:before="0" w:after="0"/>
              <w:ind w:left="0" w:right="0" w:hanging="0"/>
              <w:jc w:val="center"/>
              <w:rPr/>
            </w:pPr>
            <w:r>
              <w:rPr/>
              <w:t> </w:t>
            </w:r>
          </w:p>
        </w:tc>
      </w:tr>
      <w:tr>
        <w:trPr/>
        <w:tc>
          <w:tcPr>
            <w:tcW w:w="50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Amounts due under the contract;</w:t>
            </w:r>
          </w:p>
        </w:tc>
        <w:tc>
          <w:tcPr>
            <w:tcW w:w="199" w:type="dxa"/>
            <w:tcBorders/>
            <w:shd w:fill="CCEEFF" w:val="clear"/>
            <w:vAlign w:val="bottom"/>
          </w:tcPr>
          <w:p>
            <w:pPr>
              <w:pStyle w:val="TableContents"/>
              <w:spacing w:before="0" w:after="0"/>
              <w:ind w:left="0" w:right="0" w:hanging="0"/>
              <w:rPr/>
            </w:pPr>
            <w:r>
              <w:rPr/>
              <w:t> </w:t>
            </w:r>
          </w:p>
        </w:tc>
        <w:tc>
          <w:tcPr>
            <w:tcW w:w="1200" w:type="dxa"/>
            <w:tcBorders/>
            <w:shd w:fill="CCEEFF" w:val="clear"/>
            <w:vAlign w:val="bottom"/>
          </w:tcPr>
          <w:p>
            <w:pPr>
              <w:pStyle w:val="TableContents"/>
              <w:spacing w:before="0" w:after="0"/>
              <w:ind w:left="0" w:right="0" w:hanging="0"/>
              <w:jc w:val="right"/>
              <w:rPr/>
            </w:pPr>
            <w:r>
              <w:rPr/>
              <w:t> </w:t>
            </w:r>
          </w:p>
        </w:tc>
        <w:tc>
          <w:tcPr>
            <w:tcW w:w="66" w:type="dxa"/>
            <w:tcBorders/>
            <w:shd w:fill="CCEEFF" w:val="clear"/>
            <w:vAlign w:val="bottom"/>
          </w:tcPr>
          <w:p>
            <w:pPr>
              <w:pStyle w:val="TableContents"/>
              <w:spacing w:before="0" w:after="0"/>
              <w:ind w:left="0" w:right="0" w:hanging="0"/>
              <w:rPr/>
            </w:pPr>
            <w:r>
              <w:rPr/>
              <w:t> </w:t>
            </w:r>
          </w:p>
        </w:tc>
      </w:tr>
      <w:tr>
        <w:trPr/>
        <w:tc>
          <w:tcPr>
            <w:tcW w:w="50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Payable within</w:t>
            </w:r>
          </w:p>
        </w:tc>
        <w:tc>
          <w:tcPr>
            <w:tcW w:w="199" w:type="dxa"/>
            <w:tcBorders/>
            <w:shd w:fill="auto" w:val="clear"/>
            <w:vAlign w:val="bottom"/>
          </w:tcPr>
          <w:p>
            <w:pPr>
              <w:pStyle w:val="TableContents"/>
              <w:spacing w:before="0" w:after="0"/>
              <w:ind w:left="0" w:right="0" w:hanging="0"/>
              <w:rPr/>
            </w:pPr>
            <w:r>
              <w:rPr/>
              <w:t> </w:t>
            </w:r>
          </w:p>
        </w:tc>
        <w:tc>
          <w:tcPr>
            <w:tcW w:w="1200" w:type="dxa"/>
            <w:tcBorders/>
            <w:shd w:fill="auto" w:val="clear"/>
            <w:vAlign w:val="bottom"/>
          </w:tcPr>
          <w:p>
            <w:pPr>
              <w:pStyle w:val="TableContents"/>
              <w:spacing w:before="0" w:after="0"/>
              <w:ind w:left="0" w:right="0" w:hanging="0"/>
              <w:jc w:val="right"/>
              <w:rPr/>
            </w:pPr>
            <w:r>
              <w:rPr/>
              <w:t> </w:t>
            </w:r>
          </w:p>
        </w:tc>
        <w:tc>
          <w:tcPr>
            <w:tcW w:w="66" w:type="dxa"/>
            <w:tcBorders/>
            <w:shd w:fill="auto" w:val="clear"/>
            <w:vAlign w:val="bottom"/>
          </w:tcPr>
          <w:p>
            <w:pPr>
              <w:pStyle w:val="TableContents"/>
              <w:spacing w:before="0" w:after="0"/>
              <w:ind w:left="0" w:right="0" w:hanging="0"/>
              <w:rPr/>
            </w:pPr>
            <w:r>
              <w:rPr/>
              <w:t> </w:t>
            </w:r>
          </w:p>
        </w:tc>
      </w:tr>
      <w:tr>
        <w:trPr/>
        <w:tc>
          <w:tcPr>
            <w:tcW w:w="50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1 year</w:t>
            </w:r>
          </w:p>
        </w:tc>
        <w:tc>
          <w:tcPr>
            <w:tcW w:w="199" w:type="dxa"/>
            <w:tcBorders/>
            <w:shd w:fill="CCEEFF" w:val="clear"/>
            <w:vAlign w:val="bottom"/>
          </w:tcPr>
          <w:p>
            <w:pPr>
              <w:pStyle w:val="TableContents"/>
              <w:spacing w:before="0" w:after="0"/>
              <w:ind w:left="0" w:right="0" w:hanging="0"/>
              <w:rPr/>
            </w:pPr>
            <w:r>
              <w:rPr/>
              <w:t> </w:t>
            </w:r>
          </w:p>
        </w:tc>
        <w:tc>
          <w:tcPr>
            <w:tcW w:w="12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114,405</w:t>
            </w:r>
          </w:p>
        </w:tc>
        <w:tc>
          <w:tcPr>
            <w:tcW w:w="66" w:type="dxa"/>
            <w:tcBorders/>
            <w:shd w:fill="CCEEFF" w:val="clear"/>
            <w:vAlign w:val="bottom"/>
          </w:tcPr>
          <w:p>
            <w:pPr>
              <w:pStyle w:val="TableContents"/>
              <w:spacing w:before="0" w:after="0"/>
              <w:ind w:left="0" w:right="0" w:hanging="0"/>
              <w:rPr/>
            </w:pPr>
            <w:r>
              <w:rPr/>
              <w:t> </w:t>
            </w:r>
          </w:p>
        </w:tc>
      </w:tr>
      <w:tr>
        <w:trPr/>
        <w:tc>
          <w:tcPr>
            <w:tcW w:w="5066"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 to 5 years</w:t>
            </w:r>
          </w:p>
        </w:tc>
        <w:tc>
          <w:tcPr>
            <w:tcW w:w="199" w:type="dxa"/>
            <w:tcBorders/>
            <w:shd w:fill="auto" w:val="clear"/>
            <w:vAlign w:val="bottom"/>
          </w:tcPr>
          <w:p>
            <w:pPr>
              <w:pStyle w:val="TableContents"/>
              <w:spacing w:before="0" w:after="0"/>
              <w:ind w:left="0" w:right="0" w:hanging="0"/>
              <w:rPr/>
            </w:pPr>
            <w:r>
              <w:rPr/>
              <w:t> </w:t>
            </w:r>
          </w:p>
        </w:tc>
        <w:tc>
          <w:tcPr>
            <w:tcW w:w="120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422,784</w:t>
            </w:r>
          </w:p>
        </w:tc>
        <w:tc>
          <w:tcPr>
            <w:tcW w:w="66" w:type="dxa"/>
            <w:tcBorders/>
            <w:shd w:fill="auto" w:val="clear"/>
            <w:vAlign w:val="bottom"/>
          </w:tcPr>
          <w:p>
            <w:pPr>
              <w:pStyle w:val="TableContents"/>
              <w:spacing w:before="0" w:after="0"/>
              <w:ind w:left="0" w:right="0" w:hanging="0"/>
              <w:rPr/>
            </w:pPr>
            <w:r>
              <w:rPr/>
              <w:t> </w:t>
            </w:r>
          </w:p>
        </w:tc>
      </w:tr>
      <w:tr>
        <w:trPr/>
        <w:tc>
          <w:tcPr>
            <w:tcW w:w="5066" w:type="dxa"/>
            <w:tcBorders/>
            <w:shd w:fill="CCEEFF" w:val="clear"/>
          </w:tcPr>
          <w:p>
            <w:pPr>
              <w:pStyle w:val="TableContents"/>
              <w:spacing w:before="0" w:after="0"/>
              <w:ind w:left="0" w:right="0" w:hanging="0"/>
              <w:rPr>
                <w:rFonts w:ascii="Times New Roman" w:hAnsi="Times New Roman"/>
                <w:sz w:val="17"/>
              </w:rPr>
            </w:pPr>
            <w:r>
              <w:rPr>
                <w:rFonts w:ascii="Times New Roman" w:hAnsi="Times New Roman"/>
                <w:sz w:val="17"/>
              </w:rPr>
              <w:t>Thereafter</w:t>
            </w:r>
          </w:p>
        </w:tc>
        <w:tc>
          <w:tcPr>
            <w:tcW w:w="199" w:type="dxa"/>
            <w:tcBorders/>
            <w:shd w:fill="CCEEFF" w:val="clear"/>
            <w:vAlign w:val="bottom"/>
          </w:tcPr>
          <w:p>
            <w:pPr>
              <w:pStyle w:val="TableContents"/>
              <w:spacing w:before="0" w:after="0"/>
              <w:ind w:left="0" w:right="0" w:hanging="0"/>
              <w:rPr/>
            </w:pPr>
            <w:r>
              <w:rPr/>
              <w:t> </w:t>
            </w:r>
          </w:p>
        </w:tc>
        <w:tc>
          <w:tcPr>
            <w:tcW w:w="1200" w:type="dxa"/>
            <w:tcBorders/>
            <w:shd w:fill="CCEEFF"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234,542</w:t>
            </w:r>
          </w:p>
        </w:tc>
        <w:tc>
          <w:tcPr>
            <w:tcW w:w="66" w:type="dxa"/>
            <w:tcBorders/>
            <w:shd w:fill="CCEEFF" w:val="clear"/>
            <w:vAlign w:val="bottom"/>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the normal course of business, legal proceedings are pending or may be brought against Argyle arising out of current and past operations. Argyle is subject to national and local environmental laws and regulations concerning its products, operations, and other activities. These laws and regulations may require Argyle to take future action to remediate the effects on the environment of prior disposal or release of chemicals or petroleum substances. The ultimate requirement for remediation and its costs are inherently difficult to estimate. However, the estimated cost of known environmental obligations has been provided in these accounts in accordance with Argyles accounting policies.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has obligations to decommission oil and natural gas facilities and related pipelines. Provision is made for the estimated cost of these activities; however, there is uncertainty regarding both the amount and timing of these costs, given the long-term nature of these obligations. Argyle believes that the impact of any reasonable foreseeable changes to these provisions on Argyles results of operations, financial position, or liquidity will not be material.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52" w:name="PB_22_160205_5796"/>
      <w:bookmarkEnd w:id="52"/>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(19)</w:t>
      </w:r>
      <w:r>
        <w:rPr>
          <w:rFonts w:ascii="Times New Roman" w:hAnsi="Times New Roman"/>
        </w:rPr>
        <w:t xml:space="preserve">              </w:t>
      </w:r>
      <w:r>
        <w:rPr>
          <w:rFonts w:ascii="Times New Roman" w:hAnsi="Times New Roman"/>
          <w:b/>
          <w:sz w:val="17"/>
        </w:rPr>
        <w:t>Concentrations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Sales to BP and its affiliates made up 28%, and 24% of total sales during the years ended December 31, 2011 and 2010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Receivables to BP and its affiliates made up 38%, and 26% of total receivables during the years ended December 31, 2011 and 2010 respectively.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(20)</w:t>
      </w:r>
      <w:r>
        <w:rPr>
          <w:rFonts w:ascii="Times New Roman" w:hAnsi="Times New Roman"/>
        </w:rPr>
        <w:t xml:space="preserve">              </w:t>
      </w:r>
      <w:r>
        <w:rPr>
          <w:rFonts w:ascii="Times New Roman" w:hAnsi="Times New Roman"/>
          <w:b/>
          <w:sz w:val="17"/>
        </w:rPr>
        <w:t>Related Parties (Including Relationship with Parent and Corporate Allocations)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(a)</w:t>
      </w:r>
      <w:r>
        <w:rPr>
          <w:rFonts w:ascii="Times New Roman" w:hAnsi="Times New Roman"/>
        </w:rPr>
        <w:t xml:space="preserve">                      </w:t>
      </w:r>
      <w:r>
        <w:rPr>
          <w:rFonts w:ascii="Times New Roman" w:hAnsi="Times New Roman"/>
          <w:b/>
          <w:i/>
          <w:sz w:val="17"/>
        </w:rPr>
        <w:t>Related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Significant transactions with related parties other than those described below are disclosed on the face of the statements of comprehensive income and balance sheets. Sales to, and purchases from, related parties have terms and conditions substantially similar to sales and purchases with third parties. As noted previously, settlement of these transactions is automatic at 30 days.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i/>
          <w:sz w:val="17"/>
        </w:rPr>
        <w:t>(b)</w:t>
      </w:r>
      <w:r>
        <w:rPr>
          <w:rFonts w:ascii="Times New Roman" w:hAnsi="Times New Roman"/>
        </w:rPr>
        <w:t xml:space="preserve">                      </w:t>
      </w:r>
      <w:r>
        <w:rPr>
          <w:rFonts w:ascii="Times New Roman" w:hAnsi="Times New Roman"/>
          <w:b/>
          <w:i/>
          <w:sz w:val="17"/>
        </w:rPr>
        <w:t>Relationship with Parent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has historically been managed and operated in the normal course of business by BP along with other BP affiliates. Accordingly, certain shared costs have been allocated to Argyle and reflected as expenses in the standalone financial statements. Management of BP and Argyle consider the allocation methodologies used to be reasonable and appropriate reflections of the related expenses attributable to Argyle for purposes of the carve-out financial statements; however, the expenses reflected in the Argyle financial statements may not be indicative of the actual expenses that would have been incurred during the periods presented if Argyle historically operated as a separate, standalone entity. In addition, the expenses reflected in the financial statements may not be indicative of expenses that will be incurred in the future by Argyle. Significant transactions with the Parent are discussed individually as follows:</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Cash Management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participates in BPs centralized cash management programs. Disbursements are made by Argyle and funded by BP periodically. Cash receipts are transferred to centralized accounts, also maintained by BP. The cash receipts from Argyle are not kept in Argyle specific accounts and are instead comingled with cash from other BP entities. As cash is disbursed and received by the Parent, it is accounted for through net parent investment.</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Pension and Other Post retirement Benefit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does not sponsor any pension, post retirement, or employee savings plan. However, Argyle employees participate in certain funded final salary pension plans sponsored by BP. BP also provides post retirement and healthcare and life insurance benefits to its retired employees and dependants. There is no contractual agreement or stated policy between the Business and BP for charging the net defined benefit costs (note that the Business comprises parts of multiple legal entities).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All obligations pursuant to these plans are obligations of BP and as such are not included in Argyles balance sheets. BP allocates to Argyle the net periodic benefit costs associated with employees that are beneficiaries of pensions and other employment costs.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53" w:name="PB_23_160227_2897"/>
      <w:bookmarkEnd w:id="53"/>
    </w:p>
    <w:p>
      <w:pPr>
        <w:pStyle w:val="HorizontalLine"/>
        <w:pBdr>
          <w:bottom w:val="single" w:sz="18" w:space="0" w:color="010101"/>
        </w:pBdr>
        <w:spacing w:before="0" w:after="0"/>
        <w:rPr/>
      </w:pPr>
      <w:r>
        <w:rPr/>
      </w:r>
      <w:r>
        <w:br w:type="page"/>
      </w:r>
    </w:p>
    <w:p>
      <w:pPr>
        <w:pStyle w:val="TextBody"/>
        <w:spacing w:before="0" w:after="0"/>
        <w:ind w:left="0" w:right="0" w:hanging="0"/>
        <w:rPr/>
      </w:pPr>
      <w:hyperlink w:anchor="TableOfContents">
        <w:r>
          <w:rPr>
            <w:rStyle w:val="InternetLink"/>
            <w:rFonts w:ascii="Times New Roman" w:hAnsi="Times New Roman"/>
            <w:sz w:val="17"/>
          </w:rPr>
          <w:t>Table of Contents</w:t>
        </w:r>
      </w:hyperlink>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PROJECT ARGYLE</w:t>
      </w:r>
    </w:p>
    <w:p>
      <w:pPr>
        <w:pStyle w:val="TextBody"/>
        <w:spacing w:before="0" w:after="0"/>
        <w:ind w:left="0" w:right="0" w:hanging="0"/>
        <w:jc w:val="center"/>
        <w:rPr>
          <w:rFonts w:ascii="Times New Roman" w:hAnsi="Times New Roman"/>
          <w:sz w:val="17"/>
        </w:rPr>
      </w:pPr>
      <w:r>
        <w:rPr>
          <w:rFonts w:ascii="Times New Roman" w:hAnsi="Times New Roman"/>
          <w:sz w:val="17"/>
        </w:rPr>
        <w:t>Notes to Financial Statements</w:t>
      </w:r>
    </w:p>
    <w:p>
      <w:pPr>
        <w:pStyle w:val="TextBody"/>
        <w:spacing w:before="0" w:after="0"/>
        <w:ind w:left="0" w:right="0" w:hanging="0"/>
        <w:jc w:val="center"/>
        <w:rPr>
          <w:rFonts w:ascii="Times New Roman" w:hAnsi="Times New Roman"/>
          <w:sz w:val="17"/>
        </w:rPr>
      </w:pPr>
      <w:r>
        <w:rPr>
          <w:rFonts w:ascii="Times New Roman" w:hAnsi="Times New Roman"/>
          <w:sz w:val="17"/>
        </w:rPr>
        <w:t>December 31, 2011 and 2010</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These costs are included in marketing and administrative expenses in the statement of comprehensive income and totaled $6,432, and $1,608 for the years ended December 31, 2011 and 2010 respectively. The costs were allocated to the Business using various allocation methods, primarily head count and salaries. Our Parent contributes to these plans. The amount contributed to these plans by the Parent on our behalf cannot be determined.</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Derivatives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As discussed in note 11  Derivative Financial Instruments, derivatives that relate to the Argyle business are entered into on behalf of Argyle by another BP entity.</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Other Allocated Corporate Costs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Other allocated costs include BP charges including, but not limited to: corporate accounting, human resources, government affairs, information technology, shared real estate expenses, treasury, and legal. These costs are included in marketing and administrative expenses in the statement of comprehensive income and totaled $29,736, and $30,151 for the years ended December 31, 2011 and 2010, respectively. The costs were allocated to the Business using various allocation methods, such as head count, services rendered, space utilization, and assets assigned to the Business (e.g., certain information technology costs were allocated based on the number of computers used by the Business). Note that these expenses may have been different had Argyle been a separate, stand-alone entity during the periods presented.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(21)</w:t>
      </w:r>
      <w:r>
        <w:rPr>
          <w:rFonts w:ascii="Times New Roman" w:hAnsi="Times New Roman"/>
        </w:rPr>
        <w:t xml:space="preserve">              </w:t>
      </w:r>
      <w:r>
        <w:rPr>
          <w:rFonts w:ascii="Times New Roman" w:hAnsi="Times New Roman"/>
          <w:b/>
          <w:sz w:val="17"/>
        </w:rPr>
        <w:t>Subsequent Events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Argyle sold the Griffith propane storage terminal with an effective date of January 31, 2012 located in Indiana.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54" w:name="PB_24_160252_3020"/>
      <w:bookmarkEnd w:id="54"/>
    </w:p>
    <w:p>
      <w:pPr>
        <w:pStyle w:val="HorizontalLine"/>
        <w:pBdr>
          <w:bottom w:val="single" w:sz="18" w:space="0" w:color="010101"/>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 w:name="Symbo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40</Pages>
  <Words>13576</Words>
  <CharactersWithSpaces>87458</CharactersWithSpaces>
  <Paragraphs>4061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