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36195</wp:posOffset>
            </wp:positionH>
            <wp:positionV relativeFrom="paragraph">
              <wp:posOffset>-235585</wp:posOffset>
            </wp:positionV>
            <wp:extent cx="132715" cy="1327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" cy="132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5302885</wp:posOffset>
            </wp:positionH>
            <wp:positionV relativeFrom="paragraph">
              <wp:posOffset>-634365</wp:posOffset>
            </wp:positionV>
            <wp:extent cx="58420" cy="6477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-634365</wp:posOffset>
            </wp:positionV>
            <wp:extent cx="58420" cy="6477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7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22225</wp:posOffset>
            </wp:positionV>
            <wp:extent cx="6991985" cy="57150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1985" cy="5715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340"/>
            <w:col w:w="8580"/>
          </w:cols>
          <w:pgMar w:left="460" w:top="223" w:right="35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Ziemba Lawrence Michael</w:t>
        </w:r>
      </w:hyperlink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333 CLAY STREET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1600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PLAINS GP HOLDINGS LP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PAGP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2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ind w:left="340" w:right="560"/>
        <w:spacing w:after="0" w:line="24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3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6,480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08/14/2023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11,400</w:t>
            </w:r>
          </w:p>
        </w:tc>
        <w:tc>
          <w:tcPr>
            <w:tcW w:w="5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44,890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6,480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6,480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Class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11,400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11,400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08/14/2023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08/14/2023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6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-2425700</wp:posOffset>
            </wp:positionV>
            <wp:extent cx="29210" cy="2430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43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Class A shares granted under Long-Term Incentive Plan (includes associated dividend equivalent rights payable in cash).</w:t>
      </w:r>
    </w:p>
    <w:p>
      <w:pPr>
        <w:spacing w:after="0" w:line="46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6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One Class A share is deliverable for each Phantom Class A share that vests.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Ann F. Gullion, as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-10160</wp:posOffset>
            </wp:positionV>
            <wp:extent cx="13360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60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 for Lawrence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08/16/2023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18846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6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Ziemba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-13970</wp:posOffset>
            </wp:positionV>
            <wp:extent cx="3295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00" w:firstLine="4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547334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2023-08-16T18:50:30Z</dcterms:created>
  <dcterms:modified xsi:type="dcterms:W3CDTF">2023-08-16T18:50:30Z</dcterms:modified>
</cp:coreProperties>
</file>