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154940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165735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700" w:right="240" w:hanging="385"/>
        <w:spacing w:after="0" w:line="267" w:lineRule="auto"/>
        <w:tabs>
          <w:tab w:leader="none" w:pos="865"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2015</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ind w:left="700" w:right="220" w:hanging="385"/>
        <w:spacing w:after="0" w:line="267" w:lineRule="auto"/>
        <w:tabs>
          <w:tab w:leader="none" w:pos="865"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166370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PLAINS ALL AMERICAN PIPELINE, L.P.</w:t>
      </w:r>
    </w:p>
    <w:p>
      <w:pPr>
        <w:spacing w:after="0" w:line="35" w:lineRule="exact"/>
        <w:rPr>
          <w:sz w:val="24"/>
          <w:szCs w:val="24"/>
          <w:color w:val="auto"/>
        </w:rPr>
      </w:pPr>
    </w:p>
    <w:tbl>
      <w:tblPr>
        <w:tblLayout w:type="fixed"/>
        <w:tblInd w:w="1040" w:type="dxa"/>
        <w:tblCellMar>
          <w:top w:w="0" w:type="dxa"/>
          <w:left w:w="0" w:type="dxa"/>
          <w:bottom w:w="0" w:type="dxa"/>
          <w:right w:w="0" w:type="dxa"/>
        </w:tblCellMar>
      </w:tblPr>
      <w:tr>
        <w:trPr>
          <w:trHeight w:val="206"/>
        </w:trPr>
        <w:tc>
          <w:tcPr>
            <w:tcW w:w="6040" w:type="dxa"/>
            <w:vAlign w:val="bottom"/>
          </w:tcPr>
          <w:p>
            <w:pPr>
              <w:jc w:val="center"/>
              <w:ind w:left="2179"/>
              <w:spacing w:after="0"/>
              <w:rPr>
                <w:sz w:val="20"/>
                <w:szCs w:val="20"/>
                <w:color w:val="auto"/>
              </w:rPr>
            </w:pPr>
            <w:r>
              <w:rPr>
                <w:rFonts w:ascii="Arial" w:cs="Arial" w:eastAsia="Arial" w:hAnsi="Arial"/>
                <w:sz w:val="16"/>
                <w:szCs w:val="16"/>
                <w:color w:val="auto"/>
                <w:w w:val="91"/>
              </w:rPr>
              <w:t>(Exact name of registrant as specified in its charter)</w:t>
            </w:r>
          </w:p>
        </w:tc>
        <w:tc>
          <w:tcPr>
            <w:tcW w:w="1360" w:type="dxa"/>
            <w:vAlign w:val="bottom"/>
          </w:tcPr>
          <w:p>
            <w:pPr>
              <w:spacing w:after="0"/>
              <w:rPr>
                <w:sz w:val="17"/>
                <w:szCs w:val="17"/>
                <w:color w:val="auto"/>
              </w:rPr>
            </w:pPr>
          </w:p>
        </w:tc>
      </w:tr>
      <w:tr>
        <w:trPr>
          <w:trHeight w:val="310"/>
        </w:trPr>
        <w:tc>
          <w:tcPr>
            <w:tcW w:w="6040" w:type="dxa"/>
            <w:vAlign w:val="bottom"/>
          </w:tcPr>
          <w:p>
            <w:pPr>
              <w:jc w:val="center"/>
              <w:ind w:right="2939"/>
              <w:spacing w:after="0"/>
              <w:rPr>
                <w:sz w:val="20"/>
                <w:szCs w:val="20"/>
                <w:color w:val="auto"/>
              </w:rPr>
            </w:pPr>
            <w:r>
              <w:rPr>
                <w:rFonts w:ascii="Arial" w:cs="Arial" w:eastAsia="Arial" w:hAnsi="Arial"/>
                <w:sz w:val="16"/>
                <w:szCs w:val="16"/>
                <w:b w:val="1"/>
                <w:bCs w:val="1"/>
                <w:color w:val="auto"/>
                <w:w w:val="93"/>
              </w:rPr>
              <w:t>Delaware</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76-0582150</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3"/>
              </w:rPr>
              <w:t>(State or other jurisdiction of</w:t>
            </w:r>
          </w:p>
        </w:tc>
        <w:tc>
          <w:tcPr>
            <w:tcW w:w="1360" w:type="dxa"/>
            <w:vAlign w:val="bottom"/>
          </w:tcPr>
          <w:p>
            <w:pPr>
              <w:jc w:val="center"/>
              <w:ind w:left="99"/>
              <w:spacing w:after="0"/>
              <w:rPr>
                <w:sz w:val="20"/>
                <w:szCs w:val="20"/>
                <w:color w:val="auto"/>
              </w:rPr>
            </w:pPr>
            <w:r>
              <w:rPr>
                <w:rFonts w:ascii="Arial" w:cs="Arial" w:eastAsia="Arial" w:hAnsi="Arial"/>
                <w:sz w:val="16"/>
                <w:szCs w:val="16"/>
                <w:color w:val="auto"/>
                <w:w w:val="93"/>
              </w:rPr>
              <w:t>(I.R.S. Employer</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4"/>
              </w:rPr>
              <w:t>incorporation or organization)</w:t>
            </w:r>
          </w:p>
        </w:tc>
        <w:tc>
          <w:tcPr>
            <w:tcW w:w="1360" w:type="dxa"/>
            <w:vAlign w:val="bottom"/>
          </w:tcPr>
          <w:p>
            <w:pPr>
              <w:jc w:val="center"/>
              <w:ind w:left="79"/>
              <w:spacing w:after="0"/>
              <w:rPr>
                <w:sz w:val="20"/>
                <w:szCs w:val="20"/>
                <w:color w:val="auto"/>
              </w:rPr>
            </w:pPr>
            <w:r>
              <w:rPr>
                <w:rFonts w:ascii="Arial" w:cs="Arial" w:eastAsia="Arial" w:hAnsi="Arial"/>
                <w:sz w:val="16"/>
                <w:szCs w:val="16"/>
                <w:color w:val="auto"/>
                <w:w w:val="96"/>
              </w:rPr>
              <w:t>Identification No.)</w:t>
            </w:r>
          </w:p>
        </w:tc>
      </w:tr>
      <w:tr>
        <w:trPr>
          <w:trHeight w:val="378"/>
        </w:trPr>
        <w:tc>
          <w:tcPr>
            <w:tcW w:w="6040" w:type="dxa"/>
            <w:vAlign w:val="bottom"/>
          </w:tcPr>
          <w:p>
            <w:pPr>
              <w:jc w:val="center"/>
              <w:ind w:right="2959"/>
              <w:spacing w:after="0"/>
              <w:rPr>
                <w:sz w:val="20"/>
                <w:szCs w:val="20"/>
                <w:color w:val="auto"/>
              </w:rPr>
            </w:pPr>
            <w:r>
              <w:rPr>
                <w:rFonts w:ascii="Arial" w:cs="Arial" w:eastAsia="Arial" w:hAnsi="Arial"/>
                <w:sz w:val="16"/>
                <w:szCs w:val="16"/>
                <w:b w:val="1"/>
                <w:bCs w:val="1"/>
                <w:color w:val="auto"/>
                <w:w w:val="90"/>
              </w:rPr>
              <w:t>333 Clay Street, Suite 1600, Houston, Texas</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3"/>
              </w:rPr>
              <w:t>(Address of principal executive offices)</w:t>
            </w:r>
          </w:p>
        </w:tc>
        <w:tc>
          <w:tcPr>
            <w:tcW w:w="1360" w:type="dxa"/>
            <w:vAlign w:val="bottom"/>
          </w:tcPr>
          <w:p>
            <w:pPr>
              <w:jc w:val="center"/>
              <w:ind w:left="79"/>
              <w:spacing w:after="0"/>
              <w:rPr>
                <w:sz w:val="20"/>
                <w:szCs w:val="20"/>
                <w:color w:val="auto"/>
              </w:rPr>
            </w:pPr>
            <w:r>
              <w:rPr>
                <w:rFonts w:ascii="Arial" w:cs="Arial" w:eastAsia="Arial" w:hAnsi="Arial"/>
                <w:sz w:val="16"/>
                <w:szCs w:val="16"/>
                <w:color w:val="auto"/>
                <w:w w:val="95"/>
              </w:rPr>
              <w:t>(Zip Code)</w:t>
            </w:r>
          </w:p>
        </w:tc>
      </w:tr>
      <w:tr>
        <w:trPr>
          <w:trHeight w:val="361"/>
        </w:trPr>
        <w:tc>
          <w:tcPr>
            <w:tcW w:w="6040" w:type="dxa"/>
            <w:vAlign w:val="bottom"/>
          </w:tcPr>
          <w:p>
            <w:pPr>
              <w:jc w:val="center"/>
              <w:ind w:left="2179"/>
              <w:spacing w:after="0"/>
              <w:rPr>
                <w:sz w:val="20"/>
                <w:szCs w:val="20"/>
                <w:color w:val="auto"/>
              </w:rPr>
            </w:pPr>
            <w:r>
              <w:rPr>
                <w:rFonts w:ascii="Arial" w:cs="Arial" w:eastAsia="Arial" w:hAnsi="Arial"/>
                <w:sz w:val="16"/>
                <w:szCs w:val="16"/>
                <w:b w:val="1"/>
                <w:bCs w:val="1"/>
                <w:color w:val="auto"/>
                <w:w w:val="93"/>
              </w:rPr>
              <w:t>(713) 646-4100</w:t>
            </w:r>
          </w:p>
        </w:tc>
        <w:tc>
          <w:tcPr>
            <w:tcW w:w="1360" w:type="dxa"/>
            <w:vAlign w:val="bottom"/>
          </w:tcPr>
          <w:p>
            <w:pPr>
              <w:spacing w:after="0"/>
              <w:rPr>
                <w:sz w:val="24"/>
                <w:szCs w:val="24"/>
                <w:color w:val="auto"/>
              </w:rPr>
            </w:pPr>
          </w:p>
        </w:tc>
      </w:tr>
      <w:tr>
        <w:trPr>
          <w:trHeight w:val="206"/>
        </w:trPr>
        <w:tc>
          <w:tcPr>
            <w:tcW w:w="6040" w:type="dxa"/>
            <w:vAlign w:val="bottom"/>
          </w:tcPr>
          <w:p>
            <w:pPr>
              <w:jc w:val="center"/>
              <w:ind w:left="2199"/>
              <w:spacing w:after="0"/>
              <w:rPr>
                <w:sz w:val="20"/>
                <w:szCs w:val="20"/>
                <w:color w:val="auto"/>
              </w:rPr>
            </w:pPr>
            <w:r>
              <w:rPr>
                <w:rFonts w:ascii="Arial" w:cs="Arial" w:eastAsia="Arial" w:hAnsi="Arial"/>
                <w:sz w:val="16"/>
                <w:szCs w:val="16"/>
                <w:color w:val="auto"/>
                <w:w w:val="91"/>
              </w:rPr>
              <w:t>(Registrant’s telephone number, including area code)</w:t>
            </w:r>
          </w:p>
        </w:tc>
        <w:tc>
          <w:tcPr>
            <w:tcW w:w="13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149860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ind w:right="160" w:firstLine="324"/>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400"/>
          </w:cols>
          <w:pgMar w:left="760" w:top="233" w:right="739" w:bottom="1440" w:gutter="0" w:footer="0" w:header="0"/>
        </w:sectPr>
      </w:pPr>
    </w:p>
    <w:p>
      <w:pPr>
        <w:spacing w:after="0" w:line="77" w:lineRule="exact"/>
        <w:rPr>
          <w:sz w:val="24"/>
          <w:szCs w:val="24"/>
          <w:color w:val="auto"/>
        </w:rPr>
      </w:pPr>
    </w:p>
    <w:p>
      <w:pPr>
        <w:ind w:left="17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3160" w:space="80"/>
            <w:col w:w="3220" w:space="720"/>
            <w:col w:w="1100" w:space="80"/>
            <w:col w:w="2040"/>
          </w:cols>
          <w:pgMar w:left="760" w:top="233" w:right="739" w:bottom="1440" w:gutter="0" w:footer="0" w:header="0"/>
          <w:type w:val="continuous"/>
        </w:sectPr>
      </w:pPr>
    </w:p>
    <w:p>
      <w:pPr>
        <w:spacing w:after="0" w:line="114" w:lineRule="exact"/>
        <w:rPr>
          <w:sz w:val="24"/>
          <w:szCs w:val="24"/>
          <w:color w:val="auto"/>
        </w:rPr>
      </w:pPr>
    </w:p>
    <w:p>
      <w:pPr>
        <w:ind w:left="17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4">
            <w:col w:w="3120" w:space="80"/>
            <w:col w:w="2920" w:space="720"/>
            <w:col w:w="1780" w:space="80"/>
            <w:col w:w="1700"/>
          </w:cols>
          <w:pgMar w:left="760" w:top="233" w:right="73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(Do not check if a smaller reporting company)</w:t>
      </w:r>
    </w:p>
    <w:p>
      <w:pPr>
        <w:spacing w:after="0" w:line="151"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30, 2015, there were 397,727,624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129540</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815340</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80" w:type="dxa"/>
            <w:vAlign w:val="bottom"/>
            <w:gridSpan w:val="21"/>
            <w:vMerge w:val="restart"/>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21"/>
            <w:vMerge w:val="continue"/>
          </w:tcPr>
          <w:p>
            <w:pPr>
              <w:spacing w:after="0"/>
              <w:rPr>
                <w:sz w:val="13"/>
                <w:szCs w:val="13"/>
                <w:color w:val="auto"/>
              </w:rPr>
            </w:pPr>
          </w:p>
        </w:tc>
        <w:tc>
          <w:tcPr>
            <w:tcW w:w="5480" w:type="dxa"/>
            <w:vAlign w:val="bottom"/>
            <w:gridSpan w:val="21"/>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Item 1. UNAUDITED CONDENSED CONSOLIDATED FINANCIAL STATEMENTS:</w:t>
              </w:r>
            </w:hyperlink>
          </w:p>
        </w:tc>
        <w:tc>
          <w:tcPr>
            <w:tcW w:w="2140" w:type="dxa"/>
            <w:vAlign w:val="bottom"/>
            <w:gridSpan w:val="10"/>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8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2015 and December 31, 2014</w:t>
              </w:r>
            </w:hyperlink>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900" w:type="dxa"/>
            <w:vAlign w:val="bottom"/>
            <w:tcBorders>
              <w:bottom w:val="single" w:sz="8" w:color="0000EE"/>
            </w:tcBorders>
            <w:gridSpan w:val="3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2015</w:t>
              </w:r>
            </w:hyperlink>
          </w:p>
        </w:tc>
        <w:tc>
          <w:tcPr>
            <w:tcW w:w="480" w:type="dxa"/>
            <w:vAlign w:val="bottom"/>
            <w:gridSpan w:val="4"/>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60" w:type="dxa"/>
            <w:vAlign w:val="bottom"/>
            <w:gridSpan w:val="4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2014</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4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Income/(Loss): For the three and nine months ended</w:t>
              </w:r>
            </w:hyperlink>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September 30, 2015 and 2014</w:t>
              </w:r>
            </w:hyperlink>
          </w:p>
        </w:tc>
        <w:tc>
          <w:tcPr>
            <w:tcW w:w="5480" w:type="dxa"/>
            <w:vAlign w:val="bottom"/>
            <w:tcBorders>
              <w:top w:val="single" w:sz="8" w:color="0000EE"/>
            </w:tcBorders>
            <w:gridSpan w:val="21"/>
          </w:tcPr>
          <w:p>
            <w:pPr>
              <w:spacing w:after="0"/>
              <w:rPr>
                <w:sz w:val="17"/>
                <w:szCs w:val="17"/>
                <w:color w:val="auto"/>
              </w:rPr>
            </w:pPr>
          </w:p>
        </w:tc>
        <w:tc>
          <w:tcPr>
            <w:tcW w:w="56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02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w:t>
              </w:r>
            </w:hyperlink>
          </w:p>
        </w:tc>
        <w:tc>
          <w:tcPr>
            <w:tcW w:w="3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60" w:type="dxa"/>
            <w:vAlign w:val="bottom"/>
            <w:gridSpan w:val="4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2015 and 2014</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tcBorders>
              <w:bottom w:val="single" w:sz="8" w:color="0000EE"/>
            </w:tcBorders>
            <w:gridSpan w:val="38"/>
          </w:tcPr>
          <w:p>
            <w:pPr>
              <w:spacing w:after="0" w:line="18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2015 and 2014</w:t>
              </w:r>
            </w:hyperlink>
          </w:p>
        </w:tc>
        <w:tc>
          <w:tcPr>
            <w:tcW w:w="1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040" w:type="dxa"/>
            <w:vAlign w:val="bottom"/>
            <w:tcBorders>
              <w:bottom w:val="single" w:sz="8" w:color="0000EE"/>
            </w:tcBorders>
            <w:gridSpan w:val="4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Partners’ Capital: For the nine months ended September 30,</w:t>
              </w:r>
            </w:hyperlink>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2015 and 2014</w:t>
              </w:r>
            </w:hyperlink>
          </w:p>
        </w:tc>
        <w:tc>
          <w:tcPr>
            <w:tcW w:w="7120" w:type="dxa"/>
            <w:vAlign w:val="bottom"/>
            <w:gridSpan w:val="3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Condensed Consolidated Financial Statements:</w:t>
              </w:r>
            </w:hyperlink>
          </w:p>
        </w:tc>
        <w:tc>
          <w:tcPr>
            <w:tcW w:w="406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8">
              <w:r>
                <w:rPr>
                  <w:rFonts w:ascii="Arial" w:cs="Arial" w:eastAsia="Arial" w:hAnsi="Arial"/>
                  <w:sz w:val="17"/>
                  <w:szCs w:val="17"/>
                  <w:color w:val="0000EE"/>
                  <w:w w:val="70"/>
                </w:rPr>
                <w:t>1.</w:t>
              </w:r>
            </w:hyperlink>
          </w:p>
        </w:tc>
        <w:tc>
          <w:tcPr>
            <w:tcW w:w="4180" w:type="dxa"/>
            <w:vAlign w:val="bottom"/>
            <w:tcBorders>
              <w:bottom w:val="single" w:sz="8" w:color="0000EE"/>
            </w:tcBorders>
            <w:gridSpan w:val="27"/>
          </w:tcPr>
          <w:p>
            <w:pPr>
              <w:ind w:left="20"/>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Organization and Basis of Consolidation and Presentation</w:t>
              </w:r>
            </w:hyperlink>
          </w:p>
        </w:tc>
        <w:tc>
          <w:tcPr>
            <w:tcW w:w="40" w:type="dxa"/>
            <w:vAlign w:val="bottom"/>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9">
              <w:r>
                <w:rPr>
                  <w:rFonts w:ascii="Arial" w:cs="Arial" w:eastAsia="Arial" w:hAnsi="Arial"/>
                  <w:sz w:val="17"/>
                  <w:szCs w:val="17"/>
                  <w:color w:val="0000EE"/>
                  <w:w w:val="70"/>
                </w:rPr>
                <w:t>2.</w:t>
              </w:r>
            </w:hyperlink>
          </w:p>
        </w:tc>
        <w:tc>
          <w:tcPr>
            <w:tcW w:w="2660" w:type="dxa"/>
            <w:vAlign w:val="bottom"/>
            <w:tcBorders>
              <w:bottom w:val="single" w:sz="8" w:color="0000EE"/>
            </w:tcBorders>
            <w:gridSpan w:val="20"/>
          </w:tcPr>
          <w:p>
            <w:pPr>
              <w:ind w:left="20"/>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Recent Accounting Pronouncements</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0">
              <w:r>
                <w:rPr>
                  <w:rFonts w:ascii="Arial" w:cs="Arial" w:eastAsia="Arial" w:hAnsi="Arial"/>
                  <w:sz w:val="17"/>
                  <w:szCs w:val="17"/>
                  <w:color w:val="0000EE"/>
                  <w:w w:val="70"/>
                </w:rPr>
                <w:t>3.</w:t>
              </w:r>
            </w:hyperlink>
          </w:p>
        </w:tc>
        <w:tc>
          <w:tcPr>
            <w:tcW w:w="2700" w:type="dxa"/>
            <w:vAlign w:val="bottom"/>
            <w:tcBorders>
              <w:bottom w:val="single" w:sz="8" w:color="0000EE"/>
            </w:tcBorders>
            <w:gridSpan w:val="22"/>
          </w:tcPr>
          <w:p>
            <w:pPr>
              <w:ind w:left="20"/>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Net Income Per Limited Partner Unit</w:t>
              </w:r>
            </w:hyperlink>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2">
              <w:r>
                <w:rPr>
                  <w:rFonts w:ascii="Arial" w:cs="Arial" w:eastAsia="Arial" w:hAnsi="Arial"/>
                  <w:sz w:val="17"/>
                  <w:szCs w:val="17"/>
                  <w:color w:val="0000EE"/>
                  <w:w w:val="70"/>
                </w:rPr>
                <w:t>4.</w:t>
              </w:r>
            </w:hyperlink>
          </w:p>
        </w:tc>
        <w:tc>
          <w:tcPr>
            <w:tcW w:w="1540" w:type="dxa"/>
            <w:vAlign w:val="bottom"/>
            <w:tcBorders>
              <w:bottom w:val="single" w:sz="8" w:color="0000EE"/>
            </w:tcBorders>
            <w:gridSpan w:val="8"/>
          </w:tcPr>
          <w:p>
            <w:pPr>
              <w:ind w:left="2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Accounts Receivable</w:t>
              </w:r>
            </w:hyperlink>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3">
              <w:r>
                <w:rPr>
                  <w:rFonts w:ascii="Arial" w:cs="Arial" w:eastAsia="Arial" w:hAnsi="Arial"/>
                  <w:sz w:val="17"/>
                  <w:szCs w:val="17"/>
                  <w:color w:val="0000EE"/>
                  <w:w w:val="70"/>
                </w:rPr>
                <w:t>5.</w:t>
              </w:r>
            </w:hyperlink>
          </w:p>
        </w:tc>
        <w:tc>
          <w:tcPr>
            <w:tcW w:w="4220" w:type="dxa"/>
            <w:vAlign w:val="bottom"/>
            <w:tcBorders>
              <w:bottom w:val="single" w:sz="8" w:color="0000EE"/>
            </w:tcBorders>
            <w:gridSpan w:val="28"/>
          </w:tcPr>
          <w:p>
            <w:pPr>
              <w:ind w:left="20"/>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Inventory, Linefill and Base Gas and Long-term Inventory</w:t>
              </w:r>
            </w:hyperlink>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4">
              <w:r>
                <w:rPr>
                  <w:rFonts w:ascii="Arial" w:cs="Arial" w:eastAsia="Arial" w:hAnsi="Arial"/>
                  <w:sz w:val="17"/>
                  <w:szCs w:val="17"/>
                  <w:color w:val="0000EE"/>
                  <w:w w:val="70"/>
                </w:rPr>
                <w:t>6.</w:t>
              </w:r>
            </w:hyperlink>
          </w:p>
        </w:tc>
        <w:tc>
          <w:tcPr>
            <w:tcW w:w="380" w:type="dxa"/>
            <w:vAlign w:val="bottom"/>
            <w:tcBorders>
              <w:bottom w:val="single" w:sz="8" w:color="0000EE"/>
            </w:tcBorders>
          </w:tcPr>
          <w:p>
            <w:pPr>
              <w:ind w:left="2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Debt</w:t>
              </w:r>
            </w:hyperlink>
          </w:p>
        </w:tc>
        <w:tc>
          <w:tcPr>
            <w:tcW w:w="2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5">
              <w:r>
                <w:rPr>
                  <w:rFonts w:ascii="Arial" w:cs="Arial" w:eastAsia="Arial" w:hAnsi="Arial"/>
                  <w:sz w:val="17"/>
                  <w:szCs w:val="17"/>
                  <w:color w:val="0000EE"/>
                  <w:w w:val="70"/>
                </w:rPr>
                <w:t>7.</w:t>
              </w:r>
            </w:hyperlink>
          </w:p>
        </w:tc>
        <w:tc>
          <w:tcPr>
            <w:tcW w:w="254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Partners’ Capital and Distributions</w:t>
              </w:r>
            </w:hyperlink>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6">
              <w:r>
                <w:rPr>
                  <w:rFonts w:ascii="Arial" w:cs="Arial" w:eastAsia="Arial" w:hAnsi="Arial"/>
                  <w:sz w:val="17"/>
                  <w:szCs w:val="17"/>
                  <w:color w:val="0000EE"/>
                  <w:w w:val="70"/>
                </w:rPr>
                <w:t>8.</w:t>
              </w:r>
            </w:hyperlink>
          </w:p>
        </w:tc>
        <w:tc>
          <w:tcPr>
            <w:tcW w:w="3260" w:type="dxa"/>
            <w:vAlign w:val="bottom"/>
            <w:tcBorders>
              <w:bottom w:val="single" w:sz="8" w:color="0000EE"/>
            </w:tcBorders>
            <w:gridSpan w:val="24"/>
          </w:tcPr>
          <w:p>
            <w:pPr>
              <w:ind w:left="20"/>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Derivatives and Risk Management Activities</w:t>
              </w:r>
            </w:hyperlink>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26">
              <w:r>
                <w:rPr>
                  <w:rFonts w:ascii="Arial" w:cs="Arial" w:eastAsia="Arial" w:hAnsi="Arial"/>
                  <w:sz w:val="17"/>
                  <w:szCs w:val="17"/>
                  <w:color w:val="0000EE"/>
                  <w:w w:val="70"/>
                </w:rPr>
                <w:t>9.</w:t>
              </w:r>
            </w:hyperlink>
          </w:p>
        </w:tc>
        <w:tc>
          <w:tcPr>
            <w:tcW w:w="268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Equity-Indexed Compensation Plans</w:t>
              </w:r>
            </w:hyperlink>
          </w:p>
        </w:tc>
        <w:tc>
          <w:tcPr>
            <w:tcW w:w="540" w:type="dxa"/>
            <w:vAlign w:val="bottom"/>
            <w:gridSpan w:val="2"/>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10. Commitments and Contingencies</w:t>
              </w:r>
            </w:hyperlink>
          </w:p>
        </w:tc>
        <w:tc>
          <w:tcPr>
            <w:tcW w:w="120" w:type="dxa"/>
            <w:vAlign w:val="bottom"/>
            <w:gridSpan w:val="3"/>
          </w:tcPr>
          <w:p>
            <w:pPr>
              <w:spacing w:after="0"/>
              <w:rPr>
                <w:sz w:val="19"/>
                <w:szCs w:val="19"/>
                <w:color w:val="auto"/>
              </w:rPr>
            </w:pPr>
          </w:p>
        </w:tc>
        <w:tc>
          <w:tcPr>
            <w:tcW w:w="580" w:type="dxa"/>
            <w:vAlign w:val="bottom"/>
            <w:gridSpan w:val="4"/>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11. Operating Segments</w:t>
              </w:r>
            </w:hyperlink>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4"/>
          </w:tcPr>
          <w:p>
            <w:pPr>
              <w:spacing w:after="0"/>
              <w:rPr>
                <w:sz w:val="19"/>
                <w:szCs w:val="19"/>
                <w:color w:val="auto"/>
              </w:rPr>
            </w:pPr>
          </w:p>
        </w:tc>
        <w:tc>
          <w:tcPr>
            <w:tcW w:w="580" w:type="dxa"/>
            <w:vAlign w:val="bottom"/>
            <w:gridSpan w:val="4"/>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12. Related Party Transactions</w:t>
              </w:r>
            </w:hyperlink>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4"/>
          </w:tcPr>
          <w:p>
            <w:pPr>
              <w:spacing w:after="0"/>
              <w:rPr>
                <w:sz w:val="19"/>
                <w:szCs w:val="19"/>
                <w:color w:val="auto"/>
              </w:rPr>
            </w:pPr>
          </w:p>
        </w:tc>
        <w:tc>
          <w:tcPr>
            <w:tcW w:w="580" w:type="dxa"/>
            <w:vAlign w:val="bottom"/>
            <w:gridSpan w:val="4"/>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50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060" w:type="dxa"/>
            <w:vAlign w:val="bottom"/>
            <w:tcBorders>
              <w:bottom w:val="single" w:sz="8" w:color="0000EE"/>
            </w:tcBorders>
            <w:gridSpan w:val="37"/>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 2. MANAGEMENT’S DISCUSSION AND ANALYSIS OF FINANCIAL CONDITION AND RESULTS</w:t>
              </w:r>
            </w:hyperlink>
          </w:p>
        </w:tc>
        <w:tc>
          <w:tcPr>
            <w:tcW w:w="5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6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4"/>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Item 3. QUANTITATIVE AND QUALITATIVE DISCLOSURES ABOUT MARKET RISK</w:t>
              </w:r>
            </w:hyperlink>
          </w:p>
        </w:tc>
        <w:tc>
          <w:tcPr>
            <w:tcW w:w="186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Item 4. CONTROLS AND PROCEDURES</w:t>
              </w:r>
            </w:hyperlink>
          </w:p>
        </w:tc>
        <w:tc>
          <w:tcPr>
            <w:tcW w:w="580" w:type="dxa"/>
            <w:vAlign w:val="bottom"/>
            <w:gridSpan w:val="4"/>
          </w:tcPr>
          <w:p>
            <w:pPr>
              <w:spacing w:after="0"/>
              <w:rPr>
                <w:sz w:val="19"/>
                <w:szCs w:val="19"/>
                <w:color w:val="auto"/>
              </w:rPr>
            </w:pPr>
          </w:p>
        </w:tc>
        <w:tc>
          <w:tcPr>
            <w:tcW w:w="2880" w:type="dxa"/>
            <w:vAlign w:val="bottom"/>
            <w:gridSpan w:val="7"/>
          </w:tcPr>
          <w:p>
            <w:pPr>
              <w:spacing w:after="0"/>
              <w:rPr>
                <w:sz w:val="19"/>
                <w:szCs w:val="19"/>
                <w:color w:val="auto"/>
              </w:rPr>
            </w:pPr>
          </w:p>
        </w:tc>
        <w:tc>
          <w:tcPr>
            <w:tcW w:w="19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560" w:type="dxa"/>
            <w:vAlign w:val="bottom"/>
            <w:gridSpan w:val="4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1. LEGAL PROCEEDINGS</w:t>
              </w:r>
            </w:hyperlink>
          </w:p>
        </w:tc>
        <w:tc>
          <w:tcPr>
            <w:tcW w:w="20" w:type="dxa"/>
            <w:vAlign w:val="bottom"/>
            <w:tcBorders>
              <w:top w:val="single" w:sz="8" w:color="0000EE"/>
              <w:bottom w:val="single" w:sz="8" w:color="0000EE"/>
            </w:tcBorders>
          </w:tcPr>
          <w:p>
            <w:pPr>
              <w:spacing w:after="0"/>
              <w:rPr>
                <w:sz w:val="19"/>
                <w:szCs w:val="19"/>
                <w:color w:val="auto"/>
              </w:rPr>
            </w:pPr>
          </w:p>
        </w:tc>
        <w:tc>
          <w:tcPr>
            <w:tcW w:w="300" w:type="dxa"/>
            <w:vAlign w:val="bottom"/>
            <w:tcBorders>
              <w:top w:val="single" w:sz="8" w:color="0000EE"/>
              <w:bottom w:val="single" w:sz="8" w:color="0000EE"/>
            </w:tcBorders>
            <w:gridSpan w:val="3"/>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8"/>
          </w:tcPr>
          <w:p>
            <w:pPr>
              <w:spacing w:after="0"/>
              <w:rPr>
                <w:sz w:val="19"/>
                <w:szCs w:val="19"/>
                <w:color w:val="auto"/>
              </w:rPr>
            </w:pPr>
          </w:p>
        </w:tc>
        <w:tc>
          <w:tcPr>
            <w:tcW w:w="2880" w:type="dxa"/>
            <w:vAlign w:val="bottom"/>
            <w:gridSpan w:val="7"/>
          </w:tcPr>
          <w:p>
            <w:pPr>
              <w:spacing w:after="0"/>
              <w:rPr>
                <w:sz w:val="19"/>
                <w:szCs w:val="19"/>
                <w:color w:val="auto"/>
              </w:rPr>
            </w:pPr>
          </w:p>
        </w:tc>
        <w:tc>
          <w:tcPr>
            <w:tcW w:w="19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Item 1A. RISK FACTORS</w:t>
              </w:r>
            </w:hyperlink>
          </w:p>
        </w:tc>
        <w:tc>
          <w:tcPr>
            <w:tcW w:w="6620" w:type="dxa"/>
            <w:vAlign w:val="bottom"/>
            <w:gridSpan w:val="3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gridSpan w:val="4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0000EE"/>
            </w:tcBorders>
            <w:gridSpan w:val="3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 DEFAULTS UPON SENIOR SECURITIES</w:t>
              </w:r>
            </w:hyperlink>
          </w:p>
        </w:tc>
        <w:tc>
          <w:tcPr>
            <w:tcW w:w="19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4. MINE SAFETY DISCLOSURES</w:t>
              </w:r>
            </w:hyperlink>
          </w:p>
        </w:tc>
        <w:tc>
          <w:tcPr>
            <w:tcW w:w="740" w:type="dxa"/>
            <w:vAlign w:val="bottom"/>
            <w:tcBorders>
              <w:top w:val="single" w:sz="8" w:color="0000EE"/>
            </w:tcBorders>
            <w:gridSpan w:val="8"/>
          </w:tcPr>
          <w:p>
            <w:pPr>
              <w:spacing w:after="0"/>
              <w:rPr>
                <w:sz w:val="19"/>
                <w:szCs w:val="19"/>
                <w:color w:val="auto"/>
              </w:rPr>
            </w:pPr>
          </w:p>
        </w:tc>
        <w:tc>
          <w:tcPr>
            <w:tcW w:w="482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Item 5. OTHER INFORMATION</w:t>
              </w:r>
            </w:hyperlink>
          </w:p>
        </w:tc>
        <w:tc>
          <w:tcPr>
            <w:tcW w:w="6100" w:type="dxa"/>
            <w:vAlign w:val="bottom"/>
            <w:gridSpan w:val="2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6. EXHIBITS</w:t>
              </w:r>
            </w:hyperlink>
          </w:p>
        </w:tc>
        <w:tc>
          <w:tcPr>
            <w:tcW w:w="7180" w:type="dxa"/>
            <w:vAlign w:val="bottom"/>
            <w:gridSpan w:val="3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gridSpan w:val="4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3600" w:type="dxa"/>
            <w:vAlign w:val="bottom"/>
            <w:gridSpan w:val="24"/>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300" w:type="dxa"/>
            <w:vAlign w:val="bottom"/>
            <w:gridSpan w:val="2"/>
          </w:tcPr>
          <w:p>
            <w:pPr>
              <w:jc w:val="right"/>
              <w:ind w:right="16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inventory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LONG-TERM LIABILITIES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$18 and $18, respectively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long-term debt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COMMITMENTS AND CONTINGENCIES (NOTE 10)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b w:val="1"/>
                <w:bCs w:val="1"/>
                <w:color w:val="auto"/>
              </w:rPr>
              <w:t>PARTNERS’ CAPITAL</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unitholders (397,727,624 and 375,107,793 units outstanding, respectively)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partners’ capital excluding noncontrolling interests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OPERATIONS (in millions, except per unit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10,788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32,988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Facilities segment revenues</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10,166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15,591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31,116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2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32,744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w w:val="97"/>
              </w:rPr>
              <w:t>Interest expense (net of capitalized interest of $14, $12, $42 and $33,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120"/>
              <w:spacing w:after="0"/>
              <w:rPr>
                <w:sz w:val="20"/>
                <w:szCs w:val="20"/>
                <w:color w:val="auto"/>
              </w:rPr>
            </w:pPr>
            <w:r>
              <w:rPr>
                <w:rFonts w:ascii="Arial" w:cs="Arial" w:eastAsia="Arial" w:hAnsi="Arial"/>
                <w:sz w:val="18"/>
                <w:szCs w:val="18"/>
                <w:b w:val="1"/>
                <w:bCs w:val="1"/>
                <w:color w:val="auto"/>
              </w:rPr>
              <w:t>LIMITED PARTNERS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GENERAL PARTNER</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BASIC NET INCOME PER LIMITED PARTNER UNIT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DILUTED NET INCOME PER LIMITED PARTNER UNIT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r>
      <w:tr>
        <w:trPr>
          <w:trHeight w:val="228"/>
        </w:trPr>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2"/>
                <w:szCs w:val="12"/>
                <w:color w:val="auto"/>
              </w:rPr>
            </w:pPr>
          </w:p>
        </w:tc>
      </w:tr>
      <w:tr>
        <w:trPr>
          <w:trHeight w:val="223"/>
        </w:trPr>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1"/>
                <w:szCs w:val="21"/>
                <w:color w:val="auto"/>
              </w:rPr>
            </w:pPr>
          </w:p>
        </w:tc>
      </w:tr>
      <w:tr>
        <w:trPr>
          <w:trHeight w:val="223"/>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6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Comprehensive income attributable to noncontrolling interests</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1"/>
                <w:szCs w:val="21"/>
                <w:color w:val="auto"/>
              </w:rPr>
            </w:pPr>
          </w:p>
        </w:tc>
      </w:tr>
      <w:tr>
        <w:trPr>
          <w:trHeight w:val="21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 attributable to PAA</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ACCUMULATED OTHER COMPREHENSIVE INCOME/(LOSS)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Translation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6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23"/>
        </w:trPr>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20"/>
                <w:szCs w:val="20"/>
                <w:color w:val="auto"/>
              </w:rPr>
            </w:pPr>
          </w:p>
        </w:tc>
      </w:tr>
      <w:tr>
        <w:trPr>
          <w:trHeight w:val="243"/>
        </w:trPr>
        <w:tc>
          <w:tcPr>
            <w:tcW w:w="482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5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21"/>
                <w:szCs w:val="21"/>
                <w:color w:val="auto"/>
              </w:rPr>
            </w:pPr>
          </w:p>
        </w:tc>
      </w:tr>
      <w:tr>
        <w:trPr>
          <w:trHeight w:val="223"/>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period activity</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60" w:type="dxa"/>
            <w:vAlign w:val="bottom"/>
            <w:tcBorders>
              <w:bottom w:val="single" w:sz="8" w:color="CCEEFF"/>
            </w:tcBorders>
          </w:tcPr>
          <w:p>
            <w:pPr>
              <w:spacing w:after="0"/>
              <w:rPr>
                <w:sz w:val="19"/>
                <w:szCs w:val="19"/>
                <w:color w:val="auto"/>
              </w:rPr>
            </w:pPr>
          </w:p>
        </w:tc>
      </w:tr>
      <w:tr>
        <w:trPr>
          <w:trHeight w:val="21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501"/>
        </w:trPr>
        <w:tc>
          <w:tcPr>
            <w:tcW w:w="4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Translation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6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23"/>
        </w:trPr>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20"/>
                <w:szCs w:val="20"/>
                <w:color w:val="auto"/>
              </w:rPr>
            </w:pPr>
          </w:p>
        </w:tc>
      </w:tr>
      <w:tr>
        <w:trPr>
          <w:trHeight w:val="243"/>
        </w:trPr>
        <w:tc>
          <w:tcPr>
            <w:tcW w:w="482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5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21"/>
                <w:szCs w:val="21"/>
                <w:color w:val="auto"/>
              </w:rPr>
            </w:pPr>
          </w:p>
        </w:tc>
      </w:tr>
      <w:tr>
        <w:trPr>
          <w:trHeight w:val="223"/>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period activity</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Borders>
              <w:bottom w:val="single" w:sz="8" w:color="CCEEFF"/>
            </w:tcBorders>
          </w:tcPr>
          <w:p>
            <w:pPr>
              <w:spacing w:after="0"/>
              <w:rPr>
                <w:sz w:val="19"/>
                <w:szCs w:val="19"/>
                <w:color w:val="auto"/>
              </w:rPr>
            </w:pPr>
          </w:p>
        </w:tc>
      </w:tr>
      <w:tr>
        <w:trPr>
          <w:trHeight w:val="21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CASH FLOWS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228"/>
        </w:trPr>
        <w:tc>
          <w:tcPr>
            <w:tcW w:w="6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r>
      <w:tr>
        <w:trPr>
          <w:trHeight w:val="223"/>
        </w:trPr>
        <w:tc>
          <w:tcPr>
            <w:tcW w:w="6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659</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996</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Equity-indexed compensation expense</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16"/>
                <w:szCs w:val="16"/>
                <w:color w:val="auto"/>
              </w:rPr>
              <w:t>Inventory valuation adjustments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 expense/(benefit)</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16"/>
                <w:szCs w:val="16"/>
                <w:color w:val="auto"/>
              </w:rPr>
              <w:t>Gain on sales of linefill and base gas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(Gain)/loss on foreign currency revaluation</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16"/>
                <w:szCs w:val="16"/>
                <w:color w:val="auto"/>
              </w:rPr>
              <w:t>Settlement of terminated interest rate hedging instruments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earnings in unconsolidated entities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16"/>
                <w:szCs w:val="16"/>
                <w:color w:val="auto"/>
              </w:rPr>
              <w:t>Distributions from unconsolidated entities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Changes in assets and liabilities, net of acquisitions</w:t>
            </w:r>
          </w:p>
        </w:tc>
        <w:tc>
          <w:tcPr>
            <w:tcW w:w="1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Borders>
              <w:bottom w:val="single" w:sz="8" w:color="CCEEFF"/>
            </w:tcBorders>
          </w:tcPr>
          <w:p>
            <w:pPr>
              <w:spacing w:after="0"/>
              <w:rPr>
                <w:sz w:val="20"/>
                <w:szCs w:val="20"/>
                <w:color w:val="auto"/>
              </w:rPr>
            </w:pPr>
          </w:p>
        </w:tc>
      </w:tr>
      <w:tr>
        <w:trPr>
          <w:trHeight w:val="22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40" w:type="dxa"/>
            <w:vAlign w:val="bottom"/>
            <w:shd w:val="clear" w:color="auto" w:fill="CCEEFF"/>
          </w:tcPr>
          <w:p>
            <w:pPr>
              <w:spacing w:after="0"/>
              <w:rPr>
                <w:sz w:val="19"/>
                <w:szCs w:val="19"/>
                <w:color w:val="auto"/>
              </w:rPr>
            </w:pPr>
          </w:p>
        </w:tc>
      </w:tr>
      <w:tr>
        <w:trPr>
          <w:trHeight w:val="240"/>
        </w:trPr>
        <w:tc>
          <w:tcPr>
            <w:tcW w:w="6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Cash paid in connection with acquisitions, net of cash acquired</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Additions to property, equipment and other</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Investment in unconsolidated entities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Cash received for sales of linefill and base gas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Cash paid for purchases of linefill and base gas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assets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investing activities</w:t>
            </w:r>
          </w:p>
        </w:tc>
        <w:tc>
          <w:tcPr>
            <w:tcW w:w="1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20"/>
                <w:szCs w:val="20"/>
                <w:color w:val="auto"/>
              </w:rPr>
            </w:pPr>
          </w:p>
        </w:tc>
      </w:tr>
      <w:tr>
        <w:trPr>
          <w:trHeight w:val="22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40" w:type="dxa"/>
            <w:vAlign w:val="bottom"/>
            <w:shd w:val="clear" w:color="auto" w:fill="CCEEFF"/>
          </w:tcPr>
          <w:p>
            <w:pPr>
              <w:spacing w:after="0"/>
              <w:rPr>
                <w:sz w:val="19"/>
                <w:szCs w:val="19"/>
                <w:color w:val="auto"/>
              </w:rPr>
            </w:pPr>
          </w:p>
        </w:tc>
      </w:tr>
      <w:tr>
        <w:trPr>
          <w:trHeight w:val="240"/>
        </w:trPr>
        <w:tc>
          <w:tcPr>
            <w:tcW w:w="6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Net borrowings/(repayments) under commercial paper program (Note 6)</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senior notes (Note 6)</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Repayments of senior notes (Note 6)</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the issuance of common units (Note 7)</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Contributions from general partner</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paid to common unitholders (Note 7)</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Distributions paid to general partner (Note 7)</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(344)</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paid to noncontrolling interests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Costs incurred in connection with financing arrangements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0"/>
                <w:szCs w:val="20"/>
                <w:color w:val="auto"/>
              </w:rPr>
            </w:pP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w:t>
            </w:r>
          </w:p>
        </w:tc>
        <w:tc>
          <w:tcPr>
            <w:tcW w:w="1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1"/>
                <w:szCs w:val="21"/>
                <w:color w:val="auto"/>
              </w:rPr>
            </w:pPr>
          </w:p>
        </w:tc>
      </w:tr>
      <w:tr>
        <w:trPr>
          <w:trHeight w:val="223"/>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financing activities</w:t>
            </w:r>
          </w:p>
        </w:tc>
        <w:tc>
          <w:tcPr>
            <w:tcW w:w="1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40" w:type="dxa"/>
            <w:vAlign w:val="bottom"/>
            <w:tcBorders>
              <w:bottom w:val="single" w:sz="8" w:color="CCEEFF"/>
            </w:tcBorders>
          </w:tcPr>
          <w:p>
            <w:pPr>
              <w:spacing w:after="0"/>
              <w:rPr>
                <w:sz w:val="19"/>
                <w:szCs w:val="19"/>
                <w:color w:val="auto"/>
              </w:rPr>
            </w:pPr>
          </w:p>
        </w:tc>
      </w:tr>
      <w:tr>
        <w:trPr>
          <w:trHeight w:val="240"/>
        </w:trPr>
        <w:tc>
          <w:tcPr>
            <w:tcW w:w="60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Effect of translation adjustment on cash</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1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21"/>
                <w:szCs w:val="21"/>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9"/>
                <w:szCs w:val="19"/>
                <w:color w:val="auto"/>
              </w:rPr>
            </w:pPr>
          </w:p>
        </w:tc>
      </w:tr>
      <w:tr>
        <w:trPr>
          <w:trHeight w:val="243"/>
        </w:trPr>
        <w:tc>
          <w:tcPr>
            <w:tcW w:w="60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16"/>
                <w:szCs w:val="16"/>
                <w:color w:val="auto"/>
              </w:rPr>
              <w:t>Cash paid for:</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6"/>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net of amounts capitalized</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CCEEFF"/>
          </w:tcPr>
          <w:p>
            <w:pPr>
              <w:spacing w:after="0"/>
              <w:rPr>
                <w:sz w:val="21"/>
                <w:szCs w:val="21"/>
                <w:color w:val="auto"/>
              </w:rPr>
            </w:pPr>
          </w:p>
        </w:tc>
      </w:tr>
      <w:tr>
        <w:trPr>
          <w:trHeight w:val="237"/>
        </w:trPr>
        <w:tc>
          <w:tcPr>
            <w:tcW w:w="6020" w:type="dxa"/>
            <w:vAlign w:val="bottom"/>
          </w:tcPr>
          <w:p>
            <w:pPr>
              <w:ind w:left="120"/>
              <w:spacing w:after="0"/>
              <w:rPr>
                <w:sz w:val="20"/>
                <w:szCs w:val="20"/>
                <w:color w:val="auto"/>
              </w:rPr>
            </w:pPr>
            <w:r>
              <w:rPr>
                <w:rFonts w:ascii="Arial" w:cs="Arial" w:eastAsia="Arial" w:hAnsi="Arial"/>
                <w:sz w:val="16"/>
                <w:szCs w:val="16"/>
                <w:color w:val="auto"/>
              </w:rPr>
              <w:t>Income taxes, net of amounts refunded</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20"/>
                <w:szCs w:val="20"/>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572"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90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 Capital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3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720" w:type="dxa"/>
            <w:vAlign w:val="bottom"/>
          </w:tcPr>
          <w:p>
            <w:pPr>
              <w:spacing w:after="0"/>
              <w:rPr>
                <w:sz w:val="19"/>
                <w:szCs w:val="19"/>
                <w:color w:val="auto"/>
              </w:rPr>
            </w:pPr>
          </w:p>
        </w:tc>
        <w:tc>
          <w:tcPr>
            <w:tcW w:w="1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9"/>
                <w:szCs w:val="19"/>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9"/>
                <w:szCs w:val="19"/>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Partners’</w:t>
            </w:r>
          </w:p>
        </w:tc>
      </w:tr>
      <w:tr>
        <w:trPr>
          <w:trHeight w:val="237"/>
        </w:trPr>
        <w:tc>
          <w:tcPr>
            <w:tcW w:w="372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7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60" w:type="dxa"/>
            <w:vAlign w:val="bottom"/>
            <w:shd w:val="clear" w:color="auto" w:fill="CCEEFF"/>
          </w:tcPr>
          <w:p>
            <w:pPr>
              <w:spacing w:after="0"/>
              <w:rPr>
                <w:sz w:val="21"/>
                <w:szCs w:val="21"/>
                <w:color w:val="auto"/>
              </w:rPr>
            </w:pPr>
          </w:p>
        </w:tc>
      </w:tr>
      <w:tr>
        <w:trPr>
          <w:trHeight w:val="217"/>
        </w:trPr>
        <w:tc>
          <w:tcPr>
            <w:tcW w:w="37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60" w:type="dxa"/>
            <w:vAlign w:val="bottom"/>
            <w:tcBorders>
              <w:top w:val="single" w:sz="8" w:color="CCEEFF"/>
            </w:tcBorders>
          </w:tcPr>
          <w:p>
            <w:pPr>
              <w:spacing w:after="0"/>
              <w:rPr>
                <w:sz w:val="18"/>
                <w:szCs w:val="18"/>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(1,240)</w:t>
            </w:r>
          </w:p>
        </w:tc>
        <w:tc>
          <w:tcPr>
            <w:tcW w:w="60" w:type="dxa"/>
            <w:vAlign w:val="bottom"/>
            <w:shd w:val="clear" w:color="auto" w:fill="CCEEFF"/>
          </w:tcPr>
          <w:p>
            <w:pPr>
              <w:spacing w:after="0"/>
              <w:rPr>
                <w:sz w:val="21"/>
                <w:szCs w:val="2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1,099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21"/>
                <w:szCs w:val="21"/>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02"/>
        </w:trPr>
        <w:tc>
          <w:tcPr>
            <w:tcW w:w="3720" w:type="dxa"/>
            <w:vAlign w:val="bottom"/>
          </w:tcPr>
          <w:p>
            <w:pPr>
              <w:ind w:left="100"/>
              <w:spacing w:after="0" w:line="201" w:lineRule="exact"/>
              <w:rPr>
                <w:sz w:val="20"/>
                <w:szCs w:val="20"/>
                <w:color w:val="auto"/>
              </w:rPr>
            </w:pPr>
            <w:r>
              <w:rPr>
                <w:rFonts w:ascii="Arial" w:cs="Arial" w:eastAsia="Arial" w:hAnsi="Arial"/>
                <w:sz w:val="18"/>
                <w:szCs w:val="18"/>
                <w:color w:val="auto"/>
              </w:rPr>
              <w:t>Settlement of employee income tax</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18"/>
                <w:szCs w:val="18"/>
                <w:color w:val="auto"/>
              </w:rPr>
              <w:t>withholding obligations under LTIP</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1"/>
                <w:szCs w:val="2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21"/>
                <w:szCs w:val="2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397.7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7,799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60" w:type="dxa"/>
            <w:vAlign w:val="bottom"/>
          </w:tcPr>
          <w:p>
            <w:pPr>
              <w:spacing w:after="0"/>
              <w:rPr>
                <w:sz w:val="18"/>
                <w:szCs w:val="18"/>
                <w:color w:val="auto"/>
              </w:rPr>
            </w:pPr>
          </w:p>
        </w:tc>
      </w:tr>
      <w:tr>
        <w:trPr>
          <w:trHeight w:val="501"/>
        </w:trPr>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Partners’ Capital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720" w:type="dxa"/>
            <w:vAlign w:val="bottom"/>
          </w:tcPr>
          <w:p>
            <w:pPr>
              <w:spacing w:after="0"/>
              <w:rPr>
                <w:sz w:val="19"/>
                <w:szCs w:val="19"/>
                <w:color w:val="auto"/>
              </w:rPr>
            </w:pPr>
          </w:p>
        </w:tc>
        <w:tc>
          <w:tcPr>
            <w:tcW w:w="1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9"/>
                <w:szCs w:val="19"/>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9"/>
                <w:szCs w:val="19"/>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Partners’</w:t>
            </w:r>
          </w:p>
        </w:tc>
      </w:tr>
      <w:tr>
        <w:trPr>
          <w:trHeight w:val="237"/>
        </w:trPr>
        <w:tc>
          <w:tcPr>
            <w:tcW w:w="372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7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20"/>
                <w:szCs w:val="20"/>
                <w:color w:val="auto"/>
              </w:rPr>
            </w:pPr>
          </w:p>
        </w:tc>
      </w:tr>
      <w:tr>
        <w:trPr>
          <w:trHeight w:val="243"/>
        </w:trPr>
        <w:tc>
          <w:tcPr>
            <w:tcW w:w="37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0" w:type="dxa"/>
            <w:vAlign w:val="bottom"/>
            <w:tcBorders>
              <w:top w:val="single" w:sz="8" w:color="CCEEFF"/>
            </w:tcBorders>
          </w:tcPr>
          <w:p>
            <w:pPr>
              <w:spacing w:after="0"/>
              <w:rPr>
                <w:sz w:val="21"/>
                <w:szCs w:val="21"/>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w:t>
            </w:r>
          </w:p>
        </w:tc>
        <w:tc>
          <w:tcPr>
            <w:tcW w:w="60" w:type="dxa"/>
            <w:vAlign w:val="bottom"/>
            <w:shd w:val="clear" w:color="auto" w:fill="CCEEFF"/>
          </w:tcPr>
          <w:p>
            <w:pPr>
              <w:spacing w:after="0"/>
              <w:rPr>
                <w:sz w:val="21"/>
                <w:szCs w:val="2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21"/>
                <w:szCs w:val="21"/>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r>
      <w:tr>
        <w:trPr>
          <w:trHeight w:val="202"/>
        </w:trPr>
        <w:tc>
          <w:tcPr>
            <w:tcW w:w="3720" w:type="dxa"/>
            <w:vAlign w:val="bottom"/>
          </w:tcPr>
          <w:p>
            <w:pPr>
              <w:ind w:left="100"/>
              <w:spacing w:after="0" w:line="201" w:lineRule="exact"/>
              <w:rPr>
                <w:sz w:val="20"/>
                <w:szCs w:val="20"/>
                <w:color w:val="auto"/>
              </w:rPr>
            </w:pPr>
            <w:r>
              <w:rPr>
                <w:rFonts w:ascii="Arial" w:cs="Arial" w:eastAsia="Arial" w:hAnsi="Arial"/>
                <w:sz w:val="18"/>
                <w:szCs w:val="18"/>
                <w:color w:val="auto"/>
              </w:rPr>
              <w:t>Settlement of employee income tax</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18"/>
                <w:szCs w:val="18"/>
                <w:color w:val="auto"/>
              </w:rPr>
              <w:t>withholding obligations under LTIP</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21"/>
                <w:szCs w:val="2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r>
      <w:tr>
        <w:trPr>
          <w:trHeight w:val="243"/>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21"/>
                <w:szCs w:val="21"/>
                <w:color w:val="auto"/>
              </w:rPr>
            </w:pPr>
          </w:p>
        </w:tc>
      </w:tr>
      <w:tr>
        <w:trPr>
          <w:trHeight w:val="243"/>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21"/>
                <w:szCs w:val="21"/>
                <w:color w:val="auto"/>
              </w:rPr>
            </w:pPr>
          </w:p>
        </w:tc>
      </w:tr>
      <w:tr>
        <w:trPr>
          <w:trHeight w:val="217"/>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371.5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36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September 30, 2015, owned an approximate 37% limited partner interest in AAP.</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AOCI</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Accumulated other comprehensive income/(loss)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Bcf</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Billion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Btu</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British thermal unit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CAD</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Canadian dollar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DERs</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EPA</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United States Environmental Protection Agency</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FASB</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Financial Accounting Standards Board</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GAAP</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Generally accepted accounting principles in the United States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ICE</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Intercontinental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LIBOR</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London Interbank Offered Rate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LTIP</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Long-term incentive plan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Mcf</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Thousand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MLP</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NGL</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Natural gas liquids, including ethane, propane and butane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NYMEX</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New York Mercantile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Oxy</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PLA</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Pipeline loss allowance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w:t>
            </w: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   United States Securities and Exchange Commission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USD</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United States dollar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WTI</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480" w:type="dxa"/>
            <w:vAlign w:val="bottom"/>
          </w:tcPr>
          <w:p>
            <w:pPr>
              <w:ind w:left="120"/>
              <w:spacing w:after="0"/>
              <w:rPr>
                <w:sz w:val="20"/>
                <w:szCs w:val="20"/>
                <w:color w:val="auto"/>
              </w:rPr>
            </w:pPr>
            <w:r>
              <w:rPr>
                <w:rFonts w:ascii="Arial" w:cs="Arial" w:eastAsia="Arial" w:hAnsi="Arial"/>
                <w:sz w:val="18"/>
                <w:szCs w:val="18"/>
                <w:color w:val="auto"/>
              </w:rPr>
              <w:t>West Texas Intermediate</w:t>
            </w:r>
          </w:p>
        </w:tc>
      </w:tr>
      <w:tr>
        <w:trPr>
          <w:trHeight w:val="86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2900"/>
              <w:spacing w:after="0"/>
              <w:rPr>
                <w:sz w:val="20"/>
                <w:szCs w:val="20"/>
                <w:color w:val="auto"/>
              </w:rPr>
            </w:pPr>
            <w:r>
              <w:rPr>
                <w:rFonts w:ascii="Arial" w:cs="Arial" w:eastAsia="Arial" w:hAnsi="Arial"/>
                <w:sz w:val="18"/>
                <w:szCs w:val="18"/>
                <w:color w:val="auto"/>
              </w:rPr>
              <w:t>8</w:t>
            </w:r>
          </w:p>
        </w:tc>
      </w:tr>
      <w:tr>
        <w:trPr>
          <w:trHeight w:val="129"/>
        </w:trPr>
        <w:tc>
          <w:tcPr>
            <w:tcW w:w="10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59" w:firstLine="648"/>
        <w:spacing w:after="0" w:line="287"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2014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PAA. The condensed consolidated balance sheet data as of December 31, 2014 was derived from audited financial statements, but does not include all disclosures required by GAAP. The results of operations for the three and nine months ended September 30, 2015 should not be taken as indicative of results to be expected for the entire year.</w:t>
      </w:r>
    </w:p>
    <w:p>
      <w:pPr>
        <w:spacing w:after="0" w:line="169" w:lineRule="exact"/>
        <w:rPr>
          <w:sz w:val="20"/>
          <w:szCs w:val="20"/>
          <w:color w:val="auto"/>
        </w:rPr>
      </w:pPr>
    </w:p>
    <w:p>
      <w:pPr>
        <w:ind w:right="19"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will become effective for interim and annual periods beginning after December 15, 2015, with early adoption permitted, and must be applied prospectively. We expect to adopt this guidance on January 1, 2016, and our adoption is not expected to have a material impact on our financial position, results of operations or cash flows.</w:t>
      </w:r>
    </w:p>
    <w:p>
      <w:pPr>
        <w:spacing w:after="0" w:line="179" w:lineRule="exact"/>
        <w:rPr>
          <w:sz w:val="20"/>
          <w:szCs w:val="20"/>
          <w:color w:val="auto"/>
        </w:rPr>
      </w:pPr>
    </w:p>
    <w:p>
      <w:pPr>
        <w:ind w:right="99" w:firstLine="648"/>
        <w:spacing w:after="0" w:line="293" w:lineRule="auto"/>
        <w:rPr>
          <w:sz w:val="20"/>
          <w:szCs w:val="20"/>
          <w:color w:val="auto"/>
        </w:rPr>
      </w:pPr>
      <w:r>
        <w:rPr>
          <w:rFonts w:ascii="Arial" w:cs="Arial" w:eastAsia="Arial" w:hAnsi="Arial"/>
          <w:sz w:val="16"/>
          <w:szCs w:val="16"/>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will become effective for interim and annual periods beginning after December 15, 2016, with prospective application required. Early adoption is permitted, including adoption in an interim period. We expect to adopt this guidance on January 1, 2017, and we are currently evaluating the impact that adopting this guidance will have on our financial position, results of operations and cash flows.</w:t>
      </w:r>
    </w:p>
    <w:p>
      <w:pPr>
        <w:spacing w:after="0" w:line="165" w:lineRule="exact"/>
        <w:rPr>
          <w:sz w:val="20"/>
          <w:szCs w:val="20"/>
          <w:color w:val="auto"/>
        </w:rPr>
      </w:pPr>
    </w:p>
    <w:p>
      <w:pPr>
        <w:ind w:right="19" w:firstLine="648"/>
        <w:spacing w:after="0" w:line="291" w:lineRule="auto"/>
        <w:rPr>
          <w:sz w:val="20"/>
          <w:szCs w:val="20"/>
          <w:color w:val="auto"/>
        </w:rPr>
      </w:pPr>
      <w:r>
        <w:rPr>
          <w:rFonts w:ascii="Arial" w:cs="Arial" w:eastAsia="Arial" w:hAnsi="Arial"/>
          <w:sz w:val="16"/>
          <w:szCs w:val="16"/>
          <w:color w:val="auto"/>
        </w:rPr>
        <w:t>In April 2015, the FASB issued guidance to simplify the presentation of debt issuance costs in entities’ financial statements. This updated guidance requires entities to present such costs as a direct deduction from the related debt liability, consistent with debt discounts. Additionally, amortization of the debt issuance costs will be required to be reported as interest expense. This guidance will become effective for interim and annual periods beginning after December 15, 2015, with retrospective application required for all prior periods presented. Early adoption is permitted for financial statements that have not been previously issued. We expect to adopt this guidance during the fourth quarter of 2015. We do not believe our adoption will have a material impact on our financial position, results of operations or cash flows.</w:t>
      </w:r>
    </w:p>
    <w:p>
      <w:pPr>
        <w:spacing w:after="0" w:line="167" w:lineRule="exact"/>
        <w:rPr>
          <w:sz w:val="20"/>
          <w:szCs w:val="20"/>
          <w:color w:val="auto"/>
        </w:rPr>
      </w:pPr>
    </w:p>
    <w:p>
      <w:pPr>
        <w:ind w:right="79" w:firstLine="648"/>
        <w:spacing w:after="0" w:line="290"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 (i) 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will adopt this guidance on January 1,</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2016. We do not believe our adoption will have a material impact on our financial position, results of operations or cash flows.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will adopt this guidance on January 1, 2016. We do not believe our adoption will have a material impact on our financial position, results of operations or cash flows.</w:t>
      </w:r>
    </w:p>
    <w:p>
      <w:pPr>
        <w:spacing w:after="0" w:line="17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August 2015, the FASB issued guidance deferring the effective date to interim and annual periods beginning after December 15, 2017. Therefore, we expect to adopt this guidance on January 1, 2018, and we are currently evaluating which transition approach to apply and the impact that adopting this guidance will have on our financial position, results of operations and cash flows.</w:t>
      </w:r>
    </w:p>
    <w:p>
      <w:pPr>
        <w:spacing w:after="0" w:line="18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Limited Partner Unit</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Basic and diluted net income per limited partner unit is determined pursuant to the two-class method for MLPs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calculate basic and diluted net income per limited partner unit by dividing net income attributable to PAA (after deducting the amount allocated to the general partner’s interest,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Diluted net income per limited partner unit is computed based on the weighted-average number of limited partner units plus the effect of dilutive potential limited partner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limited partner unit repurchase based on the remaining unamortized fair value, as prescribed by the treasury stock method in guidance issued by the FASB. See Note 16 to our Consolidated Financial Statements included in Part IV of our 2014 Annual Report on Form 10-K for a complete discussion of our LTIP awards including specific discussion regarding 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limited partner unit for the periods indicated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1360" w:type="dxa"/>
            <w:vAlign w:val="bottom"/>
            <w:gridSpan w:val="6"/>
          </w:tcPr>
          <w:p>
            <w:pPr>
              <w:jc w:val="right"/>
              <w:ind w:right="1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5"/>
          </w:tcPr>
          <w:p>
            <w:pPr>
              <w:jc w:val="right"/>
              <w:ind w:right="1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37"/>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Net income attributable to PAA</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8"/>
                <w:szCs w:val="8"/>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6100" w:type="dxa"/>
            <w:vAlign w:val="bottom"/>
          </w:tcPr>
          <w:p>
            <w:pPr>
              <w:ind w:left="320"/>
              <w:spacing w:after="0"/>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8"/>
                <w:szCs w:val="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limited partners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44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8"/>
                <w:szCs w:val="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Net income attributable to limited partners in accordance with application of the</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0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two-class method for MLPs</w:t>
            </w:r>
          </w:p>
        </w:tc>
        <w:tc>
          <w:tcPr>
            <w:tcW w:w="22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52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limited partner units outstanding</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net income per limited partner unit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6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Net income attributable to PAA</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8"/>
                <w:szCs w:val="8"/>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6100" w:type="dxa"/>
            <w:vAlign w:val="bottom"/>
          </w:tcPr>
          <w:p>
            <w:pPr>
              <w:ind w:left="320"/>
              <w:spacing w:after="0"/>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8"/>
                <w:szCs w:val="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limited partners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44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8"/>
                <w:szCs w:val="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Net income attributable to limited partners in accordance with application of the</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0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two-class method for MLPs</w:t>
            </w:r>
          </w:p>
        </w:tc>
        <w:tc>
          <w:tcPr>
            <w:tcW w:w="22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52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limited partner units outstanding</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Effect of dilutive securities: Weighted average LTIP units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weighted average limited partner units 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income per limited partner unit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100" w:hanging="417"/>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calculate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our partnership agreement and as further prescribed under the two-class method.</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Pursuant to the terms of our partnership agreement, the general partner’s incentive distribution is limited to a percentage of available cash, which, as defined in our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our partnership agreement, basic and diluted net income per limited partner unit as reflected in the table above would not have been impacted, as we did not have undistributed earnings for any of the periods presented.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2015 and December 31, 2014, we had received $110 million and $180 million, respectively, of advance cash payments from third parties to mitigate credit risk. We also received $46 million and $198 million, as of September 30, 2015 and December 31, 2014, respectively, of standby letters of credit to support obligations due from third parties, a portion of which applies to future business. The decrease in standby letters of credit and advance cash payments from third parties as of September 30, 2015 compared to December 31, 2014 is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2015 and December 31, 2014, substantially all of our trade accounts receivable (net of allowance for doubtful accounts) were less than 30 days past their scheduled invoice date. Our allowance for doubtful accounts receivable totaled $4 million as of both September 30, 2015 and December 31, 2014.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September 30, 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2"/>
        </w:trPr>
        <w:tc>
          <w:tcPr>
            <w:tcW w:w="2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Unit of</w:t>
            </w: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Unit of</w:t>
            </w:r>
          </w:p>
        </w:tc>
        <w:tc>
          <w:tcPr>
            <w:tcW w:w="1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r>
      <w:tr>
        <w:trPr>
          <w:trHeight w:val="228"/>
        </w:trPr>
        <w:tc>
          <w:tcPr>
            <w:tcW w:w="2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Volumes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Volumes</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r>
      <w:tr>
        <w:trPr>
          <w:trHeight w:val="237"/>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6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right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11,796</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40.27</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18,461</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14.73</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Natural gas</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17,923</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32,317</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r>
      <w:tr>
        <w:trPr>
          <w:trHeight w:val="223"/>
        </w:trPr>
        <w:tc>
          <w:tcPr>
            <w:tcW w:w="2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Inventory subtotal</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12,327</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58.73</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33.38</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42.90</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30,812</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1"/>
                <w:szCs w:val="21"/>
                <w:color w:val="auto"/>
              </w:rPr>
            </w:pPr>
          </w:p>
        </w:tc>
      </w:tr>
      <w:tr>
        <w:trPr>
          <w:trHeight w:val="223"/>
        </w:trPr>
        <w:tc>
          <w:tcPr>
            <w:tcW w:w="2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Linefill and base gas subtotal</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41.64</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1,652</w:t>
            </w:r>
          </w:p>
        </w:tc>
        <w:tc>
          <w:tcPr>
            <w:tcW w:w="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13.92</w:t>
            </w:r>
          </w:p>
        </w:tc>
        <w:tc>
          <w:tcPr>
            <w:tcW w:w="180" w:type="dxa"/>
            <w:vAlign w:val="bottom"/>
            <w:tcBorders>
              <w:bottom w:val="single" w:sz="8" w:color="CCEEFF"/>
              <w:right w:val="single" w:sz="8" w:color="auto"/>
            </w:tcBorders>
          </w:tcPr>
          <w:p>
            <w:pPr>
              <w:spacing w:after="0"/>
              <w:rPr>
                <w:sz w:val="21"/>
                <w:szCs w:val="21"/>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1,681</w:t>
            </w:r>
          </w:p>
        </w:tc>
        <w:tc>
          <w:tcPr>
            <w:tcW w:w="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Borders>
              <w:bottom w:val="single" w:sz="8" w:color="CCEEFF"/>
            </w:tcBorders>
          </w:tcPr>
          <w:p>
            <w:pPr>
              <w:spacing w:after="0"/>
              <w:rPr>
                <w:sz w:val="21"/>
                <w:szCs w:val="21"/>
                <w:color w:val="auto"/>
              </w:rPr>
            </w:pPr>
          </w:p>
        </w:tc>
      </w:tr>
      <w:tr>
        <w:trPr>
          <w:trHeight w:val="223"/>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inventory subtotal</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7"/>
        </w:trPr>
        <w:tc>
          <w:tcPr>
            <w:tcW w:w="27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260" w:hanging="417"/>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Price per unit of measure is comprised of a weighted average associated with various grades, qualities and locations. Accordingly, these prices may not coincide with any published benchmarks for such products.</w:t>
      </w:r>
    </w:p>
    <w:p>
      <w:pPr>
        <w:spacing w:after="0" w:line="14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$25 million during the nine months ended September 30, 2015, which primarily related to the writedown of our NGL inventory due to declines in prices during the first quarter of 2015. The loss was substantially offset by a portion of the derivative mark-to-market gain that was recognized in the fourth quarter of 2014. See Note 8 for discussion of our derivative and risk management activities. During the nine months ended September 30, 2014, we recorded a charge of $37 million related to the writedown of our natural gas inventory that was purchased in conjunction with managing natural gas storage deliverability requirements during the extended period of severe cold weather in the first quarter of 2014.</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Commercial paper notes, bearing a weighted-average interest rate of 0.43% and 0.46%,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respectively </w:t>
            </w:r>
            <w:r>
              <w:rPr>
                <w:rFonts w:ascii="Arial" w:cs="Arial" w:eastAsia="Arial" w:hAnsi="Arial"/>
                <w:sz w:val="8"/>
                <w:szCs w:val="8"/>
                <w:color w:val="auto"/>
              </w:rPr>
              <w:t>(1)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0"/>
                <w:szCs w:val="20"/>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5.25% senior notes due June 2015</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3.95% senior notes due September 2015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r>
      <w:tr>
        <w:trPr>
          <w:trHeight w:val="24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Total short-term debt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43"/>
        </w:trPr>
        <w:tc>
          <w:tcPr>
            <w:tcW w:w="6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Senior notes, net of unamortized discount of $18 and $18, respectively </w:t>
            </w:r>
            <w:r>
              <w:rPr>
                <w:rFonts w:ascii="Arial" w:cs="Arial" w:eastAsia="Arial" w:hAnsi="Arial"/>
                <w:sz w:val="8"/>
                <w:szCs w:val="8"/>
                <w:color w:val="auto"/>
              </w:rPr>
              <w:t>(2)</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CCEEFF"/>
          </w:tcPr>
          <w:p>
            <w:pPr>
              <w:spacing w:after="0"/>
              <w:rPr>
                <w:sz w:val="21"/>
                <w:szCs w:val="2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 xml:space="preserve">Commercial paper notes, bearing a weighted-average interest rate of 0.43% </w:t>
            </w:r>
            <w:r>
              <w:rPr>
                <w:rFonts w:ascii="Arial" w:cs="Arial" w:eastAsia="Arial" w:hAnsi="Arial"/>
                <w:sz w:val="8"/>
                <w:szCs w:val="8"/>
                <w:color w:val="auto"/>
              </w:rPr>
              <w:t>(2)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tcPr>
          <w:p>
            <w:pPr>
              <w:spacing w:after="0"/>
              <w:rPr>
                <w:sz w:val="19"/>
                <w:szCs w:val="19"/>
                <w:color w:val="auto"/>
              </w:rPr>
            </w:pPr>
          </w:p>
        </w:tc>
      </w:tr>
      <w:tr>
        <w:trPr>
          <w:trHeight w:val="21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8"/>
                <w:szCs w:val="8"/>
                <w:color w:val="auto"/>
              </w:rPr>
              <w:t>(3)</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40" w:hanging="417"/>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classified these commercial paper notes as short-term at September 30, 2015 and December 31, 2014 as these notes were primarily designated as working capital borrowings, were required to be repaid within one year and were primarily for hedged NGL and crude oil inventory and NYMEX and ICE margin deposits.</w:t>
      </w:r>
    </w:p>
    <w:p>
      <w:pPr>
        <w:spacing w:after="0" w:line="181" w:lineRule="exact"/>
        <w:rPr>
          <w:rFonts w:ascii="Arial" w:cs="Arial" w:eastAsia="Arial" w:hAnsi="Arial"/>
          <w:sz w:val="18"/>
          <w:szCs w:val="18"/>
          <w:color w:val="auto"/>
        </w:rPr>
      </w:pPr>
    </w:p>
    <w:p>
      <w:pPr>
        <w:ind w:left="420" w:right="160" w:hanging="417"/>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2015, we have classified our $175 million, 5.88% senior notes due August 2016 and a portion of our commercial paper notes as long-term based on our ability and intent to refinance such amounts on a long-term basis.</w:t>
      </w:r>
    </w:p>
    <w:p>
      <w:pPr>
        <w:spacing w:after="0" w:line="181" w:lineRule="exact"/>
        <w:rPr>
          <w:rFonts w:ascii="Arial" w:cs="Arial" w:eastAsia="Arial" w:hAnsi="Arial"/>
          <w:sz w:val="18"/>
          <w:szCs w:val="18"/>
          <w:color w:val="auto"/>
        </w:rPr>
      </w:pPr>
    </w:p>
    <w:p>
      <w:pPr>
        <w:ind w:left="420" w:hanging="417"/>
        <w:spacing w:after="0" w:line="25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fixed-rate senior notes (including current maturities) had a face value of approximately $9.8 billion and $9.3 billion as of September 30, 2015 and December 31, 2014, respectively. We estimated the aggregate fair value of these notes as of September 30, 2015 and December 31, 2014 to be approximately $9.7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January 2015, we entered into an agreement for a 364-day senior unsecured revolving credit facility with a borrowing capacity of $1.0 billion. Borrowings accrue interest based, at our election, on either the Eurocurrency Rate or the Base Rate, as defined in the agreement, in each case plus a margin based on our credit rating at the applicable time. In August 2015, we amended this agreement to extend the maturity date to August 2016.</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August 2015, we also extended the maturity dates of our senior secured hedged inventory facility and our senior unsecured revolving credit facility to August 2018 and August 2020,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Total borrowings under our credit agreements and commercial paper program for the nine months ended September 30, 2015 and 2014 were approximately $37.1 billion and $55.6 billion, respectively. Total repayments under our credit agreements and commercial paper program were approximately $36.9 billion and $56.3 billion for the nine months ended September 30,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September 30, 2015 and December 31, 2014, we had outstanding letters of credit of $44 million and $87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Issuances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August 2015, we completed the issuance of $1.0 billion, 4.65% senior notes due 2025 at a public offering price of 99.846%. Interest payments are due on April 15 and October 15 of each year, commencing on April 15,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$150 million, 5.25% senior notes and $400 million, 3.95% senior notes were repaid in June 2015 and September 2015, respectively. We utilized cash on hand and available capacity under our commercial paper program to repay these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nine months of 2015, net of reductions to the general partner’s incentive distributions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Distributions Paid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Distributions</w:t>
            </w:r>
          </w:p>
        </w:tc>
      </w:tr>
      <w:tr>
        <w:trPr>
          <w:trHeight w:val="237"/>
        </w:trPr>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b w:val="1"/>
                <w:bCs w:val="1"/>
                <w:color w:val="auto"/>
              </w:rPr>
              <w:t>Limited</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General Partner</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 limited</w:t>
            </w:r>
          </w:p>
        </w:tc>
      </w:tr>
      <w:tr>
        <w:trPr>
          <w:trHeight w:val="142"/>
        </w:trPr>
        <w:tc>
          <w:tcPr>
            <w:tcW w:w="1240" w:type="dxa"/>
            <w:vAlign w:val="bottom"/>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18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Distribution Date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Partners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8"/>
              </w:rPr>
              <w:t>Incentive</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23"/>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October 7, 2015</w:t>
            </w:r>
          </w:p>
        </w:tc>
        <w:tc>
          <w:tcPr>
            <w:tcW w:w="2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November 13, 2015</w:t>
            </w:r>
          </w:p>
        </w:tc>
        <w:tc>
          <w:tcPr>
            <w:tcW w:w="1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433</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18"/>
                <w:szCs w:val="18"/>
                <w:color w:val="auto"/>
              </w:rPr>
              <w:t>July 7, 2015</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August 14, 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84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428</w:t>
            </w:r>
          </w:p>
        </w:tc>
        <w:tc>
          <w:tcPr>
            <w:tcW w:w="16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0.6950</w:t>
            </w:r>
          </w:p>
        </w:tc>
        <w:tc>
          <w:tcPr>
            <w:tcW w:w="140" w:type="dxa"/>
            <w:vAlign w:val="bottom"/>
          </w:tcPr>
          <w:p>
            <w:pPr>
              <w:spacing w:after="0"/>
              <w:rPr>
                <w:sz w:val="21"/>
                <w:szCs w:val="21"/>
                <w:color w:val="auto"/>
              </w:rPr>
            </w:pPr>
          </w:p>
        </w:tc>
      </w:tr>
      <w:tr>
        <w:trPr>
          <w:trHeight w:val="243"/>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April 7, 2015</w:t>
            </w:r>
          </w:p>
        </w:tc>
        <w:tc>
          <w:tcPr>
            <w:tcW w:w="1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May 15,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4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w:t>
            </w:r>
          </w:p>
        </w:tc>
        <w:tc>
          <w:tcPr>
            <w:tcW w:w="16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40" w:type="dxa"/>
            <w:vAlign w:val="bottom"/>
            <w:shd w:val="clear" w:color="auto" w:fill="CCEEFF"/>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18"/>
                <w:szCs w:val="18"/>
                <w:color w:val="auto"/>
                <w:w w:val="94"/>
              </w:rPr>
              <w:t>January 8, 2015</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February 13, 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84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390</w:t>
            </w:r>
          </w:p>
        </w:tc>
        <w:tc>
          <w:tcPr>
            <w:tcW w:w="16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0.6750</w:t>
            </w: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60" w:right="600" w:hanging="357"/>
        <w:spacing w:after="0" w:line="277"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October 30, 2015 for the period July 1, 2015 through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Continuous Offering Program</w:t>
      </w:r>
      <w:r>
        <w:rPr>
          <w:rFonts w:ascii="Arial" w:cs="Arial" w:eastAsia="Arial" w:hAnsi="Arial"/>
          <w:sz w:val="18"/>
          <w:szCs w:val="18"/>
          <w:color w:val="auto"/>
        </w:rPr>
        <w:t>. During the nine months ended September 30, 2015, we issued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million common units under our continuous offering program, generating proceeds of $59 million, including our general partner’s proportionate capital contribution of $1 million, net of $1 million of commissions to our sales agents.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In March 2015, we completed an underwritten public offering of 21.0 million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proceeds of approximately $1.1 billion, including our general partner’s proportionate capital contribution of $21 million, net of costs associated with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2015, noncontrolling interests in our subsidiaries consisted of a 25% interest in SLC Pipeline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core business activities involve certain commodity price-related risks that we manage in various ways,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including through the use of derivative instruments. Our policy is to (i) only purchase inventory for which we have a market,</w:t>
      </w:r>
    </w:p>
    <w:p>
      <w:pPr>
        <w:spacing w:after="0" w:line="32" w:lineRule="exact"/>
        <w:rPr>
          <w:sz w:val="20"/>
          <w:szCs w:val="20"/>
          <w:color w:val="auto"/>
        </w:rPr>
      </w:pPr>
    </w:p>
    <w:p>
      <w:pPr>
        <w:ind w:right="180" w:firstLine="3"/>
        <w:spacing w:after="0" w:line="302"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use derivatives to manage the associated risks and to optimize profits. As of September 30, 2015, net derivative positions related to these activities included:</w:t>
      </w:r>
    </w:p>
    <w:p>
      <w:pPr>
        <w:spacing w:after="0" w:line="181" w:lineRule="exact"/>
        <w:rPr>
          <w:sz w:val="20"/>
          <w:szCs w:val="20"/>
          <w:color w:val="auto"/>
        </w:rPr>
      </w:pPr>
    </w:p>
    <w:p>
      <w:pPr>
        <w:ind w:left="740" w:right="140" w:hanging="89"/>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average of 159,000 barrels per day net long position (total of 4.9 million barrels) associated with our crude oil purchases, which was unwound ratably during October 2015 to match monthly average pricing.</w:t>
      </w:r>
    </w:p>
    <w:p>
      <w:pPr>
        <w:spacing w:after="0" w:line="146" w:lineRule="exact"/>
        <w:rPr>
          <w:rFonts w:ascii="Arial" w:cs="Arial" w:eastAsia="Arial" w:hAnsi="Arial"/>
          <w:sz w:val="17"/>
          <w:szCs w:val="17"/>
          <w:color w:val="auto"/>
        </w:rPr>
      </w:pPr>
    </w:p>
    <w:p>
      <w:pPr>
        <w:ind w:left="740" w:right="36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time spread position averaging 12,900 barrels per day (total of 5.9 million barrels), which hedges a portion of our anticipated crude oil lease gathering purchases through December 2016.</w:t>
      </w:r>
    </w:p>
    <w:p>
      <w:pPr>
        <w:spacing w:after="0" w:line="170" w:lineRule="exact"/>
        <w:rPr>
          <w:rFonts w:ascii="Arial" w:cs="Arial" w:eastAsia="Arial" w:hAnsi="Arial"/>
          <w:sz w:val="18"/>
          <w:szCs w:val="18"/>
          <w:color w:val="auto"/>
        </w:rPr>
      </w:pPr>
    </w:p>
    <w:p>
      <w:pPr>
        <w:ind w:left="740" w:right="56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of 8,200 barrels per day (total of 2.2 million barrels) of crude oil grade spread positions through June 2016. These derivatives allow us to lock in grade basis differentials.</w:t>
      </w:r>
    </w:p>
    <w:p>
      <w:pPr>
        <w:spacing w:after="0" w:line="170" w:lineRule="exact"/>
        <w:rPr>
          <w:rFonts w:ascii="Arial" w:cs="Arial" w:eastAsia="Arial" w:hAnsi="Arial"/>
          <w:sz w:val="18"/>
          <w:szCs w:val="18"/>
          <w:color w:val="auto"/>
        </w:rPr>
      </w:pPr>
    </w:p>
    <w:p>
      <w:pPr>
        <w:ind w:left="740" w:right="28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15.8 Bcf through May 2016 related to anticipated sales of natural gas inventory and base gas requirements.</w:t>
      </w:r>
    </w:p>
    <w:p>
      <w:pPr>
        <w:spacing w:after="0" w:line="170" w:lineRule="exact"/>
        <w:rPr>
          <w:rFonts w:ascii="Arial" w:cs="Arial" w:eastAsia="Arial" w:hAnsi="Arial"/>
          <w:sz w:val="18"/>
          <w:szCs w:val="18"/>
          <w:color w:val="auto"/>
        </w:rPr>
      </w:pPr>
    </w:p>
    <w:p>
      <w:pPr>
        <w:ind w:left="740" w:right="18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22.7 million barrels through June 2017 related to anticipated net sales of our crude oil and NGL inventory.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9" w:firstLine="648"/>
        <w:spacing w:after="0" w:line="272" w:lineRule="auto"/>
        <w:rPr>
          <w:sz w:val="20"/>
          <w:szCs w:val="20"/>
          <w:color w:val="auto"/>
        </w:rPr>
      </w:pPr>
      <w:r>
        <w:rPr>
          <w:rFonts w:ascii="Arial" w:cs="Arial" w:eastAsia="Arial" w:hAnsi="Arial"/>
          <w:sz w:val="17"/>
          <w:szCs w:val="17"/>
          <w:i w:val="1"/>
          <w:iCs w:val="1"/>
          <w:color w:val="auto"/>
        </w:rPr>
        <w:t xml:space="preserve">Storage Capacity Utilization — </w:t>
      </w:r>
      <w:r>
        <w:rPr>
          <w:rFonts w:ascii="Arial" w:cs="Arial" w:eastAsia="Arial" w:hAnsi="Arial"/>
          <w:sz w:val="17"/>
          <w:szCs w:val="17"/>
          <w:color w:val="auto"/>
        </w:rPr>
        <w:t>We own a significant amount of crude oil, NGL and refined products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September 30, 2015, we used derivatives to manage the risk of potentially not utilizing an average of approximately 2.0 million barrels per month of storage capacity through January 2018. These positions involve no outright price exposure, but instead enable us to profit in the event it is not economic to store oil.</w:t>
      </w:r>
    </w:p>
    <w:p>
      <w:pPr>
        <w:spacing w:after="0" w:line="178"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i w:val="1"/>
          <w:iCs w:val="1"/>
          <w:color w:val="auto"/>
        </w:rPr>
        <w:t xml:space="preserve">Pipeline Loss Allowance Oil </w:t>
      </w:r>
      <w:r>
        <w:rPr>
          <w:rFonts w:ascii="Arial" w:cs="Arial" w:eastAsia="Arial" w:hAnsi="Arial"/>
          <w:sz w:val="17"/>
          <w:szCs w:val="17"/>
          <w:color w:val="auto"/>
        </w:rPr>
        <w:t>— As is common in the pipeline transportation industry, our tariffs incorporate a loss</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factor that is intended to, among other things, offset losses due to evaporation, measurement and other losses in transit. We utilize derivative instruments to hedge a portion of the anticipated sales of the allowance oil that is to be collected under our tariffs. As of September 30, 2015, our PLA hedges included a net short position consisting of crude oil futures and swaps for an average of approximately 400 barrels per day (total of 0.2 million barrels) and a long call option position of approximately 1.7 million barrels through December 2018.</w:t>
      </w:r>
    </w:p>
    <w:p>
      <w:pPr>
        <w:spacing w:after="0" w:line="178" w:lineRule="exact"/>
        <w:rPr>
          <w:sz w:val="20"/>
          <w:szCs w:val="20"/>
          <w:color w:val="auto"/>
        </w:rPr>
      </w:pPr>
    </w:p>
    <w:p>
      <w:pPr>
        <w:ind w:right="179" w:firstLine="648"/>
        <w:spacing w:after="0" w:line="270"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2015, we had a long natural gas position of 9.7 Bcf through December 2016, a short propane position of 2.2 million barrels through December 2016, a short butane position of 0.6 million barrels through December 2016 and a short WTI position of 0.2 million barrels through December 2016. In addition, we had a long power position of 0.5 million megawatt hours, which hedges a portion of our power supply requirements at our Canadian natural gas processing and fractionation plants through December 2018.</w:t>
      </w:r>
    </w:p>
    <w:p>
      <w:pPr>
        <w:spacing w:after="0" w:line="182" w:lineRule="exact"/>
        <w:rPr>
          <w:sz w:val="20"/>
          <w:szCs w:val="20"/>
          <w:color w:val="auto"/>
        </w:rPr>
      </w:pPr>
    </w:p>
    <w:p>
      <w:pPr>
        <w:ind w:right="139" w:firstLine="648"/>
        <w:spacing w:after="0" w:line="297"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September 30, 2015, AOCI includes deferred losses of $192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have entered into forward starting interest rate swaps to hedge the underlying benchmark interest rate related to forecasted interest payments through 2049. The following table summarizes the terms of our forward starting interest rate swaps as of September 30, 2015 (notional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ind w:left="120"/>
              <w:spacing w:after="0"/>
              <w:rPr>
                <w:sz w:val="20"/>
                <w:szCs w:val="20"/>
                <w:color w:val="auto"/>
              </w:rPr>
            </w:pPr>
            <w:r>
              <w:rPr>
                <w:rFonts w:ascii="Arial" w:cs="Arial" w:eastAsia="Arial" w:hAnsi="Arial"/>
                <w:sz w:val="14"/>
                <w:szCs w:val="14"/>
                <w:b w:val="1"/>
                <w:bCs w:val="1"/>
                <w:color w:val="auto"/>
                <w:w w:val="99"/>
              </w:rPr>
              <w:t>Number and Types of</w:t>
            </w:r>
          </w:p>
        </w:tc>
        <w:tc>
          <w:tcPr>
            <w:tcW w:w="16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Notional</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c>
          <w:tcPr>
            <w:tcW w:w="11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1"/>
              </w:rPr>
              <w:t>Average Rate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Accounting</w:t>
            </w:r>
          </w:p>
        </w:tc>
      </w:tr>
      <w:tr>
        <w:trPr>
          <w:trHeight w:val="228"/>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Hedged Transaction</w:t>
            </w:r>
          </w:p>
        </w:tc>
        <w:tc>
          <w:tcPr>
            <w:tcW w:w="1560" w:type="dxa"/>
            <w:vAlign w:val="bottom"/>
          </w:tcPr>
          <w:p>
            <w:pPr>
              <w:ind w:left="100"/>
              <w:spacing w:after="0"/>
              <w:rPr>
                <w:sz w:val="20"/>
                <w:szCs w:val="20"/>
                <w:color w:val="auto"/>
              </w:rPr>
            </w:pPr>
            <w:r>
              <w:rPr>
                <w:rFonts w:ascii="Arial" w:cs="Arial" w:eastAsia="Arial" w:hAnsi="Arial"/>
                <w:sz w:val="14"/>
                <w:szCs w:val="14"/>
                <w:b w:val="1"/>
                <w:bCs w:val="1"/>
                <w:color w:val="auto"/>
                <w:w w:val="98"/>
              </w:rPr>
              <w:t>Derivatives Employed</w:t>
            </w:r>
          </w:p>
        </w:tc>
        <w:tc>
          <w:tcPr>
            <w:tcW w:w="16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Termination Date</w:t>
            </w:r>
          </w:p>
        </w:tc>
        <w:tc>
          <w:tcPr>
            <w:tcW w:w="11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Locked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r>
      <w:tr>
        <w:trPr>
          <w:trHeight w:val="195"/>
        </w:trPr>
        <w:tc>
          <w:tcPr>
            <w:tcW w:w="2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1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 forward starting</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line="195"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6/15/2016</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3.06</w:t>
            </w:r>
          </w:p>
        </w:tc>
        <w:tc>
          <w:tcPr>
            <w:tcW w:w="24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c>
          <w:tcPr>
            <w:tcW w:w="14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Cash flow hedge</w:t>
            </w: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2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6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16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3.14 %</w:t>
            </w:r>
          </w:p>
        </w:tc>
        <w:tc>
          <w:tcPr>
            <w:tcW w:w="15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r>
      <w:tr>
        <w:trPr>
          <w:trHeight w:val="230"/>
        </w:trPr>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6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3.20 %</w:t>
            </w:r>
          </w:p>
        </w:tc>
        <w:tc>
          <w:tcPr>
            <w:tcW w:w="154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r>
      <w:tr>
        <w:trPr>
          <w:trHeight w:val="230"/>
        </w:trPr>
        <w:tc>
          <w:tcPr>
            <w:tcW w:w="2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6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2"/>
              </w:rPr>
              <w:t>6/14/2019</w:t>
            </w:r>
          </w:p>
        </w:tc>
        <w:tc>
          <w:tcPr>
            <w:tcW w:w="16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2.83 %</w:t>
            </w:r>
          </w:p>
        </w:tc>
        <w:tc>
          <w:tcPr>
            <w:tcW w:w="15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r>
      <w:tr>
        <w:trPr>
          <w:trHeight w:val="230"/>
        </w:trPr>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2015, we made a cash payment of approximately $31 million in connection with the termination of ten forward starting swaps that had an aggregate notional amount of $250 million and an average fixed rate of 3.60%. In August 2015, we made a cash payment of approximately $21 million in connection with the termination of seven forward starting swaps that had an aggregate notional amount of $250 million and an average fixed rate of 3.03%. In conjunction with these terminations, we recognized a loss of $4 million in interest expense attributable to an anticipated hedged transaction that is no longer probable of occurring.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September 30,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open forward exchange contracts as of September 30, 2015 (in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Average Exchange Rate</w:t>
            </w:r>
          </w:p>
        </w:tc>
      </w:tr>
      <w:tr>
        <w:trPr>
          <w:trHeight w:val="228"/>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USD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CAD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USD to CAD</w:t>
            </w:r>
          </w:p>
        </w:tc>
      </w:tr>
      <w:tr>
        <w:trPr>
          <w:trHeight w:val="237"/>
        </w:trPr>
        <w:tc>
          <w:tcPr>
            <w:tcW w:w="5620" w:type="dxa"/>
            <w:vAlign w:val="bottom"/>
            <w:tcBorders>
              <w:top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562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1.33</w:t>
            </w:r>
          </w:p>
        </w:tc>
        <w:tc>
          <w:tcPr>
            <w:tcW w:w="60" w:type="dxa"/>
            <w:vAlign w:val="bottom"/>
          </w:tcPr>
          <w:p>
            <w:pPr>
              <w:spacing w:after="0"/>
              <w:rPr>
                <w:sz w:val="21"/>
                <w:szCs w:val="21"/>
                <w:color w:val="auto"/>
              </w:rPr>
            </w:pPr>
          </w:p>
        </w:tc>
      </w:tr>
      <w:tr>
        <w:trPr>
          <w:trHeight w:val="243"/>
        </w:trPr>
        <w:tc>
          <w:tcPr>
            <w:tcW w:w="5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1.33</w:t>
            </w:r>
          </w:p>
        </w:tc>
        <w:tc>
          <w:tcPr>
            <w:tcW w:w="60" w:type="dxa"/>
            <w:vAlign w:val="bottom"/>
            <w:shd w:val="clear" w:color="auto" w:fill="CCEEFF"/>
          </w:tcPr>
          <w:p>
            <w:pPr>
              <w:spacing w:after="0"/>
              <w:rPr>
                <w:sz w:val="21"/>
                <w:szCs w:val="21"/>
                <w:color w:val="auto"/>
              </w:rPr>
            </w:pPr>
          </w:p>
        </w:tc>
      </w:tr>
      <w:tr>
        <w:trPr>
          <w:trHeight w:val="217"/>
        </w:trPr>
        <w:tc>
          <w:tcPr>
            <w:tcW w:w="5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43"/>
        </w:trPr>
        <w:tc>
          <w:tcPr>
            <w:tcW w:w="5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620" w:type="dxa"/>
            <w:vAlign w:val="bottom"/>
          </w:tcPr>
          <w:p>
            <w:pPr>
              <w:jc w:val="right"/>
              <w:ind w:right="105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1.28</w:t>
            </w:r>
          </w:p>
        </w:tc>
        <w:tc>
          <w:tcPr>
            <w:tcW w:w="60" w:type="dxa"/>
            <w:vAlign w:val="bottom"/>
            <w:shd w:val="clear" w:color="auto" w:fill="CCEEFF"/>
          </w:tcPr>
          <w:p>
            <w:pPr>
              <w:spacing w:after="0"/>
              <w:rPr>
                <w:sz w:val="21"/>
                <w:szCs w:val="21"/>
                <w:color w:val="auto"/>
              </w:rPr>
            </w:pPr>
          </w:p>
        </w:tc>
      </w:tr>
      <w:tr>
        <w:trPr>
          <w:trHeight w:val="243"/>
        </w:trPr>
        <w:tc>
          <w:tcPr>
            <w:tcW w:w="56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6"/>
              </w:rPr>
              <w:t>1.28</w:t>
            </w:r>
          </w:p>
        </w:tc>
        <w:tc>
          <w:tcPr>
            <w:tcW w:w="60" w:type="dxa"/>
            <w:vAlign w:val="bottom"/>
            <w:tcBorders>
              <w:bottom w:val="single" w:sz="8" w:color="CCEEFF"/>
            </w:tcBorders>
          </w:tcPr>
          <w:p>
            <w:pPr>
              <w:spacing w:after="0"/>
              <w:rPr>
                <w:sz w:val="21"/>
                <w:szCs w:val="21"/>
                <w:color w:val="auto"/>
              </w:rPr>
            </w:pPr>
          </w:p>
        </w:tc>
      </w:tr>
      <w:tr>
        <w:trPr>
          <w:trHeight w:val="230"/>
        </w:trPr>
        <w:tc>
          <w:tcPr>
            <w:tcW w:w="5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851"/>
        </w:trPr>
        <w:tc>
          <w:tcPr>
            <w:tcW w:w="5620" w:type="dxa"/>
            <w:vAlign w:val="bottom"/>
          </w:tcPr>
          <w:p>
            <w:pPr>
              <w:jc w:val="right"/>
              <w:ind w:right="9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7"/>
              </w:rPr>
              <w:t>Three Months Ended September 30, 2015</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w w:val="94"/>
              </w:rPr>
              <w:t>Derivatives in Hedging Relationships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Derivatives Not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from AOCI</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Designated</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 xml:space="preserve">in Income </w:t>
            </w:r>
            <w:r>
              <w:rPr>
                <w:rFonts w:ascii="Arial" w:cs="Arial" w:eastAsia="Arial" w:hAnsi="Arial"/>
                <w:sz w:val="17"/>
                <w:szCs w:val="17"/>
                <w:b w:val="1"/>
                <w:bCs w:val="1"/>
                <w:color w:val="auto"/>
                <w:w w:val="88"/>
                <w:vertAlign w:val="superscript"/>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3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September 30, 2014</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Derivatives in Hedging Relationships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Derivatives Not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rPr>
              <w:t>from AOCI</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 xml:space="preserve">in Income </w:t>
            </w:r>
            <w:r>
              <w:rPr>
                <w:rFonts w:ascii="Arial" w:cs="Arial" w:eastAsia="Arial" w:hAnsi="Arial"/>
                <w:sz w:val="17"/>
                <w:szCs w:val="17"/>
                <w:b w:val="1"/>
                <w:bCs w:val="1"/>
                <w:color w:val="auto"/>
                <w:w w:val="88"/>
                <w:vertAlign w:val="superscript"/>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center"/>
              <w:ind w:left="758"/>
              <w:spacing w:after="0"/>
              <w:rPr>
                <w:sz w:val="20"/>
                <w:szCs w:val="20"/>
                <w:color w:val="auto"/>
              </w:rPr>
            </w:pPr>
            <w:r>
              <w:rPr>
                <w:rFonts w:ascii="Arial" w:cs="Arial" w:eastAsia="Arial" w:hAnsi="Arial"/>
                <w:sz w:val="18"/>
                <w:szCs w:val="18"/>
                <w:color w:val="auto"/>
                <w:w w:val="90"/>
              </w:rPr>
              <w:t>(4)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center"/>
              <w:ind w:left="758"/>
              <w:spacing w:after="0"/>
              <w:rPr>
                <w:sz w:val="20"/>
                <w:szCs w:val="20"/>
                <w:color w:val="auto"/>
              </w:rPr>
            </w:pPr>
            <w:r>
              <w:rPr>
                <w:rFonts w:ascii="Arial" w:cs="Arial" w:eastAsia="Arial" w:hAnsi="Arial"/>
                <w:sz w:val="18"/>
                <w:szCs w:val="18"/>
                <w:color w:val="auto"/>
                <w:w w:val="90"/>
              </w:rPr>
              <w:t>(1)</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tcBorders>
              <w:right w:val="single" w:sz="8" w:color="CCEEFF"/>
            </w:tcBorders>
            <w:gridSpan w:val="2"/>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vMerge w:val="restart"/>
            <w:shd w:val="clear" w:color="auto" w:fill="CCEEFF"/>
          </w:tcPr>
          <w:p>
            <w:pPr>
              <w:jc w:val="center"/>
              <w:ind w:left="758"/>
              <w:spacing w:after="0"/>
              <w:rPr>
                <w:sz w:val="20"/>
                <w:szCs w:val="20"/>
                <w:color w:val="auto"/>
              </w:rPr>
            </w:pPr>
            <w:r>
              <w:rPr>
                <w:rFonts w:ascii="Arial" w:cs="Arial" w:eastAsia="Arial" w:hAnsi="Arial"/>
                <w:sz w:val="18"/>
                <w:szCs w:val="18"/>
                <w:color w:val="auto"/>
                <w:w w:val="90"/>
              </w:rPr>
              <w:t>(5)</w:t>
            </w:r>
          </w:p>
        </w:tc>
        <w:tc>
          <w:tcPr>
            <w:tcW w:w="3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8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0" w:type="dxa"/>
            <w:vAlign w:val="bottom"/>
            <w:tcBorders>
              <w:right w:val="single" w:sz="8" w:color="CCEEFF"/>
            </w:tcBorders>
            <w:gridSpan w:val="2"/>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20" w:type="dxa"/>
            <w:vAlign w:val="bottom"/>
            <w:tcBorders>
              <w:right w:val="single" w:sz="8" w:color="CCEEFF"/>
            </w:tcBorders>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 2015</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Derivatives in Hedging Relationships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Derivatives Not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from AOCI</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 xml:space="preserve">in Income </w:t>
            </w:r>
            <w:r>
              <w:rPr>
                <w:rFonts w:ascii="Arial" w:cs="Arial" w:eastAsia="Arial" w:hAnsi="Arial"/>
                <w:sz w:val="17"/>
                <w:szCs w:val="17"/>
                <w:b w:val="1"/>
                <w:bCs w:val="1"/>
                <w:color w:val="auto"/>
                <w:w w:val="88"/>
                <w:vertAlign w:val="superscript"/>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as a Hedge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center"/>
              <w:ind w:left="738"/>
              <w:spacing w:after="0"/>
              <w:rPr>
                <w:sz w:val="20"/>
                <w:szCs w:val="20"/>
                <w:color w:val="auto"/>
              </w:rPr>
            </w:pPr>
            <w:r>
              <w:rPr>
                <w:rFonts w:ascii="Arial" w:cs="Arial" w:eastAsia="Arial" w:hAnsi="Arial"/>
                <w:sz w:val="18"/>
                <w:szCs w:val="18"/>
                <w:color w:val="auto"/>
                <w:w w:val="89"/>
              </w:rPr>
              <w:t>30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center"/>
              <w:ind w:left="738"/>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center"/>
              <w:ind w:left="738"/>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72"/>
              </w:rPr>
              <w:t>(9)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Supply and Logistics segment revenues</w:t>
            </w: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center"/>
              <w:ind w:left="738"/>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center"/>
              <w:ind w:left="738"/>
              <w:spacing w:after="0"/>
              <w:rPr>
                <w:sz w:val="20"/>
                <w:szCs w:val="20"/>
                <w:color w:val="auto"/>
              </w:rPr>
            </w:pPr>
            <w:r>
              <w:rPr>
                <w:rFonts w:ascii="Arial" w:cs="Arial" w:eastAsia="Arial" w:hAnsi="Arial"/>
                <w:sz w:val="18"/>
                <w:szCs w:val="18"/>
                <w:color w:val="auto"/>
                <w:w w:val="89"/>
              </w:rPr>
              <w:t>21</w:t>
            </w:r>
          </w:p>
        </w:tc>
        <w:tc>
          <w:tcPr>
            <w:tcW w:w="3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300" w:type="dxa"/>
            <w:vAlign w:val="bottom"/>
            <w:gridSpan w:val="3"/>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8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 2014</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Derivatives in Hedging Relationships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Derivatives Not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from AOCI</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 xml:space="preserve">in Income </w:t>
            </w:r>
            <w:r>
              <w:rPr>
                <w:rFonts w:ascii="Arial" w:cs="Arial" w:eastAsia="Arial" w:hAnsi="Arial"/>
                <w:sz w:val="17"/>
                <w:szCs w:val="17"/>
                <w:b w:val="1"/>
                <w:bCs w:val="1"/>
                <w:color w:val="auto"/>
                <w:w w:val="88"/>
                <w:vertAlign w:val="superscript"/>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as a Hedge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gains/(losses) on cash flow hedges reclassified from AOCI to income during the period.</w:t>
      </w:r>
    </w:p>
    <w:p>
      <w:pPr>
        <w:spacing w:after="0" w:line="238" w:lineRule="exact"/>
        <w:rPr>
          <w:rFonts w:ascii="Arial" w:cs="Arial" w:eastAsia="Arial" w:hAnsi="Arial"/>
          <w:sz w:val="18"/>
          <w:szCs w:val="18"/>
          <w:color w:val="auto"/>
        </w:rPr>
      </w:pPr>
    </w:p>
    <w:p>
      <w:pPr>
        <w:ind w:left="420" w:right="60" w:hanging="417"/>
        <w:spacing w:after="0" w:line="25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nine months ended September 30, 2015 we reclassified a loss of approximately $4 million from AOCI to Interest expense as a result of an anticipated hedged transaction that is no longer probable of occurring. All of our anticipated hedged transactions were deemed probable of occurring during the three months ended September 30, 2015 and the three and nine months ended September 30, 2014.</w:t>
      </w:r>
    </w:p>
    <w:p>
      <w:pPr>
        <w:spacing w:after="0" w:line="186" w:lineRule="exact"/>
        <w:rPr>
          <w:rFonts w:ascii="Arial" w:cs="Arial" w:eastAsia="Arial" w:hAnsi="Arial"/>
          <w:sz w:val="18"/>
          <w:szCs w:val="18"/>
          <w:color w:val="auto"/>
        </w:rPr>
      </w:pPr>
    </w:p>
    <w:p>
      <w:pPr>
        <w:ind w:left="620" w:hanging="61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ineffective portion of cash flow hedges.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September 30, 2015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w w:val="94"/>
              </w:rPr>
              <w:t>Asset Derivatives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6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2"/>
              </w:rPr>
              <w:t>Derivatives designated as hedging</w:t>
            </w:r>
          </w:p>
        </w:tc>
        <w:tc>
          <w:tcPr>
            <w:tcW w:w="2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spacing w:after="0"/>
              <w:rPr>
                <w:sz w:val="20"/>
                <w:szCs w:val="20"/>
                <w:color w:val="auto"/>
              </w:rPr>
            </w:pPr>
            <w:r>
              <w:rPr>
                <w:rFonts w:ascii="Arial" w:cs="Arial" w:eastAsia="Arial" w:hAnsi="Arial"/>
                <w:sz w:val="18"/>
                <w:szCs w:val="18"/>
                <w:color w:val="auto"/>
              </w:rPr>
              <w:t>Commodity derivatives</w:t>
            </w: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auto"/>
            </w:tcBorders>
          </w:tcPr>
          <w:p>
            <w:pPr>
              <w:spacing w:after="0"/>
              <w:rPr>
                <w:sz w:val="21"/>
                <w:szCs w:val="21"/>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Other long-term assets, net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auto"/>
            </w:tcBorders>
            <w:shd w:val="clear" w:color="auto" w:fill="CCEEFF"/>
          </w:tcPr>
          <w:p>
            <w:pPr>
              <w:spacing w:after="0"/>
              <w:rPr>
                <w:sz w:val="21"/>
                <w:szCs w:val="21"/>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and deferred credits</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derivatives designated as</w:t>
            </w: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hedging instruments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CCEEFF"/>
              <w:right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hedging instruments:</w:t>
            </w: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right w:val="single" w:sz="8" w:color="auto"/>
            </w:tcBorders>
          </w:tcPr>
          <w:p>
            <w:pPr>
              <w:spacing w:after="0"/>
              <w:rPr>
                <w:sz w:val="21"/>
                <w:szCs w:val="21"/>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Other long-term assets, net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auto"/>
            </w:tcBorders>
            <w:shd w:val="clear" w:color="auto" w:fill="CCEEFF"/>
          </w:tcPr>
          <w:p>
            <w:pPr>
              <w:spacing w:after="0"/>
              <w:rPr>
                <w:sz w:val="21"/>
                <w:szCs w:val="21"/>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Other long-term assets, net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2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deferred credits</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right w:val="single" w:sz="8" w:color="auto"/>
            </w:tcBorders>
            <w:shd w:val="clear" w:color="auto" w:fill="CCEEFF"/>
          </w:tcPr>
          <w:p>
            <w:pPr>
              <w:spacing w:after="0"/>
              <w:rPr>
                <w:sz w:val="21"/>
                <w:szCs w:val="21"/>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line="182" w:lineRule="exact"/>
              <w:rPr>
                <w:sz w:val="20"/>
                <w:szCs w:val="20"/>
                <w:color w:val="auto"/>
              </w:rPr>
            </w:pPr>
            <w:r>
              <w:rPr>
                <w:rFonts w:ascii="Arial" w:cs="Arial" w:eastAsia="Arial" w:hAnsi="Arial"/>
                <w:sz w:val="18"/>
                <w:szCs w:val="18"/>
                <w:color w:val="auto"/>
                <w:w w:val="98"/>
              </w:rPr>
              <w:t>Total derivatives not designated as</w:t>
            </w: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hedging instruments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7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Total derivatives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0" w:type="dxa"/>
            <w:vAlign w:val="bottom"/>
            <w:gridSpan w:val="2"/>
          </w:tcPr>
          <w:p>
            <w:pPr>
              <w:ind w:left="16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December 31, 2014 (in millions):</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right="240" w:hanging="129"/>
        <w:spacing w:after="0" w:line="268" w:lineRule="auto"/>
        <w:rPr>
          <w:sz w:val="20"/>
          <w:szCs w:val="20"/>
          <w:color w:val="auto"/>
        </w:rPr>
      </w:pPr>
      <w:r>
        <w:rPr>
          <w:rFonts w:ascii="Arial" w:cs="Arial" w:eastAsia="Arial" w:hAnsi="Arial"/>
          <w:sz w:val="18"/>
          <w:szCs w:val="18"/>
          <w:b w:val="1"/>
          <w:bCs w:val="1"/>
          <w:color w:val="auto"/>
        </w:rPr>
        <w:t>Derivatives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w:t>
      </w:r>
    </w:p>
    <w:p>
      <w:pPr>
        <w:spacing w:after="0" w:line="200" w:lineRule="exact"/>
        <w:rPr>
          <w:sz w:val="20"/>
          <w:szCs w:val="20"/>
          <w:color w:val="auto"/>
        </w:rPr>
      </w:pPr>
    </w:p>
    <w:p>
      <w:pPr>
        <w:spacing w:after="0" w:line="241"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Total derivatives designated as hedging instruments</w:t>
      </w:r>
    </w:p>
    <w:p>
      <w:pPr>
        <w:spacing w:after="0" w:line="207" w:lineRule="exact"/>
        <w:rPr>
          <w:sz w:val="20"/>
          <w:szCs w:val="20"/>
          <w:color w:val="auto"/>
        </w:rPr>
      </w:pPr>
    </w:p>
    <w:p>
      <w:pPr>
        <w:ind w:left="140" w:right="600" w:hanging="129"/>
        <w:spacing w:after="0" w:line="284" w:lineRule="auto"/>
        <w:rPr>
          <w:sz w:val="20"/>
          <w:szCs w:val="20"/>
          <w:color w:val="auto"/>
        </w:rPr>
      </w:pPr>
      <w:r>
        <w:rPr>
          <w:rFonts w:ascii="Arial" w:cs="Arial" w:eastAsia="Arial" w:hAnsi="Arial"/>
          <w:sz w:val="17"/>
          <w:szCs w:val="17"/>
          <w:b w:val="1"/>
          <w:bCs w:val="1"/>
          <w:color w:val="auto"/>
        </w:rPr>
        <w:t>Derivatives not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Foreign currency derivatives Total derivatives not designated as</w:t>
      </w:r>
    </w:p>
    <w:p>
      <w:pPr>
        <w:ind w:left="140"/>
        <w:spacing w:after="0"/>
        <w:rPr>
          <w:sz w:val="20"/>
          <w:szCs w:val="20"/>
          <w:color w:val="auto"/>
        </w:rPr>
      </w:pPr>
      <w:r>
        <w:rPr>
          <w:rFonts w:ascii="Arial" w:cs="Arial" w:eastAsia="Arial" w:hAnsi="Arial"/>
          <w:sz w:val="18"/>
          <w:szCs w:val="18"/>
          <w:color w:val="auto"/>
        </w:rPr>
        <w:t>hedging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Asset Derivatives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Liability Derivatives</w:t>
            </w:r>
          </w:p>
        </w:tc>
        <w:tc>
          <w:tcPr>
            <w:tcW w:w="700" w:type="dxa"/>
            <w:vAlign w:val="bottom"/>
            <w:tcBorders>
              <w:bottom w:val="single" w:sz="8" w:color="auto"/>
            </w:tcBorders>
          </w:tcPr>
          <w:p>
            <w:pPr>
              <w:spacing w:after="0"/>
              <w:rPr>
                <w:sz w:val="14"/>
                <w:szCs w:val="14"/>
                <w:color w:val="auto"/>
              </w:rPr>
            </w:pPr>
          </w:p>
        </w:tc>
      </w:tr>
      <w:tr>
        <w:trPr>
          <w:trHeight w:val="252"/>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700" w:type="dxa"/>
            <w:vAlign w:val="bottom"/>
          </w:tcPr>
          <w:p>
            <w:pPr>
              <w:spacing w:after="0"/>
              <w:rPr>
                <w:sz w:val="21"/>
                <w:szCs w:val="21"/>
                <w:color w:val="auto"/>
              </w:rPr>
            </w:pPr>
          </w:p>
        </w:tc>
      </w:tr>
      <w:tr>
        <w:trPr>
          <w:trHeight w:val="228"/>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-8255</wp:posOffset>
            </wp:positionV>
            <wp:extent cx="5754370" cy="3515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351599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4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2"/>
              </w:rPr>
              <w:t>Other long-term assets,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480" w:type="dxa"/>
            <w:vAlign w:val="bottom"/>
          </w:tcPr>
          <w:p>
            <w:pPr>
              <w:ind w:left="300"/>
              <w:spacing w:after="0"/>
              <w:rPr>
                <w:sz w:val="20"/>
                <w:szCs w:val="20"/>
                <w:color w:val="auto"/>
              </w:rPr>
            </w:pPr>
            <w:r>
              <w:rPr>
                <w:rFonts w:ascii="Arial" w:cs="Arial" w:eastAsia="Arial" w:hAnsi="Arial"/>
                <w:sz w:val="18"/>
                <w:szCs w:val="18"/>
                <w:color w:val="auto"/>
                <w:w w:val="99"/>
              </w:rPr>
              <w:t>Other long-term assets, net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40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8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904"/>
        </w:trPr>
        <w:tc>
          <w:tcPr>
            <w:tcW w:w="204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24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2"/>
              </w:rPr>
              <w:t>Other long-term assets,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480" w:type="dxa"/>
            <w:vAlign w:val="bottom"/>
          </w:tcPr>
          <w:p>
            <w:pPr>
              <w:ind w:left="300"/>
              <w:spacing w:after="0"/>
              <w:rPr>
                <w:sz w:val="20"/>
                <w:szCs w:val="20"/>
                <w:color w:val="auto"/>
              </w:rPr>
            </w:pPr>
            <w:r>
              <w:rPr>
                <w:rFonts w:ascii="Arial" w:cs="Arial" w:eastAsia="Arial" w:hAnsi="Arial"/>
                <w:sz w:val="18"/>
                <w:szCs w:val="18"/>
                <w:color w:val="auto"/>
                <w:w w:val="99"/>
              </w:rPr>
              <w:t>Other long-term assets, net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0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8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480"/>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8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bl>
    <w:p>
      <w:pPr>
        <w:spacing w:after="0" w:line="200" w:lineRule="exact"/>
        <w:rPr>
          <w:sz w:val="20"/>
          <w:szCs w:val="20"/>
          <w:color w:val="auto"/>
        </w:rPr>
      </w:pPr>
    </w:p>
    <w:p>
      <w:pPr>
        <w:sectPr>
          <w:pgSz w:w="11900" w:h="16838" w:orient="portrait"/>
          <w:cols w:equalWidth="0" w:num="2">
            <w:col w:w="2840" w:space="160"/>
            <w:col w:w="6039"/>
          </w:cols>
          <w:pgMar w:left="1420" w:top="125" w:right="1440" w:bottom="1440" w:gutter="0" w:footer="0" w:header="0"/>
          <w:type w:val="continuous"/>
        </w:sectPr>
      </w:pPr>
    </w:p>
    <w:p>
      <w:pPr>
        <w:spacing w:after="0" w:line="29" w:lineRule="exact"/>
        <w:rPr>
          <w:sz w:val="20"/>
          <w:szCs w:val="20"/>
          <w:color w:val="auto"/>
        </w:rPr>
      </w:pPr>
    </w:p>
    <w:p>
      <w:pPr>
        <w:ind w:right="19" w:firstLine="648"/>
        <w:spacing w:after="0" w:line="279" w:lineRule="auto"/>
        <w:rPr>
          <w:sz w:val="20"/>
          <w:szCs w:val="20"/>
          <w:color w:val="auto"/>
        </w:rPr>
      </w:pPr>
      <w:r>
        <w:rPr>
          <w:rFonts w:ascii="Arial" w:cs="Arial" w:eastAsia="Arial" w:hAnsi="Arial"/>
          <w:sz w:val="17"/>
          <w:szCs w:val="17"/>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71" w:lineRule="exact"/>
        <w:rPr>
          <w:sz w:val="20"/>
          <w:szCs w:val="20"/>
          <w:color w:val="auto"/>
        </w:rPr>
      </w:pPr>
    </w:p>
    <w:p>
      <w:pPr>
        <w:ind w:right="39" w:firstLine="648"/>
        <w:spacing w:after="0" w:line="270"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2015, we had a net broker payable of $121 million (consisting of initial margin of $70 million reduced by $191 million of variation margin that had been returned to us). As of December 31, 2014, we had a net broker payable of $133 million (consisting of initial margin of $126 million reduced by $259 million of variation margin that had been returned to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following table presents information about derivatives and financial assets and liabilities that are subject to offsetting, including enforceable master netting arrangements as of the dates indicated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December 31, 2014</w:t>
            </w:r>
          </w:p>
        </w:tc>
      </w:tr>
      <w:tr>
        <w:trPr>
          <w:trHeight w:val="180"/>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Derivative</w:t>
            </w: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Derivative</w:t>
            </w:r>
          </w:p>
        </w:tc>
        <w:tc>
          <w:tcPr>
            <w:tcW w:w="40" w:type="dxa"/>
            <w:vAlign w:val="bottom"/>
            <w:gridSpan w:val="2"/>
          </w:tcPr>
          <w:p>
            <w:pPr>
              <w:spacing w:after="0"/>
              <w:rPr>
                <w:sz w:val="15"/>
                <w:szCs w:val="15"/>
                <w:color w:val="auto"/>
              </w:rPr>
            </w:pPr>
          </w:p>
        </w:tc>
      </w:tr>
      <w:tr>
        <w:trPr>
          <w:trHeight w:val="205"/>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Asset Positions</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Asset Positions</w:t>
            </w:r>
          </w:p>
        </w:tc>
        <w:tc>
          <w:tcPr>
            <w:tcW w:w="20" w:type="dxa"/>
            <w:vAlign w:val="bottom"/>
          </w:tcPr>
          <w:p>
            <w:pPr>
              <w:spacing w:after="0"/>
              <w:rPr>
                <w:sz w:val="17"/>
                <w:szCs w:val="17"/>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Liability Positions</w:t>
            </w:r>
          </w:p>
        </w:tc>
      </w:tr>
      <w:tr>
        <w:trPr>
          <w:trHeight w:val="237"/>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1"/>
                <w:szCs w:val="21"/>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Sheet Location After Netting Adjustments: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17"/>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September 30, 2015, there was a net loss of $208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2015, we do not expect to reclassify a material amount to earnings in the next twelve months. A deferred loss of $16 million is expected to be reclassified to earnings through 2018 and the remainder is expected to be reclassified through 2049. A portion of these amounts is based on market prices as of September 30, 2015; thus, actual amounts to be reclassified will differ and could vary materially as a result of changes in market conditions.</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3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 net</w:t>
            </w:r>
          </w:p>
        </w:tc>
        <w:tc>
          <w:tcPr>
            <w:tcW w:w="1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w:t>
            </w:r>
          </w:p>
        </w:tc>
        <w:tc>
          <w:tcPr>
            <w:tcW w:w="160" w:type="dxa"/>
            <w:vAlign w:val="bottom"/>
            <w:tcBorders>
              <w:bottom w:val="single" w:sz="8" w:color="CCEEFF"/>
            </w:tcBorders>
          </w:tcPr>
          <w:p>
            <w:pPr>
              <w:spacing w:after="0"/>
              <w:rPr>
                <w:sz w:val="21"/>
                <w:szCs w:val="21"/>
                <w:color w:val="auto"/>
              </w:rPr>
            </w:pPr>
          </w:p>
        </w:tc>
      </w:tr>
      <w:tr>
        <w:trPr>
          <w:trHeight w:val="217"/>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At September 30,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1"/>
          </w:tcPr>
          <w:p>
            <w:pPr>
              <w:ind w:left="280"/>
              <w:spacing w:after="0"/>
              <w:rPr>
                <w:sz w:val="20"/>
                <w:szCs w:val="20"/>
                <w:color w:val="auto"/>
              </w:rPr>
            </w:pPr>
            <w:r>
              <w:rPr>
                <w:rFonts w:ascii="Arial" w:cs="Arial" w:eastAsia="Arial" w:hAnsi="Arial"/>
                <w:sz w:val="14"/>
                <w:szCs w:val="14"/>
                <w:b w:val="1"/>
                <w:bCs w:val="1"/>
                <w:color w:val="auto"/>
              </w:rPr>
              <w:t>Fair Value as of September 30, 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1"/>
          </w:tcPr>
          <w:p>
            <w:pPr>
              <w:ind w:left="320"/>
              <w:spacing w:after="0"/>
              <w:rPr>
                <w:sz w:val="20"/>
                <w:szCs w:val="20"/>
                <w:color w:val="auto"/>
              </w:rPr>
            </w:pPr>
            <w:r>
              <w:rPr>
                <w:rFonts w:ascii="Arial" w:cs="Arial" w:eastAsia="Arial" w:hAnsi="Arial"/>
                <w:sz w:val="14"/>
                <w:szCs w:val="14"/>
                <w:b w:val="1"/>
                <w:bCs w:val="1"/>
                <w:color w:val="auto"/>
              </w:rPr>
              <w:t>Fair Value as of December 31, 2014</w:t>
            </w:r>
          </w:p>
        </w:tc>
        <w:tc>
          <w:tcPr>
            <w:tcW w:w="0" w:type="dxa"/>
            <w:vAlign w:val="bottom"/>
          </w:tcPr>
          <w:p>
            <w:pPr>
              <w:spacing w:after="0"/>
              <w:rPr>
                <w:sz w:val="1"/>
                <w:szCs w:val="1"/>
                <w:color w:val="auto"/>
              </w:rPr>
            </w:pPr>
          </w:p>
        </w:tc>
      </w:tr>
      <w:tr>
        <w:trPr>
          <w:trHeight w:val="142"/>
        </w:trPr>
        <w:tc>
          <w:tcPr>
            <w:tcW w:w="2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Level 2</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Level 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ind w:left="220"/>
              <w:spacing w:after="0" w:line="201" w:lineRule="exact"/>
              <w:rPr>
                <w:sz w:val="20"/>
                <w:szCs w:val="20"/>
                <w:color w:val="auto"/>
              </w:rPr>
            </w:pPr>
            <w:r>
              <w:rPr>
                <w:rFonts w:ascii="Arial" w:cs="Arial" w:eastAsia="Arial" w:hAnsi="Arial"/>
                <w:sz w:val="18"/>
                <w:szCs w:val="18"/>
                <w:color w:val="auto"/>
              </w:rPr>
              <w:t>Total net derivative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6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90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60" w:type="dxa"/>
            <w:vAlign w:val="bottom"/>
          </w:tcPr>
          <w:p>
            <w:pPr>
              <w:ind w:left="420"/>
              <w:spacing w:after="0"/>
              <w:rPr>
                <w:sz w:val="20"/>
                <w:szCs w:val="20"/>
                <w:color w:val="auto"/>
              </w:rPr>
            </w:pPr>
            <w:r>
              <w:rPr>
                <w:rFonts w:ascii="Arial" w:cs="Arial" w:eastAsia="Arial" w:hAnsi="Arial"/>
                <w:sz w:val="18"/>
                <w:szCs w:val="18"/>
                <w:color w:val="auto"/>
              </w:rPr>
              <w:t>asset/(liability)</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hanging="417"/>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Derivative assets and liabilities are presented above on a net basis but do not include related cash margin deposits.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Gains for the period included in earnings</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Derivatives entered into during the period</w:t>
            </w:r>
          </w:p>
        </w:tc>
        <w:tc>
          <w:tcPr>
            <w:tcW w:w="3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unrealized gains included in earnings relating to Level 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r>
      <w:tr>
        <w:trPr>
          <w:trHeight w:val="243"/>
        </w:trPr>
        <w:tc>
          <w:tcPr>
            <w:tcW w:w="6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6520" w:type="dxa"/>
            <w:vAlign w:val="bottom"/>
          </w:tcPr>
          <w:p>
            <w:pPr>
              <w:spacing w:after="0"/>
              <w:rPr>
                <w:sz w:val="19"/>
                <w:szCs w:val="19"/>
                <w:color w:val="auto"/>
              </w:rPr>
            </w:pPr>
          </w:p>
        </w:tc>
        <w:tc>
          <w:tcPr>
            <w:tcW w:w="9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4"/>
                <w:szCs w:val="14"/>
                <w:b w:val="1"/>
                <w:bCs w:val="1"/>
                <w:color w:val="auto"/>
                <w:vertAlign w:val="superscript"/>
              </w:rPr>
              <w:t>(1)</w:t>
            </w:r>
          </w:p>
        </w:tc>
        <w:tc>
          <w:tcPr>
            <w:tcW w:w="160" w:type="dxa"/>
            <w:vAlign w:val="bottom"/>
          </w:tcPr>
          <w:p>
            <w:pPr>
              <w:spacing w:after="0"/>
              <w:rPr>
                <w:sz w:val="19"/>
                <w:szCs w:val="19"/>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 per Unit</w:t>
            </w:r>
          </w:p>
        </w:tc>
      </w:tr>
      <w:tr>
        <w:trPr>
          <w:trHeight w:val="23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8"/>
                <w:szCs w:val="18"/>
                <w:color w:val="auto"/>
              </w:rPr>
            </w:pPr>
          </w:p>
        </w:tc>
      </w:tr>
      <w:tr>
        <w:trPr>
          <w:trHeight w:val="243"/>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8"/>
                <w:szCs w:val="8"/>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 or 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tcPr>
          <w:p>
            <w:pPr>
              <w:spacing w:after="0"/>
              <w:rPr>
                <w:sz w:val="21"/>
                <w:szCs w:val="21"/>
                <w:color w:val="auto"/>
              </w:rPr>
            </w:pPr>
          </w:p>
        </w:tc>
      </w:tr>
      <w:tr>
        <w:trPr>
          <w:trHeight w:val="21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00" w:hanging="69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do not include AAP Management Units.</w:t>
      </w:r>
    </w:p>
    <w:p>
      <w:pPr>
        <w:spacing w:after="0" w:line="238" w:lineRule="exact"/>
        <w:rPr>
          <w:rFonts w:ascii="Arial" w:cs="Arial" w:eastAsia="Arial" w:hAnsi="Arial"/>
          <w:sz w:val="18"/>
          <w:szCs w:val="18"/>
          <w:color w:val="auto"/>
        </w:rPr>
      </w:pPr>
    </w:p>
    <w:p>
      <w:pPr>
        <w:jc w:val="both"/>
        <w:ind w:left="420" w:right="60" w:hanging="417"/>
        <w:spacing w:after="0" w:line="31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Approximately 0.5 million PAA common units were issued, net of tax withholding of 0.3 million units, during the nine months ended September 30, 2015 in connection with the settlement of vested awards. The remaining PAA awards that vested during the nine months ended September 30, 2015 (approximately 1.3 million units) were settled in cash.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Reserved for Future</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Outstanding Units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Fair Value Of Outstanding</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Grants</w:t>
            </w:r>
          </w:p>
        </w:tc>
        <w:tc>
          <w:tcPr>
            <w:tcW w:w="1260" w:type="dxa"/>
            <w:vAlign w:val="bottom"/>
            <w:gridSpan w:val="2"/>
            <w:vMerge w:val="continue"/>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AAP Management Units </w:t>
            </w:r>
            <w:r>
              <w:rPr>
                <w:rFonts w:ascii="Arial" w:cs="Arial" w:eastAsia="Arial" w:hAnsi="Arial"/>
                <w:sz w:val="14"/>
                <w:szCs w:val="14"/>
                <w:b w:val="1"/>
                <w:bCs w:val="1"/>
                <w:color w:val="auto"/>
                <w:w w:val="93"/>
                <w:vertAlign w:val="superscript"/>
              </w:rPr>
              <w:t>(1)</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right="40" w:hanging="457"/>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$88 million grant date fair value, $57 million had been recognized through September 30, 2015 on a cumulative basis. Of this amount, $1 million was recognized as expense during the nine months ended September 30,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summarizes the expense recognized and the value of vested LTIP awards (settled both in common units and cash) under our equity-indexed compensation plans and includes both liability-classified and equity-classified awards for the periods indicated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3"/>
        </w:trPr>
        <w:tc>
          <w:tcPr>
            <w:tcW w:w="38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9"/>
                <w:szCs w:val="19"/>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Equity-indexed compensation expense/(benefit)</w:t>
            </w:r>
          </w:p>
        </w:tc>
        <w:tc>
          <w:tcPr>
            <w:tcW w:w="4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0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1"/>
                <w:szCs w:val="21"/>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8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DER cash payments</w:t>
            </w:r>
          </w:p>
        </w:tc>
        <w:tc>
          <w:tcPr>
            <w:tcW w:w="10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and storage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September 30, 2015, our estimated undiscounted reserve for environmental liabilities (including liabilities related to the Line 901 incident, as discussed further below) totaled $197 million, of which $96 million was classified as short-term and $101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2015 and December 31, 2014, we had recorded receivables totaling $200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Line 901 Incident</w:t>
      </w:r>
      <w:r>
        <w:rPr>
          <w:rFonts w:ascii="Arial" w:cs="Arial" w:eastAsia="Arial" w:hAnsi="Arial"/>
          <w:sz w:val="18"/>
          <w:szCs w:val="18"/>
          <w:color w:val="auto"/>
        </w:rPr>
        <w:t>. During May 2015, we experienced a crude oil release from our Las Flores to Gaviota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(Line 901) in Santa Barbara County, 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and contamination monitoring continue, and the cause of the release is currently under investigation.</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Shortly after the incident, we developed an initial “worst case” estimate of the amount of oil spilled, representing the maximum volume of oil that we believed could have been spilled based on relevant facts, data and information available at the time of such calculation. Our initial worst case estimate was approximately 2,500 barrels, which was subsequently adjusted down to approximately 2,400 barrels. These estimates were based primarily on information regarding (i) an estimate of the amount of oil that flowed into Line 901 during the period between the estimated time of release and the point when the pumps were shut down and (ii) an estimate of the volume of oil that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drained out of the line due to natural forces based on the characteristics of the pipeline (i.e., length, elevation profile, diameter and location of the release point).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Utilizing information that became available in June as a result of emptying and purging Line 901, we developed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alternative worst case discharge estimate of up to 3,400 barrels. This alternative estimate did not take into account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factors that, while difficult to quantify, could account for a meaningful portion of the difference between the two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estimates. As part of our effort to reconcile the difference between these two estimates, we retained a third party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consulting firm to develop an independent estimate of the worst case discharge.</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have not yet received such firm’s final written report, we have discussed their findings with them. They have orally advised us that based on their detailed analysis of the pertinent data and materials, their estimate of the worst case discharge is approximately 3,000 barrels. Accordingly, while we have not finalized our calculation of the “worst case” discharge, based on the relatively narrow range of difference between the low and high end of the range of various worst case estimates that have been prepared, we do not anticipate that any variance between these estimates and the final estimate of the worst case discharge will have a material impact on our accrual (described below) for the estimated total costs that we have incurred or will incur with respect to the Line 901 incident.</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Set forth below is a brief summary of such actions and matters: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 has been established for the restart of Line 901 or Line 903. By virtue of its statutory authority, PHMSA has the power and authority to impose fines and penalties on us and cause civil or criminal charges to be brought against us. While to date PHMSA has not imposed any such fines or penalties or pursued any such civil or criminal charges, there can be no assurance that such fines or penalties will not be imposed upon us, or that such civil or criminal charges will not be brought against us, in the future.</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late May,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expressed an interest in talking to several of our employees and consistent with the terms of our governing organizational documents, we are funding their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applicable state or local laws have been violated. On August 26, 2015, we also received a Request for Information from the EPA relating to Line 901 and we are in the process of responding to such request. While to date no civil or criminal charges have been brought against PAA or any of its affiliates, officers or employees by the DOJ, EPA, California Attorney General or Santa Barbara County District Attorney, and no fines or penalties have been imposed by such governmental agencies, there can be no assurance that such fines or penalties will not be imposed upon us, or that such civil or criminal charges will not be brought against us, in the future.</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filed in the United States District Court for the Central District of California. In general, these lawsuits have been brought by various plaintiffs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plaintiffs. The Partnership and PAGP deny the allegations in these lawsuits and intend to respond accordingly.</w:t>
      </w:r>
    </w:p>
    <w:p>
      <w:pPr>
        <w:spacing w:after="0" w:line="19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54"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Taking the foregoing into account, we estimate that the aggregate total costs we have incurred or will incur with respect to the Line 901 incident will be approximately $257 million, which estimate includes actual and projected emergency response and clean-up costs, natural resource damage assessments and certain third party claims settlements as well as estimates for fines, penalties and certain legal fees. This estimate does not include any lost revenue associated with the shutdown of Line 901 or 903. In addition,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clean up, remediation and monitoring services will be required, the number of personnel and equipment required at the site and the rates charged by the associated service and equipment providers,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and (v) the nature, extent and cost of legal services that will be required in connection with all lawsuits, claims and other matters requiring legal or expert advice associated with the Line 901 incident. We believe we have accrued adequate amounts for all probable and reasonably estimable costs; however, this estimate is subject to uncertainties associated with the assumptions that we have made. Our assumptions and estimates may turn out to be inaccurate and our total costs could turn out to be higher; accordingly, we can provide no assurance that we will not have to accrue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Condensed Consolidated Statement of Operations. As of September 30, 2015, we had a remaining undiscounted gross liability of $126 million related to this event, the majority of which is presented as a current liability in “Accounts payable and accrued liabilities” on our Condensed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We therefore have recognized a receivable of $192 million as of September 30, 2015 for the portion of the release costs that we believe is probable of recovery from insurance, net of deductibles. A majority of this receivable has been recognized as a current asset in “Trade accounts receivable and other receivables, net” on our Condensed Consolidated Balance Sheets with the offset reducing “Field operating costs” on our Condensed Consolidated Statement of Operations.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MP29 Release. </w:t>
      </w:r>
      <w:r>
        <w:rPr>
          <w:rFonts w:ascii="Arial" w:cs="Arial" w:eastAsia="Arial" w:hAnsi="Arial"/>
          <w:sz w:val="17"/>
          <w:szCs w:val="17"/>
          <w:color w:val="auto"/>
        </w:rPr>
        <w:t>On July 10, 2015, we experienced a crude oil release of approximately 100 barrels at our Pocahontas</w:t>
      </w:r>
      <w:r>
        <w:rPr>
          <w:rFonts w:ascii="Arial" w:cs="Arial" w:eastAsia="Arial" w:hAnsi="Arial"/>
          <w:sz w:val="17"/>
          <w:szCs w:val="17"/>
          <w:i w:val="1"/>
          <w:iCs w:val="1"/>
          <w:color w:val="auto"/>
        </w:rPr>
        <w:t xml:space="preserve"> </w:t>
      </w:r>
      <w:r>
        <w:rPr>
          <w:rFonts w:ascii="Arial" w:cs="Arial" w:eastAsia="Arial" w:hAnsi="Arial"/>
          <w:sz w:val="17"/>
          <w:szCs w:val="17"/>
          <w:color w:val="auto"/>
        </w:rPr>
        <w:t>Pump Station near the border 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We are in the process of satisfying the requirements of the corrective action order. On August 10, 2015, we received a Notice of Violation from the Illinois Environmental Protection Agency alleging violations relating to the release and outlining the activities recommended by the agency to resolve the alleged violations, including the completion of an investigation and various remediation activities. The Partnership has submitted a work plan to the agency that describes the proposed remediation activities for any remaining hydrocarbon impacts; the agency is currently reviewing the work plan.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In this lawsuit, the plaintiff seeks unspecified money damages and other remedies on behalf of itself and other unspecified similarly situated claimants. We estimate that the aggregate total costs associated with this release will be less than $10 million.</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Cushing Tank Cathodic Protection</w:t>
      </w:r>
      <w:r>
        <w:rPr>
          <w:rFonts w:ascii="Arial" w:cs="Arial" w:eastAsia="Arial" w:hAnsi="Arial"/>
          <w:sz w:val="16"/>
          <w:szCs w:val="16"/>
          <w:color w:val="auto"/>
        </w:rPr>
        <w:t>. On May 22, 2015, PHMSA issued a Final Order relating to an April 2013</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Probable Violation and 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 On July 14, 2015, we submitted to PHMSA a Remediation Plan and schedule to satisfy the conditions of the Compliance Order.</w:t>
      </w:r>
    </w:p>
    <w:p>
      <w:pPr>
        <w:spacing w:after="0" w:line="1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(“NOV”) to 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w:t>
      </w:r>
      <w:r>
        <w:rPr>
          <w:rFonts w:ascii="Arial" w:cs="Arial" w:eastAsia="Arial" w:hAnsi="Arial"/>
          <w:sz w:val="16"/>
          <w:szCs w:val="16"/>
          <w:i w:val="1"/>
          <w:iCs w:val="1"/>
          <w:color w:val="auto"/>
        </w:rPr>
        <w:t xml:space="preserve"> </w:t>
      </w:r>
      <w:r>
        <w:rPr>
          <w:rFonts w:ascii="Arial" w:cs="Arial" w:eastAsia="Arial" w:hAnsi="Arial"/>
          <w:sz w:val="16"/>
          <w:szCs w:val="16"/>
          <w:color w:val="auto"/>
        </w:rPr>
        <w:t>PMC that various corrective 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Kemp River Pipeline Releases</w:t>
      </w:r>
      <w:r>
        <w:rPr>
          <w:rFonts w:ascii="Arial" w:cs="Arial" w:eastAsia="Arial" w:hAnsi="Arial"/>
          <w:sz w:val="18"/>
          <w:szCs w:val="18"/>
          <w:color w:val="auto"/>
        </w:rPr>
        <w:t>. During May and June 2013, two separate releases were discovered on our Kemp</w:t>
      </w:r>
      <w:r>
        <w:rPr>
          <w:rFonts w:ascii="Arial" w:cs="Arial" w:eastAsia="Arial" w:hAnsi="Arial"/>
          <w:sz w:val="18"/>
          <w:szCs w:val="18"/>
          <w:i w:val="1"/>
          <w:iCs w:val="1"/>
          <w:color w:val="auto"/>
        </w:rPr>
        <w:t xml:space="preserve"> </w:t>
      </w:r>
      <w:r>
        <w:rPr>
          <w:rFonts w:ascii="Arial" w:cs="Arial" w:eastAsia="Arial" w:hAnsi="Arial"/>
          <w:sz w:val="18"/>
          <w:szCs w:val="18"/>
          <w:color w:val="auto"/>
        </w:rPr>
        <w:t>River pipeline in Northern Alberta, 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September 30, 2015, we spent $9 million in connection with clean-up and remediation activities.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on a portion of one of our 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Supply and Logistics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Three Months Ended September 30, 2015</w:t>
            </w:r>
          </w:p>
        </w:tc>
        <w:tc>
          <w:tcPr>
            <w:tcW w:w="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1"/>
                <w:szCs w:val="21"/>
                <w:color w:val="auto"/>
              </w:rPr>
            </w:pPr>
          </w:p>
        </w:tc>
      </w:tr>
      <w:tr>
        <w:trPr>
          <w:trHeight w:val="230"/>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43"/>
        </w:trPr>
        <w:tc>
          <w:tcPr>
            <w:tcW w:w="3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Pr>
          <w:p>
            <w:pPr>
              <w:ind w:left="1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10,788</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1"/>
                <w:szCs w:val="21"/>
                <w:color w:val="auto"/>
              </w:rPr>
            </w:pPr>
          </w:p>
        </w:tc>
      </w:tr>
      <w:tr>
        <w:trPr>
          <w:trHeight w:val="217"/>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tcPr>
          <w:p>
            <w:pPr>
              <w:spacing w:after="0"/>
              <w:rPr>
                <w:sz w:val="18"/>
                <w:szCs w:val="18"/>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513"/>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Supply and Logistics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Nine Months Ended September 30, 2015</w:t>
            </w:r>
          </w:p>
        </w:tc>
        <w:tc>
          <w:tcPr>
            <w:tcW w:w="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21"/>
                <w:szCs w:val="21"/>
                <w:color w:val="auto"/>
              </w:rPr>
            </w:pPr>
          </w:p>
        </w:tc>
      </w:tr>
      <w:tr>
        <w:trPr>
          <w:trHeight w:val="230"/>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8"/>
                <w:szCs w:val="18"/>
                <w:color w:val="auto"/>
              </w:rPr>
            </w:pPr>
          </w:p>
        </w:tc>
      </w:tr>
      <w:tr>
        <w:trPr>
          <w:trHeight w:val="243"/>
        </w:trPr>
        <w:tc>
          <w:tcPr>
            <w:tcW w:w="3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Pr>
          <w:p>
            <w:pPr>
              <w:ind w:left="1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32,988</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34,005</w:t>
            </w: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1"/>
                <w:szCs w:val="21"/>
                <w:color w:val="auto"/>
              </w:rPr>
            </w:pPr>
          </w:p>
        </w:tc>
      </w:tr>
      <w:tr>
        <w:trPr>
          <w:trHeight w:val="217"/>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35,101</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tcPr>
          <w:p>
            <w:pPr>
              <w:spacing w:after="0"/>
              <w:rPr>
                <w:sz w:val="18"/>
                <w:szCs w:val="18"/>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20" w:hanging="417"/>
        <w:spacing w:after="0" w:line="31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146" w:lineRule="exact"/>
        <w:rPr>
          <w:rFonts w:ascii="Arial" w:cs="Arial" w:eastAsia="Arial" w:hAnsi="Arial"/>
          <w:sz w:val="16"/>
          <w:szCs w:val="16"/>
          <w:color w:val="auto"/>
        </w:rPr>
      </w:pPr>
    </w:p>
    <w:p>
      <w:pPr>
        <w:ind w:left="420" w:hanging="417"/>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Logistics segment profit includes interest expense (related to hedged inventory purchases) of $1 million and $4 million for the three months ended September 30, 2015 and 2014, respectively, and $4 million and $11 million for the nine months ended September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80" w:hanging="47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reconciles segment profit to net income attributable to PAA (in millions):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3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6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r>
      <w:tr>
        <w:trPr>
          <w:trHeight w:val="243"/>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r>
      <w:tr>
        <w:trPr>
          <w:trHeight w:val="243"/>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1"/>
                <w:szCs w:val="21"/>
                <w:color w:val="auto"/>
              </w:rPr>
            </w:pP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r>
      <w:tr>
        <w:trPr>
          <w:trHeight w:val="202"/>
        </w:trPr>
        <w:tc>
          <w:tcPr>
            <w:tcW w:w="3600" w:type="dxa"/>
            <w:vAlign w:val="bottom"/>
          </w:tcPr>
          <w:p>
            <w:pPr>
              <w:ind w:left="22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0"/>
                <w:szCs w:val="20"/>
                <w:color w:val="auto"/>
              </w:rPr>
            </w:pPr>
          </w:p>
        </w:tc>
      </w:tr>
      <w:tr>
        <w:trPr>
          <w:trHeight w:val="21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September 30, 2015, Oxy owned approximately 13% of the limited partner interests in our general partner and had a representative on the board of directors of GP LLC. During the three and nine months ended September 30, 2015 and 2014, we recognized sales and transportation revenues and purchased petroleum products from Oxy. These transactions were conducted at posted tariff rates or prices that we believe approximate market. The impact to our Condensed Consolidated Statements of Operations from those transactions is included below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3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r>
      <w:tr>
        <w:trPr>
          <w:trHeight w:val="223"/>
        </w:trPr>
        <w:tc>
          <w:tcPr>
            <w:tcW w:w="3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9"/>
                <w:szCs w:val="19"/>
                <w:color w:val="auto"/>
              </w:rPr>
            </w:pPr>
          </w:p>
        </w:tc>
      </w:tr>
      <w:tr>
        <w:trPr>
          <w:trHeight w:val="223"/>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3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(1)</w:t>
            </w:r>
          </w:p>
        </w:tc>
        <w:tc>
          <w:tcPr>
            <w:tcW w:w="19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w:t>
            </w:r>
          </w:p>
        </w:tc>
        <w:tc>
          <w:tcPr>
            <w:tcW w:w="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hanging="417"/>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as of the dates indicated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39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9"/>
                <w:szCs w:val="19"/>
                <w:color w:val="auto"/>
              </w:rPr>
            </w:pP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r>
      <w:tr>
        <w:trPr>
          <w:trHeight w:val="243"/>
        </w:trPr>
        <w:tc>
          <w:tcPr>
            <w:tcW w:w="39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r>
      <w:tr>
        <w:trPr>
          <w:trHeight w:val="662"/>
        </w:trPr>
        <w:tc>
          <w:tcPr>
            <w:tcW w:w="3940" w:type="dxa"/>
            <w:vAlign w:val="bottom"/>
          </w:tcPr>
          <w:p>
            <w:pPr>
              <w:spacing w:after="0"/>
              <w:rPr>
                <w:sz w:val="24"/>
                <w:szCs w:val="24"/>
                <w:color w:val="auto"/>
              </w:rPr>
            </w:pPr>
          </w:p>
        </w:tc>
        <w:tc>
          <w:tcPr>
            <w:tcW w:w="2940" w:type="dxa"/>
            <w:vAlign w:val="bottom"/>
          </w:tcPr>
          <w:p>
            <w:pPr>
              <w:jc w:val="right"/>
              <w:ind w:right="217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12" w:lineRule="exact"/>
        <w:rPr>
          <w:sz w:val="20"/>
          <w:szCs w:val="20"/>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Outlook</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1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1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1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the nine months ended September 30, 2015 and 2014, we recognized net income attributable to PAA of $657 million and $994 million, respectively. This decrease was primarily driven by less favorable results from our Supply and Logistics segment, as compressed differentials from the transitioning crude oil market and increased competition drove lower unit margins in this part of our business. In addition, our operating results for the 2015 period were impacted by costs and lost revenue associated with the Line 901 incident. See further discussion of our segment operating results in the following sections. Other items impacting net income attributable to PAA for the first nine months of 2015 were higher depreciation and amortization expense and interest expense associated with our growing asset base and related financing activities.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We invested approximately $1.8 billion in midstream infrastructure projects during the nine months ended September 30, 2015, with a targeted expansion capital plan for the full year of 2015 of $2.2 billion. We executed multiple financings that enabled us to fund our expansion capital activities, including raising an aggregate of approximately $2.1 billion of long-term debt and equity capital. In addition, we paid approximately $1.2 billion of cash distributions to our limited partners and general partner during the nine months ended September 30, 2015, and we declared a quarterly distribution of $0.7000 per limited partner unit to be paid on November 13,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4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r>
      <w:tr>
        <w:trPr>
          <w:trHeight w:val="22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8"/>
                <w:szCs w:val="8"/>
                <w:color w:val="auto"/>
              </w:rPr>
              <w:t>(1)</w:t>
            </w:r>
          </w:p>
        </w:tc>
        <w:tc>
          <w:tcPr>
            <w:tcW w:w="26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8"/>
                <w:szCs w:val="8"/>
                <w:color w:val="auto"/>
              </w:rPr>
              <w:t>(2)</w:t>
            </w:r>
          </w:p>
        </w:tc>
        <w:tc>
          <w:tcPr>
            <w:tcW w:w="2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21"/>
                <w:szCs w:val="21"/>
                <w:color w:val="auto"/>
              </w:rPr>
            </w:pPr>
          </w:p>
        </w:tc>
      </w:tr>
      <w:tr>
        <w:trPr>
          <w:trHeight w:val="24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(2)</w:t>
            </w:r>
          </w:p>
        </w:tc>
        <w:tc>
          <w:tcPr>
            <w:tcW w:w="26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21"/>
                <w:szCs w:val="21"/>
                <w:color w:val="auto"/>
              </w:rPr>
            </w:pPr>
          </w:p>
        </w:tc>
      </w:tr>
      <w:tr>
        <w:trPr>
          <w:trHeight w:val="217"/>
        </w:trPr>
        <w:tc>
          <w:tcPr>
            <w:tcW w:w="4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600" w:hanging="417"/>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w:t>
      </w:r>
    </w:p>
    <w:p>
      <w:pPr>
        <w:spacing w:after="0" w:line="181" w:lineRule="exact"/>
        <w:rPr>
          <w:rFonts w:ascii="Arial" w:cs="Arial" w:eastAsia="Arial" w:hAnsi="Arial"/>
          <w:sz w:val="18"/>
          <w:szCs w:val="18"/>
          <w:color w:val="auto"/>
        </w:rPr>
      </w:pPr>
    </w:p>
    <w:p>
      <w:pPr>
        <w:ind w:left="420" w:right="140" w:hanging="417"/>
        <w:spacing w:after="0" w:line="286"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2015 and the forecasted expenditures for the year ending December 31, 2015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r>
      <w:tr>
        <w:trPr>
          <w:trHeight w:val="223"/>
        </w:trPr>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$445</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8"/>
                <w:szCs w:val="8"/>
                <w:color w:val="auto"/>
              </w:rPr>
              <w:t>(1)</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295</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Saskatchewan Facility Projects / NGL Line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270</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Cactus Pipeline </w:t>
            </w:r>
            <w:r>
              <w:rPr>
                <w:rFonts w:ascii="Arial" w:cs="Arial" w:eastAsia="Arial" w:hAnsi="Arial"/>
                <w:sz w:val="8"/>
                <w:szCs w:val="8"/>
                <w:color w:val="auto"/>
              </w:rPr>
              <w:t>(2)</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Saddlehorn Pipeline</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Cowboy Pipeline (Cheyenne to Carr)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Area Projects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St. James Terminal Expansions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21"/>
                <w:szCs w:val="21"/>
                <w:color w:val="auto"/>
              </w:rPr>
            </w:pPr>
          </w:p>
        </w:tc>
      </w:tr>
      <w:tr>
        <w:trPr>
          <w:trHeight w:val="243"/>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450</w:t>
            </w:r>
          </w:p>
        </w:tc>
        <w:tc>
          <w:tcPr>
            <w:tcW w:w="40" w:type="dxa"/>
            <w:vAlign w:val="bottom"/>
            <w:tcBorders>
              <w:bottom w:val="single" w:sz="8" w:color="CCEEFF"/>
            </w:tcBorders>
          </w:tcPr>
          <w:p>
            <w:pPr>
              <w:spacing w:after="0"/>
              <w:rPr>
                <w:sz w:val="21"/>
                <w:szCs w:val="21"/>
                <w:color w:val="auto"/>
              </w:rPr>
            </w:pPr>
          </w:p>
        </w:tc>
      </w:tr>
      <w:tr>
        <w:trPr>
          <w:trHeight w:val="223"/>
        </w:trPr>
        <w:tc>
          <w:tcPr>
            <w:tcW w:w="7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40" w:type="dxa"/>
            <w:vAlign w:val="bottom"/>
            <w:shd w:val="clear" w:color="auto" w:fill="CCEEFF"/>
          </w:tcPr>
          <w:p>
            <w:pPr>
              <w:spacing w:after="0"/>
              <w:rPr>
                <w:sz w:val="19"/>
                <w:szCs w:val="19"/>
                <w:color w:val="auto"/>
              </w:rPr>
            </w:pPr>
          </w:p>
        </w:tc>
      </w:tr>
      <w:tr>
        <w:trPr>
          <w:trHeight w:val="243"/>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8"/>
                <w:szCs w:val="8"/>
                <w:color w:val="auto"/>
              </w:rPr>
              <w:t>(3)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 + $100</w:t>
            </w:r>
          </w:p>
        </w:tc>
        <w:tc>
          <w:tcPr>
            <w:tcW w:w="40" w:type="dxa"/>
            <w:vAlign w:val="bottom"/>
            <w:tcBorders>
              <w:bottom w:val="single" w:sz="8" w:color="CCEEFF"/>
            </w:tcBorders>
          </w:tcPr>
          <w:p>
            <w:pPr>
              <w:spacing w:after="0"/>
              <w:rPr>
                <w:sz w:val="21"/>
                <w:szCs w:val="21"/>
                <w:color w:val="auto"/>
              </w:rPr>
            </w:pPr>
          </w:p>
        </w:tc>
      </w:tr>
      <w:tr>
        <w:trPr>
          <w:trHeight w:val="217"/>
        </w:trPr>
        <w:tc>
          <w:tcPr>
            <w:tcW w:w="7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Projected Expansion Capital Expenditures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2,100 -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2,300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43"/>
        </w:trPr>
        <w:tc>
          <w:tcPr>
            <w:tcW w:w="7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Maintenance Capital Expenditures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 $220</w:t>
            </w:r>
          </w:p>
        </w:tc>
        <w:tc>
          <w:tcPr>
            <w:tcW w:w="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40" w:hanging="437"/>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railcar purchases and projects located in or near St. James, LA; Kerrobert, Canada; and Tampa, CO.</w:t>
      </w:r>
    </w:p>
    <w:p>
      <w:pPr>
        <w:spacing w:after="0" w:line="250" w:lineRule="exact"/>
        <w:rPr>
          <w:rFonts w:ascii="Arial" w:cs="Arial" w:eastAsia="Arial" w:hAnsi="Arial"/>
          <w:sz w:val="17"/>
          <w:szCs w:val="17"/>
          <w:color w:val="auto"/>
        </w:rPr>
      </w:pPr>
    </w:p>
    <w:p>
      <w:pPr>
        <w:ind w:left="700" w:hanging="69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linefill costs associated with the project.</w:t>
      </w:r>
    </w:p>
    <w:p>
      <w:pPr>
        <w:spacing w:after="0" w:line="238" w:lineRule="exact"/>
        <w:rPr>
          <w:rFonts w:ascii="Arial" w:cs="Arial" w:eastAsia="Arial" w:hAnsi="Arial"/>
          <w:sz w:val="18"/>
          <w:szCs w:val="18"/>
          <w:color w:val="auto"/>
        </w:rPr>
      </w:pPr>
    </w:p>
    <w:p>
      <w:pPr>
        <w:jc w:val="both"/>
        <w:ind w:left="420" w:right="440" w:hanging="417"/>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for the periods indicated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51"/>
              <w:spacing w:after="0"/>
              <w:rPr>
                <w:sz w:val="20"/>
                <w:szCs w:val="20"/>
                <w:color w:val="auto"/>
              </w:rPr>
            </w:pPr>
            <w:r>
              <w:rPr>
                <w:rFonts w:ascii="Arial" w:cs="Arial" w:eastAsia="Arial" w:hAnsi="Arial"/>
                <w:sz w:val="14"/>
                <w:szCs w:val="14"/>
                <w:b w:val="1"/>
                <w:bCs w:val="1"/>
                <w:color w:val="auto"/>
                <w:w w:val="94"/>
              </w:rPr>
              <w:t>Favorable/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51"/>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center"/>
              <w:ind w:right="51"/>
              <w:spacing w:after="0"/>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5"/>
          </w:tcPr>
          <w:p>
            <w:pPr>
              <w:jc w:val="right"/>
              <w:ind w:right="51"/>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center"/>
              <w:ind w:right="51"/>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4"/>
                <w:szCs w:val="14"/>
                <w:b w:val="1"/>
                <w:bCs w:val="1"/>
                <w:color w:val="auto"/>
                <w:w w:val="92"/>
              </w:rPr>
              <w:t>Variance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Facilities segment profit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Supply and Logistics segment profit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100"/>
              <w:spacing w:after="0"/>
              <w:rPr>
                <w:sz w:val="20"/>
                <w:szCs w:val="20"/>
                <w:color w:val="auto"/>
              </w:rPr>
            </w:pPr>
            <w:r>
              <w:rPr>
                <w:rFonts w:ascii="Arial" w:cs="Arial" w:eastAsia="Arial" w:hAnsi="Arial"/>
                <w:sz w:val="18"/>
                <w:szCs w:val="18"/>
                <w:color w:val="auto"/>
              </w:rPr>
              <w:t>Total segment profit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w:t>
            </w: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ind w:left="8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net income per limited partner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Diluted net income per limited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partner unit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(0.28)</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limited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 units outstanding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Diluted weighted average limited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partner units 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7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measures for the periods indicated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1"/>
                <w:szCs w:val="21"/>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71"/>
              <w:spacing w:after="0"/>
              <w:rPr>
                <w:sz w:val="20"/>
                <w:szCs w:val="20"/>
                <w:color w:val="auto"/>
              </w:rPr>
            </w:pPr>
            <w:r>
              <w:rPr>
                <w:rFonts w:ascii="Arial" w:cs="Arial" w:eastAsia="Arial" w:hAnsi="Arial"/>
                <w:sz w:val="14"/>
                <w:szCs w:val="14"/>
                <w:b w:val="1"/>
                <w:bCs w:val="1"/>
                <w:color w:val="auto"/>
                <w:w w:val="92"/>
              </w:rPr>
              <w:t>Variance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Pr>
          <w:p>
            <w:pPr>
              <w:spacing w:after="0" w:line="176" w:lineRule="exact"/>
              <w:rPr>
                <w:sz w:val="20"/>
                <w:szCs w:val="20"/>
                <w:color w:val="auto"/>
              </w:rPr>
            </w:pPr>
            <w:r>
              <w:rPr>
                <w:rFonts w:ascii="Arial" w:cs="Arial" w:eastAsia="Arial" w:hAnsi="Arial"/>
                <w:sz w:val="18"/>
                <w:szCs w:val="18"/>
                <w:color w:val="auto"/>
              </w:rPr>
              <w:t>Add: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 (43)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 (261)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7"/>
                <w:szCs w:val="17"/>
                <w:b w:val="1"/>
                <w:bCs w:val="1"/>
                <w:color w:val="auto"/>
              </w:rPr>
              <w:t>Selected Items Impacting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Comparability of EBITDA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Gains/(losses) from derivative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activities net of inventory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(189)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8"/>
                <w:szCs w:val="8"/>
                <w:color w:val="auto"/>
              </w:rPr>
              <w:t>(1)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80"/>
              <w:spacing w:after="0" w:line="149" w:lineRule="exact"/>
              <w:rPr>
                <w:sz w:val="20"/>
                <w:szCs w:val="20"/>
                <w:color w:val="auto"/>
              </w:rPr>
            </w:pPr>
            <w:r>
              <w:rPr>
                <w:rFonts w:ascii="Arial" w:cs="Arial" w:eastAsia="Arial" w:hAnsi="Arial"/>
                <w:sz w:val="17"/>
                <w:szCs w:val="17"/>
                <w:color w:val="auto"/>
              </w:rPr>
              <w:t>Long-term inventory costing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8"/>
                <w:szCs w:val="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Equity-indexed compensation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expense </w:t>
            </w:r>
            <w:r>
              <w:rPr>
                <w:rFonts w:ascii="Arial" w:cs="Arial" w:eastAsia="Arial" w:hAnsi="Arial"/>
                <w:sz w:val="8"/>
                <w:szCs w:val="8"/>
                <w:color w:val="auto"/>
              </w:rPr>
              <w:t>(3)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80"/>
              <w:spacing w:after="0" w:line="149" w:lineRule="exact"/>
              <w:rPr>
                <w:sz w:val="20"/>
                <w:szCs w:val="20"/>
                <w:color w:val="auto"/>
              </w:rPr>
            </w:pPr>
            <w:r>
              <w:rPr>
                <w:rFonts w:ascii="Arial" w:cs="Arial" w:eastAsia="Arial" w:hAnsi="Arial"/>
                <w:sz w:val="17"/>
                <w:szCs w:val="17"/>
                <w:color w:val="auto"/>
              </w:rPr>
              <w:t>Net gain/(loss) on foreign currency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 xml:space="preserve">revaluation </w:t>
            </w:r>
            <w:r>
              <w:rPr>
                <w:rFonts w:ascii="Arial" w:cs="Arial" w:eastAsia="Arial" w:hAnsi="Arial"/>
                <w:sz w:val="8"/>
                <w:szCs w:val="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8"/>
                <w:szCs w:val="8"/>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Pr>
          <w:p>
            <w:pPr>
              <w:spacing w:after="0" w:line="129" w:lineRule="exact"/>
              <w:rPr>
                <w:sz w:val="20"/>
                <w:szCs w:val="20"/>
                <w:color w:val="auto"/>
              </w:rPr>
            </w:pPr>
            <w:r>
              <w:rPr>
                <w:rFonts w:ascii="Arial" w:cs="Arial" w:eastAsia="Arial" w:hAnsi="Arial"/>
                <w:sz w:val="14"/>
                <w:szCs w:val="14"/>
                <w:color w:val="auto"/>
              </w:rPr>
              <w:t>Selected Items Impacting</w:t>
            </w:r>
          </w:p>
        </w:tc>
        <w:tc>
          <w:tcPr>
            <w:tcW w:w="30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1"/>
                <w:szCs w:val="1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 (13)</w:t>
            </w:r>
          </w:p>
        </w:tc>
        <w:tc>
          <w:tcPr>
            <w:tcW w:w="12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3"/>
              </w:rPr>
              <w:t>(1,300)%</w:t>
            </w:r>
          </w:p>
        </w:tc>
        <w:tc>
          <w:tcPr>
            <w:tcW w:w="120" w:type="dxa"/>
            <w:vAlign w:val="bottom"/>
            <w:tcBorders>
              <w:right w:val="single" w:sz="8" w:color="auto"/>
            </w:tcBorders>
          </w:tcPr>
          <w:p>
            <w:pPr>
              <w:spacing w:after="0"/>
              <w:rPr>
                <w:sz w:val="11"/>
                <w:szCs w:val="1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 (260)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3"/>
              </w:rPr>
              <w:t>(1,368)%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ind w:left="120"/>
              <w:spacing w:after="0" w:line="189" w:lineRule="exact"/>
              <w:rPr>
                <w:sz w:val="20"/>
                <w:szCs w:val="20"/>
                <w:color w:val="auto"/>
              </w:rPr>
            </w:pPr>
            <w:r>
              <w:rPr>
                <w:rFonts w:ascii="Arial" w:cs="Arial" w:eastAsia="Arial" w:hAnsi="Arial"/>
                <w:sz w:val="18"/>
                <w:szCs w:val="18"/>
                <w:color w:val="auto"/>
              </w:rPr>
              <w:t>Comparability of EBITDA</w:t>
            </w:r>
          </w:p>
        </w:tc>
        <w:tc>
          <w:tcPr>
            <w:tcW w:w="30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(43)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(261)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Selected Items Impacting</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vMerge w:val="restart"/>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Comparability of EBITDA</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 (30)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(30)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income tax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80"/>
              <w:spacing w:after="0" w:line="149" w:lineRule="exact"/>
              <w:rPr>
                <w:sz w:val="20"/>
                <w:szCs w:val="20"/>
                <w:color w:val="auto"/>
              </w:rPr>
            </w:pPr>
            <w:r>
              <w:rPr>
                <w:rFonts w:ascii="Arial" w:cs="Arial" w:eastAsia="Arial" w:hAnsi="Arial"/>
                <w:sz w:val="17"/>
                <w:szCs w:val="17"/>
                <w:color w:val="auto"/>
              </w:rPr>
              <w:t>Equity earnings in unconsolidated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entities, net of distributions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Distributions to noncontrolling</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interests </w:t>
            </w:r>
            <w:r>
              <w:rPr>
                <w:rFonts w:ascii="Arial" w:cs="Arial" w:eastAsia="Arial" w:hAnsi="Arial"/>
                <w:sz w:val="8"/>
                <w:szCs w:val="8"/>
                <w:color w:val="auto"/>
              </w:rPr>
              <w:t>(7)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color w:val="auto"/>
              </w:rPr>
              <w:t xml:space="preserve">Implied DCF </w:t>
            </w:r>
            <w:r>
              <w:rPr>
                <w:rFonts w:ascii="Arial" w:cs="Arial" w:eastAsia="Arial" w:hAnsi="Arial"/>
                <w:sz w:val="8"/>
                <w:szCs w:val="8"/>
                <w:color w:val="auto"/>
              </w:rPr>
              <w:t>(8)</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 (31)</w:t>
            </w:r>
          </w:p>
        </w:tc>
        <w:tc>
          <w:tcPr>
            <w:tcW w:w="12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8"/>
                <w:szCs w:val="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8"/>
                <w:szCs w:val="8"/>
                <w:color w:val="auto"/>
              </w:rPr>
              <w:t>(9)</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20" w:hanging="417"/>
        <w:spacing w:after="0" w:line="270"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8 to our Condensed Consolidated Financial Statements for a comprehensive discussion regarding our derivatives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right="100" w:hanging="417"/>
        <w:spacing w:after="0" w:line="290"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carry approximately 5 million barrels of crude oil and NGL inventory that consists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2014 Annual Report on Form 10-K for a complete discussion of our long-term inventory.</w:t>
      </w:r>
    </w:p>
    <w:p>
      <w:pPr>
        <w:spacing w:after="0" w:line="166" w:lineRule="exact"/>
        <w:rPr>
          <w:rFonts w:ascii="Arial" w:cs="Arial" w:eastAsia="Arial" w:hAnsi="Arial"/>
          <w:sz w:val="16"/>
          <w:szCs w:val="16"/>
          <w:color w:val="auto"/>
        </w:rPr>
      </w:pPr>
    </w:p>
    <w:p>
      <w:pPr>
        <w:ind w:left="420" w:right="40" w:hanging="417"/>
        <w:spacing w:after="0" w:line="270"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2014 Annual Report on Form 10-K for a comprehensive discussion regarding our equity-indexed compensation plans.</w:t>
      </w:r>
    </w:p>
    <w:p>
      <w:pPr>
        <w:spacing w:after="0" w:line="181" w:lineRule="exact"/>
        <w:rPr>
          <w:rFonts w:ascii="Arial" w:cs="Arial" w:eastAsia="Arial" w:hAnsi="Arial"/>
          <w:sz w:val="17"/>
          <w:szCs w:val="17"/>
          <w:color w:val="auto"/>
        </w:rPr>
      </w:pPr>
    </w:p>
    <w:p>
      <w:pPr>
        <w:ind w:left="420" w:right="120" w:hanging="41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2015 and 2014, there were fluctuations in the value of CAD to USD, resulting in gains and losses that were not related to our core operating results for the period and were thus classified as selected items impacting comparability.</w:t>
      </w:r>
    </w:p>
    <w:p>
      <w:pPr>
        <w:spacing w:after="0" w:line="181" w:lineRule="exact"/>
        <w:rPr>
          <w:rFonts w:ascii="Arial" w:cs="Arial" w:eastAsia="Arial" w:hAnsi="Arial"/>
          <w:sz w:val="18"/>
          <w:szCs w:val="18"/>
          <w:color w:val="auto"/>
        </w:rPr>
      </w:pPr>
    </w:p>
    <w:p>
      <w:pPr>
        <w:jc w:val="both"/>
        <w:ind w:left="420" w:right="60" w:hanging="41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costs related to our Line 901 incident that occurred during May 2015, net of amounts we believe are probable of recovery from insurance recoveries. See Note 10 to our Condensed Consolidated Financial Statements for additional information.</w:t>
      </w:r>
    </w:p>
    <w:p>
      <w:pPr>
        <w:spacing w:after="0" w:line="181" w:lineRule="exact"/>
        <w:rPr>
          <w:rFonts w:ascii="Arial" w:cs="Arial" w:eastAsia="Arial" w:hAnsi="Arial"/>
          <w:sz w:val="18"/>
          <w:szCs w:val="18"/>
          <w:color w:val="auto"/>
        </w:rPr>
      </w:pPr>
    </w:p>
    <w:p>
      <w:pPr>
        <w:ind w:left="420" w:right="820" w:hanging="417"/>
        <w:spacing w:after="0" w:line="34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capital expenditures are defined as capital expenditures for the replacement of partially or fully depreciated assets in order to maintain the operating and/or earnings capacity of our existing assets.</w:t>
      </w:r>
    </w:p>
    <w:p>
      <w:pPr>
        <w:spacing w:after="0" w:line="123" w:lineRule="exact"/>
        <w:rPr>
          <w:rFonts w:ascii="Arial" w:cs="Arial" w:eastAsia="Arial" w:hAnsi="Arial"/>
          <w:sz w:val="16"/>
          <w:szCs w:val="16"/>
          <w:color w:val="auto"/>
        </w:rPr>
      </w:pPr>
    </w:p>
    <w:p>
      <w:pPr>
        <w:ind w:left="440" w:hanging="437"/>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38" w:lineRule="exact"/>
        <w:rPr>
          <w:rFonts w:ascii="Arial" w:cs="Arial" w:eastAsia="Arial" w:hAnsi="Arial"/>
          <w:sz w:val="18"/>
          <w:szCs w:val="18"/>
          <w:color w:val="auto"/>
        </w:rPr>
      </w:pPr>
    </w:p>
    <w:p>
      <w:pPr>
        <w:ind w:left="420" w:right="120" w:hanging="41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Including costs of $65 million related to our Line 901 incident that occurred during May 2015, Implied DCF would have been $1,023 million for the nine months ended September 30, 2015. See Note 10 to our Condensed Consolidated Financial Statements for additional information regarding the Line 901 incident.</w:t>
      </w:r>
    </w:p>
    <w:p>
      <w:pPr>
        <w:spacing w:after="0" w:line="181" w:lineRule="exact"/>
        <w:rPr>
          <w:rFonts w:ascii="Arial" w:cs="Arial" w:eastAsia="Arial" w:hAnsi="Arial"/>
          <w:sz w:val="18"/>
          <w:szCs w:val="18"/>
          <w:color w:val="auto"/>
        </w:rPr>
      </w:pPr>
    </w:p>
    <w:p>
      <w:pPr>
        <w:ind w:left="420" w:hanging="41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Excess DCF is retained to establish reserves for future distributions, capital expenditures and other</w:t>
      </w:r>
    </w:p>
    <w:p>
      <w:pPr>
        <w:spacing w:after="0" w:line="23" w:lineRule="exact"/>
        <w:rPr>
          <w:rFonts w:ascii="Arial" w:cs="Arial" w:eastAsia="Arial" w:hAnsi="Arial"/>
          <w:sz w:val="18"/>
          <w:szCs w:val="18"/>
          <w:color w:val="auto"/>
        </w:rPr>
      </w:pPr>
    </w:p>
    <w:p>
      <w:pPr>
        <w:ind w:left="420"/>
        <w:spacing w:after="0" w:line="261" w:lineRule="auto"/>
        <w:rPr>
          <w:rFonts w:ascii="Arial" w:cs="Arial" w:eastAsia="Arial" w:hAnsi="Arial"/>
          <w:sz w:val="18"/>
          <w:szCs w:val="18"/>
          <w:color w:val="auto"/>
        </w:rPr>
      </w:pPr>
      <w:r>
        <w:rPr>
          <w:rFonts w:ascii="Arial" w:cs="Arial" w:eastAsia="Arial" w:hAnsi="Arial"/>
          <w:sz w:val="18"/>
          <w:szCs w:val="18"/>
          <w:color w:val="auto"/>
        </w:rPr>
        <w:t>partnership purposes. DCF shortages are funded from previously established reserves, cash on hand or from borrowings under our credit facilities or commercial paper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operating results from our Transportation segment for the periods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4"/>
              </w:rPr>
              <w:t>Favorable/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5"/>
              </w:rPr>
              <w:t>(Unfavorable)</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82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1,063</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Trucking</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Total transportation revenues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1,203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Trucking costs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(18)%</w:t>
            </w:r>
          </w:p>
        </w:tc>
      </w:tr>
      <w:tr>
        <w:trPr>
          <w:trHeight w:val="202"/>
        </w:trPr>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(expense)/benefit - operations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2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2"/>
        </w:trPr>
        <w:tc>
          <w:tcPr>
            <w:tcW w:w="2820" w:type="dxa"/>
            <w:vAlign w:val="bottom"/>
          </w:tcPr>
          <w:p>
            <w:pPr>
              <w:ind w:left="100"/>
              <w:spacing w:after="0" w:line="201" w:lineRule="exact"/>
              <w:rPr>
                <w:sz w:val="20"/>
                <w:szCs w:val="20"/>
                <w:color w:val="auto"/>
              </w:rPr>
            </w:pPr>
            <w:r>
              <w:rPr>
                <w:rFonts w:ascii="Arial" w:cs="Arial" w:eastAsia="Arial" w:hAnsi="Arial"/>
                <w:sz w:val="18"/>
                <w:szCs w:val="18"/>
                <w:color w:val="auto"/>
                <w:w w:val="93"/>
              </w:rPr>
              <w:t>Segment general and administrative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(2) (3)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(15)%</w:t>
            </w: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2"/>
        </w:trPr>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(expense)/benefit - general and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w:t>
            </w:r>
          </w:p>
        </w:tc>
        <w:tc>
          <w:tcPr>
            <w:tcW w:w="2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right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right w:val="single" w:sz="8" w:color="auto"/>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r>
      <w:tr>
        <w:trPr>
          <w:trHeight w:val="22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$ 0.02</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(0.04)</w:t>
            </w: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891"/>
        </w:trPr>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41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2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Favorable/</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(Unfavorable)</w:t>
            </w: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Average Daily Volumes</w:t>
            </w: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4"/>
                <w:szCs w:val="14"/>
                <w:b w:val="1"/>
                <w:bCs w:val="1"/>
                <w:color w:val="auto"/>
                <w:vertAlign w:val="superscript"/>
              </w:rPr>
              <w:t>(4)</w:t>
            </w: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0"/>
                <w:szCs w:val="20"/>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0"/>
                <w:szCs w:val="20"/>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4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r>
      <w:tr>
        <w:trPr>
          <w:trHeight w:val="210"/>
        </w:trPr>
        <w:tc>
          <w:tcPr>
            <w:tcW w:w="2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43"/>
        </w:trPr>
        <w:tc>
          <w:tcPr>
            <w:tcW w:w="3140" w:type="dxa"/>
            <w:vAlign w:val="bottom"/>
            <w:gridSpan w:val="3"/>
          </w:tcPr>
          <w:p>
            <w:pPr>
              <w:ind w:left="120"/>
              <w:spacing w:after="0"/>
              <w:rPr>
                <w:sz w:val="20"/>
                <w:szCs w:val="20"/>
                <w:color w:val="auto"/>
              </w:rPr>
            </w:pPr>
            <w:r>
              <w:rPr>
                <w:rFonts w:ascii="Arial" w:cs="Arial" w:eastAsia="Arial" w:hAnsi="Arial"/>
                <w:sz w:val="18"/>
                <w:szCs w:val="18"/>
                <w:color w:val="auto"/>
              </w:rPr>
              <w:t>Crude Oil Pipelines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 American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Basin / Mesa / Sunrise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BridgeTex</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7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Cactus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Capline</w:t>
            </w: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8"/>
                <w:szCs w:val="8"/>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Line 63 / Line 2000</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Manito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Mid-Continent Area Systems</w:t>
            </w: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Permian Basin Area Systems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Rainbow</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Rangeland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South Saskatchewan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140" w:type="dxa"/>
            <w:vAlign w:val="bottom"/>
            <w:gridSpan w:val="3"/>
          </w:tcPr>
          <w:p>
            <w:pPr>
              <w:ind w:left="220"/>
              <w:spacing w:after="0"/>
              <w:rPr>
                <w:sz w:val="20"/>
                <w:szCs w:val="20"/>
                <w:color w:val="auto"/>
              </w:rPr>
            </w:pPr>
            <w:r>
              <w:rPr>
                <w:rFonts w:ascii="Arial" w:cs="Arial" w:eastAsia="Arial" w:hAnsi="Arial"/>
                <w:sz w:val="18"/>
                <w:szCs w:val="18"/>
                <w:color w:val="auto"/>
              </w:rPr>
              <w:t>White Cliffs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140" w:type="dxa"/>
            <w:vAlign w:val="bottom"/>
            <w:gridSpan w:val="3"/>
          </w:tcPr>
          <w:p>
            <w:pPr>
              <w:ind w:left="120"/>
              <w:spacing w:after="0"/>
              <w:rPr>
                <w:sz w:val="20"/>
                <w:szCs w:val="20"/>
                <w:color w:val="auto"/>
              </w:rPr>
            </w:pPr>
            <w:r>
              <w:rPr>
                <w:rFonts w:ascii="Arial" w:cs="Arial" w:eastAsia="Arial" w:hAnsi="Arial"/>
                <w:sz w:val="18"/>
                <w:szCs w:val="18"/>
                <w:color w:val="auto"/>
              </w:rPr>
              <w:t>NGL Pipelines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14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Trucking</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w:t>
            </w:r>
            <w:r>
              <w:rPr>
                <w:rFonts w:ascii="Arial" w:cs="Arial" w:eastAsia="Arial" w:hAnsi="Arial"/>
                <w:sz w:val="18"/>
                <w:szCs w:val="18"/>
                <w:u w:val="single" w:color="auto"/>
                <w:color w:val="auto"/>
                <w:w w:val="95"/>
              </w:rPr>
              <w:t>%</w:t>
            </w:r>
          </w:p>
        </w:tc>
      </w:tr>
      <w:tr>
        <w:trPr>
          <w:trHeight w:val="217"/>
        </w:trPr>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08"/>
        </w:trPr>
        <w:tc>
          <w:tcPr>
            <w:tcW w:w="22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94" w:lineRule="exact"/>
        <w:rPr>
          <w:sz w:val="20"/>
          <w:szCs w:val="20"/>
          <w:color w:val="auto"/>
        </w:rPr>
      </w:pPr>
    </w:p>
    <w:p>
      <w:pPr>
        <w:ind w:left="600" w:hanging="59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8"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81" w:lineRule="exact"/>
        <w:rPr>
          <w:rFonts w:ascii="Arial" w:cs="Arial" w:eastAsia="Arial" w:hAnsi="Arial"/>
          <w:sz w:val="18"/>
          <w:szCs w:val="18"/>
          <w:color w:val="auto"/>
        </w:rPr>
      </w:pPr>
    </w:p>
    <w:p>
      <w:pPr>
        <w:ind w:left="420" w:right="180" w:hanging="417"/>
        <w:spacing w:after="0" w:line="26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81" w:lineRule="exact"/>
        <w:rPr>
          <w:rFonts w:ascii="Arial" w:cs="Arial" w:eastAsia="Arial" w:hAnsi="Arial"/>
          <w:sz w:val="18"/>
          <w:szCs w:val="18"/>
          <w:color w:val="auto"/>
        </w:rPr>
      </w:pPr>
    </w:p>
    <w:p>
      <w:pPr>
        <w:ind w:left="440" w:hanging="437"/>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reflected in the tables above, our total Transportation segment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net of trucking costs, increased by $12 million for the nine months ended September 30, 2015 compared to the nine months ended September 30, 2014, but decreased by $11 million for the three months ended September 30, 2015 compared to three months ended September 30, 2014. Average daily volumes increased for each of the comparative periods presented. Our Transportation segment results were impacted by the following:</w:t>
      </w:r>
    </w:p>
    <w:p>
      <w:pPr>
        <w:spacing w:after="0" w:line="173" w:lineRule="exact"/>
        <w:rPr>
          <w:sz w:val="20"/>
          <w:szCs w:val="20"/>
          <w:color w:val="auto"/>
        </w:rPr>
      </w:pPr>
    </w:p>
    <w:p>
      <w:pPr>
        <w:ind w:left="380" w:hanging="53"/>
        <w:spacing w:after="0" w:line="290" w:lineRule="auto"/>
        <w:rPr>
          <w:sz w:val="20"/>
          <w:szCs w:val="20"/>
          <w:color w:val="auto"/>
        </w:rPr>
      </w:pPr>
      <w:r>
        <w:rPr>
          <w:rFonts w:ascii="Arial" w:cs="Arial" w:eastAsia="Arial" w:hAnsi="Arial"/>
          <w:sz w:val="16"/>
          <w:szCs w:val="16"/>
          <w:color w:val="auto"/>
        </w:rPr>
        <w:t>·North American Crude Oil Production and Related Expansion Projects — Production growth from the development of certain North American crude oil resource plays increased throughput on our existing pipeline systems over the comparative periods presented. Additionally, we have recently completed infrastructure projects related to production growth that have generated incremental volumes through increased capacity and connections. We estimate that the impact of increased throughput, most notably on our Eagle Ford Area Systems and certain pipelines in our Permian Basin Area Systems, and incremental volumes from our recently constructed infrastructure projects, including our Cactus and Sunrise pipelines, increased our revenues by $10 million and $55 million, respectively, for the three and nine months ended September 30, 2015 compared to the three and nine months ended September 30, 2014.</w:t>
      </w:r>
    </w:p>
    <w:p>
      <w:pPr>
        <w:spacing w:after="0" w:line="166" w:lineRule="exact"/>
        <w:rPr>
          <w:sz w:val="20"/>
          <w:szCs w:val="20"/>
          <w:color w:val="auto"/>
        </w:rPr>
      </w:pPr>
    </w:p>
    <w:p>
      <w:pPr>
        <w:jc w:val="both"/>
        <w:ind w:left="380" w:right="100" w:hanging="53"/>
        <w:spacing w:after="0" w:line="310" w:lineRule="auto"/>
        <w:rPr>
          <w:sz w:val="20"/>
          <w:szCs w:val="20"/>
          <w:color w:val="auto"/>
        </w:rPr>
      </w:pPr>
      <w:r>
        <w:rPr>
          <w:rFonts w:ascii="Arial" w:cs="Arial" w:eastAsia="Arial" w:hAnsi="Arial"/>
          <w:sz w:val="15"/>
          <w:szCs w:val="15"/>
          <w:color w:val="auto"/>
        </w:rPr>
        <w:t>·Tariff Rates — Revenues on our pipelines are impacted by various tariff rate changes that may occur during the period, which include (i) rate increases or decreases on our intrastate and Canadian pipelines and fees on related system assets,</w:t>
      </w:r>
    </w:p>
    <w:p>
      <w:pPr>
        <w:spacing w:after="0" w:line="1" w:lineRule="exact"/>
        <w:rPr>
          <w:sz w:val="20"/>
          <w:szCs w:val="20"/>
          <w:color w:val="auto"/>
        </w:rPr>
      </w:pPr>
    </w:p>
    <w:p>
      <w:pPr>
        <w:ind w:left="380" w:right="60" w:firstLine="1"/>
        <w:spacing w:after="0" w:line="252"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indexing of rates on our FERC regulated pipelines or (iii) other negotiated rate changes. We estimate that the net impact of such rate changes on our pipelines increased revenues by $15 million and $45 million for the three and nine months ended September 30, 2015, respectively, compared to the three and nine months ended September 30, 2014 primarily due to tariff rate increases on certain of our Canadian crude oil pipelines and incremental fees on related system assets, and, to a lesser extent, indexing on our FERC regulated pipelines and rate increases on our intrastate pipelines.</w:t>
      </w:r>
    </w:p>
    <w:p>
      <w:pPr>
        <w:spacing w:after="0" w:line="194" w:lineRule="exact"/>
        <w:rPr>
          <w:sz w:val="20"/>
          <w:szCs w:val="20"/>
          <w:color w:val="auto"/>
        </w:rPr>
      </w:pPr>
    </w:p>
    <w:p>
      <w:pPr>
        <w:ind w:left="380" w:right="20" w:hanging="53"/>
        <w:spacing w:after="0" w:line="259" w:lineRule="auto"/>
        <w:rPr>
          <w:sz w:val="20"/>
          <w:szCs w:val="20"/>
          <w:color w:val="auto"/>
        </w:rPr>
      </w:pPr>
      <w:r>
        <w:rPr>
          <w:rFonts w:ascii="Arial" w:cs="Arial" w:eastAsia="Arial" w:hAnsi="Arial"/>
          <w:sz w:val="18"/>
          <w:szCs w:val="18"/>
          <w:color w:val="auto"/>
        </w:rPr>
        <w:t>·Foreign Exchange Impact — We estimate that tariff revenues from our Canadian pipeline systems and net revenues from our Canadian trucking operations were unfavorably impacted by $18 million and $39 million for the three and nine months ended September 30, 2015, respectively, compared to the three and nine months ended September 30, 2014 due to the depreciation of CAD relative to USD.</w:t>
      </w:r>
    </w:p>
    <w:p>
      <w:pPr>
        <w:spacing w:after="0" w:line="187" w:lineRule="exact"/>
        <w:rPr>
          <w:sz w:val="20"/>
          <w:szCs w:val="20"/>
          <w:color w:val="auto"/>
        </w:rPr>
      </w:pPr>
    </w:p>
    <w:p>
      <w:pPr>
        <w:ind w:left="380" w:right="120" w:hanging="53"/>
        <w:spacing w:after="0" w:line="291" w:lineRule="auto"/>
        <w:rPr>
          <w:sz w:val="20"/>
          <w:szCs w:val="20"/>
          <w:color w:val="auto"/>
        </w:rPr>
      </w:pPr>
      <w:r>
        <w:rPr>
          <w:rFonts w:ascii="Arial" w:cs="Arial" w:eastAsia="Arial" w:hAnsi="Arial"/>
          <w:sz w:val="16"/>
          <w:szCs w:val="16"/>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$11 million and $38 million, respectively, for the three and nine months ended September 30, 2015 compared to the three and nine months ended September 30, 2014 primarily due to a lower average realized price per barrel, partially offset by higher volumes.</w:t>
      </w:r>
    </w:p>
    <w:p>
      <w:pPr>
        <w:spacing w:after="0" w:line="167" w:lineRule="exact"/>
        <w:rPr>
          <w:sz w:val="20"/>
          <w:szCs w:val="20"/>
          <w:color w:val="auto"/>
        </w:rPr>
      </w:pPr>
    </w:p>
    <w:p>
      <w:pPr>
        <w:ind w:left="380" w:right="220" w:hanging="53"/>
        <w:spacing w:after="0" w:line="257" w:lineRule="auto"/>
        <w:rPr>
          <w:sz w:val="20"/>
          <w:szCs w:val="20"/>
          <w:color w:val="auto"/>
        </w:rPr>
      </w:pPr>
      <w:r>
        <w:rPr>
          <w:rFonts w:ascii="Arial" w:cs="Arial" w:eastAsia="Arial" w:hAnsi="Arial"/>
          <w:sz w:val="18"/>
          <w:szCs w:val="18"/>
          <w:color w:val="auto"/>
        </w:rPr>
        <w:t>·All American Pipeline — As a result of pipeline downtime associated with the Line 901 incident that occurred in the second quarter of 2015, tariff revenues from our All American pipeline were $9 million and $12 million lower for the three and nine months ended September 30, 2015, respectively, compared to the three and nine months ended September 30, 2014. See Note 10 to our Condensed Consolidated Financial Statements for additional information regarding this incident.</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Additional noteworthy volume and revenue variances for the comparative periods presented included (i) decreased volumes and revenues from our trucking operations due to lower producer volumes, (ii) lower volumes and revenues on our San Joaquin Valley gathering system due to refinery outages, (iii) lower volumes on our Pascagoula pipeline during the third quarter of 2015 due to downtime for pipeline and refinery maintenance and (iv) increased volumes and revenues on the Capline Pipeline System for the nine-month comparative period due to higher refinery demand and timing of a refinery turnaround, which occurred in the second quarter of 2014.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2015 compared to the three months ended September 30, 2014 primarily due to a favorable foreign exchange impact of $7 million.</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Field operating costs (excluding equity-indexed compensation expense) increased for the nine months ended September 30, 2015 compared to the nine months ended September 30, 2014 primarily due to estimated costs of $65 million recognized during the second quarter of 2015 associated with the Line 901 incident, net of amounts we believe are probable of recovery from insurance. See Note 10 to our Condensed Consolidated Financial Statements for additional information regarding this incident. The nine-month 2015 period was also impacted by higher salary and related expenses and property tax expense primarily associated with the growth and capital expansion in the segment, partially offset by favorable foreign exchange impacts of $16 million.</w:t>
      </w:r>
    </w:p>
    <w:p>
      <w:pPr>
        <w:spacing w:after="0" w:line="18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increase in general and administrative expenses (excluding equity-indexed compensation expense) for the three and nine months ended September 30, 2015 over the comparable 2014 periods was primarily due to increased salaries, benefits and other costs associated with the growth in the segment.</w:t>
      </w:r>
    </w:p>
    <w:p>
      <w:pPr>
        <w:spacing w:after="0" w:line="14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decreased for the three and nine months ended September 30, 2015 compared to the same periods in 2014 primarily due to the impact of the decrease in unit price during each of the 2015 periods compared to the impact of the change in unit price during the 2014 periods.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Allocations of equity-indexed compensation expense vary over time (i) between field operating costs and general and administrative expenses and (ii) 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Equity Earnings in Unconsolidated Entities</w:t>
      </w:r>
      <w:r>
        <w:rPr>
          <w:rFonts w:ascii="Arial" w:cs="Arial" w:eastAsia="Arial" w:hAnsi="Arial"/>
          <w:sz w:val="17"/>
          <w:szCs w:val="17"/>
          <w:color w:val="auto"/>
        </w:rPr>
        <w:t>. The favorable variance in equity earnings in unconsolidated entities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nine months ended September 30, 2015 compared to the three and nine months ended September 30, 2014 was primarily driven by (i) earnings from our 50% interest in BridgeTex, which we acquired in November 2014, and</w:t>
      </w:r>
    </w:p>
    <w:p>
      <w:pPr>
        <w:ind w:right="160" w:firstLine="3"/>
        <w:spacing w:after="0" w:line="281"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throughput on the Eagle Ford pipeline as a result of increased crude oil production in that region, as discussed in “Net Operating Revenues and Volumes” above. The nine-month comparative period was further favorably impacted</w:t>
      </w:r>
    </w:p>
    <w:p>
      <w:pPr>
        <w:spacing w:after="0" w:line="1"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by increased throughput on the White Cliffs pipeline due to an expansion of the pipeline that was placed into service in July 2014.</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nine months ended September 30, 2015 compared to the nine months ended September 30, 2014 was primarily due to a reclassification of certain maintenance capital costs from our Facilities segment during the 2014 period. In addition, increased spending on integrity and repair activities was largely offset by the impact of the depreciation of CAD relative to USD.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5"/>
          </w:tcPr>
          <w:p>
            <w:pPr>
              <w:ind w:left="1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w w:val="96"/>
              </w:rPr>
              <w:t>Natural gas related storage costs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(expense)/benefit - operations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(2) (3)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Arial" w:cs="Arial" w:eastAsia="Arial" w:hAnsi="Arial"/>
                <w:sz w:val="18"/>
                <w:szCs w:val="18"/>
                <w:color w:val="auto"/>
                <w:w w:val="95"/>
              </w:rPr>
              <w:t>(expense)/benefit - general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right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01"/>
        </w:trPr>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Nine Months Ended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4"/>
                <w:szCs w:val="14"/>
                <w:b w:val="1"/>
                <w:bCs w:val="1"/>
                <w:color w:val="auto"/>
                <w:vertAlign w:val="superscript"/>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terminalling and storage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monthly capacity 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millions of barrels)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Rail load / unload volumes</w:t>
            </w: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Arial" w:cs="Arial" w:eastAsia="Arial" w:hAnsi="Arial"/>
                <w:sz w:val="18"/>
                <w:szCs w:val="18"/>
                <w:color w:val="auto"/>
                <w:w w:val="88"/>
              </w:rPr>
              <w:t>(average volumes in thousands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2560" w:type="dxa"/>
            <w:vAlign w:val="bottom"/>
          </w:tcPr>
          <w:p>
            <w:pPr>
              <w:ind w:left="140"/>
              <w:spacing w:after="0"/>
              <w:rPr>
                <w:sz w:val="20"/>
                <w:szCs w:val="20"/>
                <w:color w:val="auto"/>
              </w:rPr>
            </w:pPr>
            <w:r>
              <w:rPr>
                <w:rFonts w:ascii="Arial" w:cs="Arial" w:eastAsia="Arial" w:hAnsi="Arial"/>
                <w:sz w:val="18"/>
                <w:szCs w:val="18"/>
                <w:color w:val="auto"/>
              </w:rPr>
              <w:t>barrels per day)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Natural gas storage (average</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monthly working capacity 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billions of cubic feet)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NGL fractionation (average</w:t>
            </w: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Arial" w:cs="Arial" w:eastAsia="Arial" w:hAnsi="Arial"/>
                <w:sz w:val="18"/>
                <w:szCs w:val="18"/>
                <w:color w:val="auto"/>
                <w:w w:val="94"/>
              </w:rPr>
              <w:t>volumes in thousands of barrels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2560" w:type="dxa"/>
            <w:vAlign w:val="bottom"/>
          </w:tcPr>
          <w:p>
            <w:pPr>
              <w:ind w:left="140"/>
              <w:spacing w:after="0"/>
              <w:rPr>
                <w:sz w:val="20"/>
                <w:szCs w:val="20"/>
                <w:color w:val="auto"/>
              </w:rPr>
            </w:pPr>
            <w:r>
              <w:rPr>
                <w:rFonts w:ascii="Arial" w:cs="Arial" w:eastAsia="Arial" w:hAnsi="Arial"/>
                <w:sz w:val="18"/>
                <w:szCs w:val="18"/>
                <w:color w:val="auto"/>
              </w:rPr>
              <w:t>per day)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Facilities segment total (average</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monthly volumes in millions of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shd w:val="clear" w:color="auto" w:fill="CCEEFF"/>
          </w:tcPr>
          <w:p>
            <w:pPr>
              <w:spacing w:after="0"/>
              <w:rPr>
                <w:sz w:val="18"/>
                <w:szCs w:val="1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barrels) </w:t>
            </w:r>
            <w:r>
              <w:rPr>
                <w:rFonts w:ascii="Arial" w:cs="Arial" w:eastAsia="Arial" w:hAnsi="Arial"/>
                <w:sz w:val="8"/>
                <w:szCs w:val="8"/>
                <w:color w:val="auto"/>
              </w:rPr>
              <w:t>(5)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1440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0" w:hanging="597"/>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8"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81" w:lineRule="exact"/>
        <w:rPr>
          <w:rFonts w:ascii="Arial" w:cs="Arial" w:eastAsia="Arial" w:hAnsi="Arial"/>
          <w:sz w:val="18"/>
          <w:szCs w:val="18"/>
          <w:color w:val="auto"/>
        </w:rPr>
      </w:pPr>
    </w:p>
    <w:p>
      <w:pPr>
        <w:ind w:left="420" w:right="180" w:hanging="417"/>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Volumes associated with assets employed through acquisitions and capital expansion projects represent total volumes for the number of months we employed the assets divided by the number of months in the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hanging="417"/>
        <w:spacing w:after="0" w:line="255"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noted in the table above, our Facilities segment revenues, less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costs, decreased by $16 million and $39 million for the three and nine months ended September 30, 2015, respectively, compared to the same periods in 2014, while total volumes for each of the comparative periods presented increased. Our Facilities segment results for the comparative periods were impacted by:</w:t>
      </w:r>
    </w:p>
    <w:p>
      <w:pPr>
        <w:spacing w:after="0" w:line="171" w:lineRule="exact"/>
        <w:rPr>
          <w:sz w:val="20"/>
          <w:szCs w:val="20"/>
          <w:color w:val="auto"/>
        </w:rPr>
      </w:pPr>
    </w:p>
    <w:p>
      <w:pPr>
        <w:ind w:left="380" w:right="20" w:hanging="53"/>
        <w:spacing w:after="0" w:line="259" w:lineRule="auto"/>
        <w:rPr>
          <w:sz w:val="20"/>
          <w:szCs w:val="20"/>
          <w:color w:val="auto"/>
        </w:rPr>
      </w:pPr>
      <w:r>
        <w:rPr>
          <w:rFonts w:ascii="Arial" w:cs="Arial" w:eastAsia="Arial" w:hAnsi="Arial"/>
          <w:sz w:val="18"/>
          <w:szCs w:val="18"/>
          <w:color w:val="auto"/>
        </w:rPr>
        <w:t>·Rail Terminals — For the three and nine months ended September 30, 2015, revenues from our rail activities decreased by $6 million and $16 million, respectively, due to lower volumes and lower rail fees related to the movement of certain volumes of Bakken crude oil, partially offset by revenues from our Bakersfield rail terminal that came online in the fourth quarter of 2014.</w:t>
      </w:r>
    </w:p>
    <w:p>
      <w:pPr>
        <w:spacing w:after="0" w:line="187" w:lineRule="exact"/>
        <w:rPr>
          <w:sz w:val="20"/>
          <w:szCs w:val="20"/>
          <w:color w:val="auto"/>
        </w:rPr>
      </w:pPr>
    </w:p>
    <w:p>
      <w:pPr>
        <w:ind w:left="380" w:right="100" w:hanging="53"/>
        <w:spacing w:after="0" w:line="259" w:lineRule="auto"/>
        <w:rPr>
          <w:sz w:val="20"/>
          <w:szCs w:val="20"/>
          <w:color w:val="auto"/>
        </w:rPr>
      </w:pPr>
      <w:r>
        <w:rPr>
          <w:rFonts w:ascii="Arial" w:cs="Arial" w:eastAsia="Arial" w:hAnsi="Arial"/>
          <w:sz w:val="18"/>
          <w:szCs w:val="18"/>
          <w:color w:val="auto"/>
        </w:rPr>
        <w:t>·Natural Gas Storage — Net revenues from our natural gas storage activities decreased by $5 million and $9 million for the three and nine month comparative periods, respectively, primarily due to declines in market rates for natural gas storage during the 2015 periods resulting in lower rates on new contracts replacing expiring contracts and reduced hub services opportunities.</w:t>
      </w:r>
    </w:p>
    <w:p>
      <w:pPr>
        <w:spacing w:after="0" w:line="187" w:lineRule="exact"/>
        <w:rPr>
          <w:sz w:val="20"/>
          <w:szCs w:val="20"/>
          <w:color w:val="auto"/>
        </w:rPr>
      </w:pPr>
    </w:p>
    <w:p>
      <w:pPr>
        <w:ind w:left="380" w:right="60" w:hanging="53"/>
        <w:spacing w:after="0" w:line="312" w:lineRule="auto"/>
        <w:rPr>
          <w:sz w:val="20"/>
          <w:szCs w:val="20"/>
          <w:color w:val="auto"/>
        </w:rPr>
      </w:pPr>
      <w:r>
        <w:rPr>
          <w:rFonts w:ascii="Arial" w:cs="Arial" w:eastAsia="Arial" w:hAnsi="Arial"/>
          <w:sz w:val="16"/>
          <w:szCs w:val="16"/>
          <w:color w:val="auto"/>
        </w:rPr>
        <w:t>·Gulf Coast Gas Processing — Revenues from our Gulf Coast gas processing activities decreased by $3 million and $10 million for the three and nine months ended September 30, 2015, respectively, compared to the three and nine months ended September 30, 2014, primarily due to lower volumes and decreased margins driven by lower commodity prices.</w:t>
      </w:r>
    </w:p>
    <w:p>
      <w:pPr>
        <w:spacing w:after="0" w:line="147" w:lineRule="exact"/>
        <w:rPr>
          <w:sz w:val="20"/>
          <w:szCs w:val="20"/>
          <w:color w:val="auto"/>
        </w:rPr>
      </w:pPr>
    </w:p>
    <w:p>
      <w:pPr>
        <w:ind w:left="380" w:hanging="53"/>
        <w:spacing w:after="0" w:line="254" w:lineRule="auto"/>
        <w:rPr>
          <w:sz w:val="20"/>
          <w:szCs w:val="20"/>
          <w:color w:val="auto"/>
        </w:rPr>
      </w:pPr>
      <w:r>
        <w:rPr>
          <w:rFonts w:ascii="Arial" w:cs="Arial" w:eastAsia="Arial" w:hAnsi="Arial"/>
          <w:sz w:val="18"/>
          <w:szCs w:val="18"/>
          <w:color w:val="auto"/>
        </w:rPr>
        <w:t>·NGL Storage, NGL Fractionation and Canadian Gas Processing — Revenues from our NGL storage, NGL fractionation and Canadian gas processing activities decreased by $3 million and $7 million for the three and nine month comparative periods presented, respectively. Such decreases were primarily due to unfavorable foreign currency impacts of $13 million and $30 million for the three and nine month comparative periods, respectively, due to the depreciation of CAD relative to USD, which offset revenue increases from higher facility fees for the 2015 periods. These impacts were largely offset in our Supply and Logistics segment results. The nine-month comparative period was further unfavorably impacted by lower physical processing gains related to component mix at our fractionation facilities and significantly lower NGL prices during 2015.</w:t>
      </w:r>
    </w:p>
    <w:p>
      <w:pPr>
        <w:spacing w:after="0" w:line="19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NGL fractionation volumes increased for the nine-month comparative period due to higher NGL supply volumes from western Canada; however, volumes decreased for the three-month comparative period due to a facility outage. Such volume variances did not have a corresponding impact on revenue as the impacted facilities charge a fixed monthly fee.</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September 30, 2015 compared to the three and nine months ended September 30, 2014 primarily due to a decrease in maintenance and repair costs and favorable foreign exchange impacts of $6 million and $15 million for the three and nine month comparative periods, respectively, partially offset by higher salary and related expenses. In addition, the nine month 2015 period was impacted by lower gas and power costs largely associated with our NGL fractionation and Canadian natural gas processing activities.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for the three months ended September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September 30, 2014 was primarily due to timing of tank and facility projects.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increase in maintenance capital for the nine months ended September 30, 2015 compared to the nine months ended September 30, 2014 was primarily due to various tank and facility projects and timing of equipment replacements. The nine month comparative period was also impacted by a change in classification of certain maintenance capital costs to our Transportation segment in the second quarter of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operating results from our Supply and Logistics segment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94"/>
              </w:rPr>
              <w:t>Favorable/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4"/>
                <w:szCs w:val="14"/>
                <w:b w:val="1"/>
                <w:bCs w:val="1"/>
                <w:color w:val="auto"/>
                <w:w w:val="92"/>
              </w:rPr>
              <w:t>Variance</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5"/>
              </w:rPr>
              <w:t>Variance</w:t>
            </w:r>
          </w:p>
        </w:tc>
      </w:tr>
      <w:tr>
        <w:trPr>
          <w:trHeight w:val="237"/>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(5,539)</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(15,783)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w:t>
            </w:r>
          </w:p>
        </w:tc>
      </w:tr>
      <w:tr>
        <w:trPr>
          <w:trHeight w:val="243"/>
        </w:trPr>
        <w:tc>
          <w:tcPr>
            <w:tcW w:w="2800" w:type="dxa"/>
            <w:vAlign w:val="bottom"/>
            <w:gridSpan w:val="2"/>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1"/>
                <w:szCs w:val="21"/>
                <w:color w:val="auto"/>
              </w:rPr>
            </w:pPr>
          </w:p>
        </w:tc>
        <w:tc>
          <w:tcPr>
            <w:tcW w:w="5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(16,553)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(32,041)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w w:val="89"/>
              </w:rPr>
              <w:t>Equity-indexed compensation expense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 operations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Segment general and administrative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0"/>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(3) (4)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(expense)/benefit - general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2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administrative</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117%</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w:t>
            </w:r>
          </w:p>
        </w:tc>
      </w:tr>
      <w:tr>
        <w:trPr>
          <w:trHeight w:val="210"/>
        </w:trPr>
        <w:tc>
          <w:tcPr>
            <w:tcW w:w="28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right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23"/>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w:t>
            </w:r>
          </w:p>
        </w:tc>
      </w:tr>
      <w:tr>
        <w:trPr>
          <w:trHeight w:val="744"/>
        </w:trPr>
        <w:tc>
          <w:tcPr>
            <w:tcW w:w="2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Variance</w:t>
            </w:r>
          </w:p>
        </w:tc>
      </w:tr>
      <w:tr>
        <w:trPr>
          <w:trHeight w:val="237"/>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(in thousands of barrels per day)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Volume</w:t>
            </w: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Volume</w:t>
            </w: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r>
      <w:tr>
        <w:trPr>
          <w:trHeight w:val="223"/>
        </w:trPr>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Crude oil lease gathering purchases</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8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Supply and Logistics segment 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122"/>
        </w:trPr>
        <w:tc>
          <w:tcPr>
            <w:tcW w:w="22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bl>
    <w:p>
      <w:pPr>
        <w:spacing w:after="0" w:line="94" w:lineRule="exact"/>
        <w:rPr>
          <w:sz w:val="20"/>
          <w:szCs w:val="20"/>
          <w:color w:val="auto"/>
        </w:rPr>
      </w:pPr>
    </w:p>
    <w:p>
      <w:pPr>
        <w:ind w:left="700" w:hanging="69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right="160" w:hanging="417"/>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and related costs include interest expense (related to hedged inventory purchases) of $1 million and $4 million for the three months ended September 30, 2015 and 2014, respectively, and $4 million and $11 million for the nine months ended September 30, 2015 and 2014, respectively.</w:t>
      </w:r>
    </w:p>
    <w:p>
      <w:pPr>
        <w:spacing w:after="0" w:line="181"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02"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68" w:lineRule="exact"/>
        <w:rPr>
          <w:sz w:val="20"/>
          <w:szCs w:val="20"/>
          <w:color w:val="auto"/>
        </w:rPr>
      </w:pPr>
    </w:p>
    <w:p>
      <w:pPr>
        <w:ind w:left="20" w:right="600" w:firstLine="648"/>
        <w:spacing w:after="0" w:line="277" w:lineRule="auto"/>
        <w:rPr>
          <w:sz w:val="20"/>
          <w:szCs w:val="20"/>
          <w:color w:val="auto"/>
        </w:rPr>
      </w:pPr>
      <w:r>
        <w:rPr>
          <w:rFonts w:ascii="Arial" w:cs="Arial" w:eastAsia="Arial" w:hAnsi="Arial"/>
          <w:sz w:val="18"/>
          <w:szCs w:val="18"/>
          <w:color w:val="auto"/>
        </w:rPr>
        <w:t>The following table presents the range of the NYMEX WTI benchmark price of crude oil during the periods indicated (in dollars per barrel):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0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NYMEX WTI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5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Crude Oil Price</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r>
      <w:tr>
        <w:trPr>
          <w:trHeight w:val="22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2015</w:t>
            </w:r>
          </w:p>
        </w:tc>
        <w:tc>
          <w:tcPr>
            <w:tcW w:w="2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Three months ended September 30, 2014</w:t>
            </w:r>
          </w:p>
        </w:tc>
        <w:tc>
          <w:tcPr>
            <w:tcW w:w="26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90</w:t>
            </w:r>
          </w:p>
        </w:tc>
        <w:tc>
          <w:tcPr>
            <w:tcW w:w="6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r>
      <w:tr>
        <w:trPr>
          <w:trHeight w:val="243"/>
        </w:trPr>
        <w:tc>
          <w:tcPr>
            <w:tcW w:w="50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Nine months ended September 30, 2015</w:t>
            </w:r>
          </w:p>
        </w:tc>
        <w:tc>
          <w:tcPr>
            <w:tcW w:w="26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38</w:t>
            </w:r>
          </w:p>
        </w:tc>
        <w:tc>
          <w:tcPr>
            <w:tcW w:w="6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4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2014</w:t>
            </w:r>
          </w:p>
        </w:tc>
        <w:tc>
          <w:tcPr>
            <w:tcW w:w="264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64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r>
    </w:tbl>
    <w:p>
      <w:pPr>
        <w:spacing w:after="0" w:line="24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nine months ended September 30, 2015 due to lower crude oil and NGL prices relative to the comparative 2014 periods.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pacing w:after="0" w:line="15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decreased by $83 million and $295 million for the three and nine months ended September 30, 2015 compared to the three and nine months ended September 30, 2014, respectively. The following summarizes the more significant items in the comparative periods:</w:t>
      </w:r>
    </w:p>
    <w:p>
      <w:pPr>
        <w:spacing w:after="0" w:line="173" w:lineRule="exact"/>
        <w:rPr>
          <w:sz w:val="20"/>
          <w:szCs w:val="20"/>
          <w:color w:val="auto"/>
        </w:rPr>
      </w:pPr>
    </w:p>
    <w:p>
      <w:pPr>
        <w:ind w:left="400" w:right="20" w:hanging="73"/>
        <w:spacing w:after="0" w:line="293"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Crude Oil Operations — Net revenues from our crude oil supply and logistics activities decreased for the three and nine months ended September 30, 2015 as compared to the same periods in 2014 primarily due to the compression of certain differentials during the 2015 periods, which resulted in fewer opportunities to capture above-baseline margins as compared to 2014. Additionally, lease gathering volumes and unit margins were negatively impacted by increased competition, most notably during the three-month comparative periods. However, such unfavorable results were partially offset by revenues from opportunities created by the contango market structure during the 2015 periods.</w:t>
      </w:r>
    </w:p>
    <w:p>
      <w:pPr>
        <w:spacing w:after="0" w:line="151" w:lineRule="exact"/>
        <w:rPr>
          <w:rFonts w:ascii="Arial" w:cs="Arial" w:eastAsia="Arial" w:hAnsi="Arial"/>
          <w:sz w:val="16"/>
          <w:szCs w:val="16"/>
          <w:color w:val="auto"/>
        </w:rPr>
      </w:pPr>
    </w:p>
    <w:p>
      <w:pPr>
        <w:ind w:left="400" w:right="160" w:hanging="73"/>
        <w:spacing w:after="0" w:line="308"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increased for the three and nine months ended September 30, 2015 compared to the three and nine months ended September 30, 2014. These increases were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primarily driven by (i) higher sales volumes and (ii) higher margins due to strong demand and lower supply costs in the summer months.</w:t>
      </w:r>
    </w:p>
    <w:p>
      <w:pPr>
        <w:spacing w:after="0" w:line="170" w:lineRule="exact"/>
        <w:rPr>
          <w:sz w:val="20"/>
          <w:szCs w:val="20"/>
          <w:color w:val="auto"/>
        </w:rPr>
      </w:pPr>
    </w:p>
    <w:p>
      <w:pPr>
        <w:ind w:left="400" w:right="100" w:hanging="73"/>
        <w:spacing w:after="0" w:line="312"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 during 2015.</w:t>
      </w:r>
    </w:p>
    <w:p>
      <w:pPr>
        <w:spacing w:after="0" w:line="133" w:lineRule="exact"/>
        <w:rPr>
          <w:rFonts w:ascii="Arial" w:cs="Arial" w:eastAsia="Arial" w:hAnsi="Arial"/>
          <w:sz w:val="16"/>
          <w:szCs w:val="16"/>
          <w:color w:val="auto"/>
        </w:rPr>
      </w:pPr>
    </w:p>
    <w:p>
      <w:pPr>
        <w:ind w:left="400" w:hanging="73"/>
        <w:spacing w:after="0" w:line="342"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8"/>
        </w:trPr>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Variance</w:t>
            </w:r>
          </w:p>
        </w:tc>
        <w:tc>
          <w:tcPr>
            <w:tcW w:w="60" w:type="dxa"/>
            <w:vAlign w:val="bottom"/>
          </w:tcPr>
          <w:p>
            <w:pPr>
              <w:spacing w:after="0"/>
              <w:rPr>
                <w:sz w:val="19"/>
                <w:szCs w:val="19"/>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r>
      <w:tr>
        <w:trPr>
          <w:trHeight w:val="142"/>
        </w:trPr>
        <w:tc>
          <w:tcPr>
            <w:tcW w:w="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c>
          <w:tcPr>
            <w:tcW w:w="3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r>
      <w:tr>
        <w:trPr>
          <w:trHeight w:val="182"/>
        </w:trPr>
        <w:tc>
          <w:tcPr>
            <w:tcW w:w="660" w:type="dxa"/>
            <w:vAlign w:val="bottom"/>
          </w:tcPr>
          <w:p>
            <w:pPr>
              <w:spacing w:after="0"/>
              <w:rPr>
                <w:sz w:val="15"/>
                <w:szCs w:val="15"/>
                <w:color w:val="auto"/>
              </w:rPr>
            </w:pPr>
          </w:p>
        </w:tc>
        <w:tc>
          <w:tcPr>
            <w:tcW w:w="35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Gains/(losses) from certain derivative activities</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r>
      <w:tr>
        <w:trPr>
          <w:trHeight w:val="230"/>
        </w:trPr>
        <w:tc>
          <w:tcPr>
            <w:tcW w:w="66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net of inventory valuation adjustments </w:t>
            </w:r>
            <w:r>
              <w:rPr>
                <w:rFonts w:ascii="Arial" w:cs="Arial" w:eastAsia="Arial" w:hAnsi="Arial"/>
                <w:sz w:val="8"/>
                <w:szCs w:val="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80" w:type="dxa"/>
            <w:vAlign w:val="bottom"/>
            <w:shd w:val="clear" w:color="auto" w:fill="CCEEFF"/>
          </w:tcPr>
          <w:p>
            <w:pPr>
              <w:spacing w:after="0"/>
              <w:rPr>
                <w:sz w:val="20"/>
                <w:szCs w:val="20"/>
                <w:color w:val="auto"/>
              </w:rPr>
            </w:pPr>
          </w:p>
        </w:tc>
        <w:tc>
          <w:tcPr>
            <w:tcW w:w="4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88"/>
              </w:rPr>
              <w:t>48%</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(116)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 (197) (243)%</w:t>
            </w:r>
          </w:p>
        </w:tc>
      </w:tr>
      <w:tr>
        <w:trPr>
          <w:trHeight w:val="108"/>
        </w:trPr>
        <w:tc>
          <w:tcPr>
            <w:tcW w:w="6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94" w:lineRule="exact"/>
        <w:rPr>
          <w:sz w:val="20"/>
          <w:szCs w:val="20"/>
          <w:color w:val="auto"/>
        </w:rPr>
      </w:pPr>
    </w:p>
    <w:p>
      <w:pPr>
        <w:ind w:left="1060" w:right="300" w:hanging="409"/>
        <w:spacing w:after="0" w:line="25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26" w:lineRule="exact"/>
        <w:rPr>
          <w:sz w:val="20"/>
          <w:szCs w:val="20"/>
          <w:color w:val="auto"/>
        </w:rPr>
      </w:pPr>
    </w:p>
    <w:p>
      <w:pPr>
        <w:ind w:left="380" w:right="20" w:hanging="53"/>
        <w:spacing w:after="0" w:line="272" w:lineRule="auto"/>
        <w:rPr>
          <w:sz w:val="20"/>
          <w:szCs w:val="20"/>
          <w:color w:val="auto"/>
        </w:rPr>
      </w:pPr>
      <w:r>
        <w:rPr>
          <w:rFonts w:ascii="Arial" w:cs="Arial" w:eastAsia="Arial" w:hAnsi="Arial"/>
          <w:sz w:val="17"/>
          <w:szCs w:val="17"/>
          <w:color w:val="auto"/>
        </w:rPr>
        <w:t>·Long-Term Inventory Costing Adjustments — Our operating results are impacted by changes in the weighted average cost of our crude oil and NGL inventory pools that result from price movements during the periods. Such costing adjustments resulted in unfavorable impacts of $47 million and $62 million for the three and nine months ended September 30, 2015, respectively, due to price decreases during such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10" w:lineRule="exact"/>
        <w:rPr>
          <w:sz w:val="20"/>
          <w:szCs w:val="20"/>
          <w:color w:val="auto"/>
        </w:rPr>
      </w:pPr>
    </w:p>
    <w:p>
      <w:pPr>
        <w:ind w:left="380" w:right="20" w:hanging="53"/>
        <w:spacing w:after="0" w:line="293" w:lineRule="auto"/>
        <w:rPr>
          <w:sz w:val="20"/>
          <w:szCs w:val="20"/>
          <w:color w:val="auto"/>
        </w:rPr>
      </w:pPr>
      <w:r>
        <w:rPr>
          <w:rFonts w:ascii="Arial" w:cs="Arial" w:eastAsia="Arial" w:hAnsi="Arial"/>
          <w:sz w:val="16"/>
          <w:szCs w:val="16"/>
          <w:color w:val="auto"/>
        </w:rPr>
        <w:t>·Foreign Exchange — During 2015, there were fluctuations in the value of CAD to USD, resulting in net foreign exchange gains on U.S. denominated net assets within our Canadian operations of approximately $30 million for the nine months ended September 30, 2015. Our results were also favorably impacted by approximately $13 million and $26 million for the three and nine months ended September 30, 2015 compared to the three and nine months ended September 30, 2014, respectively, due to the depreciation of CAD relative to USD. This resulted in lower net USD costs that were primarily associated with intercompany facility fees and were largely offset in our Facilities segment results.</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2015 compared to the three months ended September 30, 2014 and was relatively consistent for the nine month comparative periods. The decrease for the three month comparative periods was primarily due to lower trucking costs resulting from decreased lease gathering volumes.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Depreciation and amortization expense increased for the three and nine months ended September 30, 2015 compared to the three and nine months ended September 30, 2014, primarily due to various internal growth projects completed since September 30, 2014.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increase in interest expense for the three and nine months ended September 30, 2015 over the three and nine months ended September 30, 2014 was due to a higher weighted average debt balance driven by senior notes issuances in April, September and December of 2014 for an aggregate of $2.6 billion, as well as $1.0 billion of senior notes issued in August 2015. The impact of the higher weighted average debt balance was partially offset by a favorable impact from lower weighted average interest rates on these senior notes issuances.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Income tax expense decreased for the three and nine months ended September 30, 2015 compared to the three and nine months ended September 30, 2014 primarily due to the deferred income tax impact associated with fluctuations in the derivative mark-to-market valuation in our Canadian operations during the periods. This benefit was partially offset by an Alberta, Canada provincial tax rate increase of 2% enacted during the second quarter of 2015, as well as higher current income tax expense resulting from increased year-over-year taxable earnings from our Canadian operations. Both periods were also favorably impacted by the depreciation of CAD relative to USD.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firstLine="612"/>
        <w:spacing w:after="0" w:line="270"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8" w:lineRule="exact"/>
        <w:rPr>
          <w:sz w:val="20"/>
          <w:szCs w:val="20"/>
          <w:color w:val="auto"/>
        </w:rPr>
      </w:pPr>
    </w:p>
    <w:p>
      <w:pPr>
        <w:ind w:left="40" w:right="80" w:firstLine="612"/>
        <w:spacing w:after="0" w:line="285" w:lineRule="auto"/>
        <w:rPr>
          <w:sz w:val="20"/>
          <w:szCs w:val="20"/>
          <w:color w:val="auto"/>
        </w:rPr>
      </w:pPr>
      <w:r>
        <w:rPr>
          <w:rFonts w:ascii="Arial" w:cs="Arial" w:eastAsia="Arial" w:hAnsi="Arial"/>
          <w:sz w:val="16"/>
          <w:szCs w:val="16"/>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Additionally, the slowdown in North American production coupled with an increase in new infrastructure has led to a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the first three quarters of 2015 relative to the levels experienced during 2013 and the first half of 2014 have led many producers, including producers that impact North American production levels, to significantly scale back capital programs. As a result, during the first three quarters of 2015, the rate of growth of North American crude oil production has slowed significantly and began to decrease in some areas as producers have taken rigs out of service and deferred completions at an increased rate.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cash flow and distribution growth that we would have otherwise experienced over the next several years. In addition, increased competition and compressed differentials may drive lower volumes and lower unit margins in parts of our business, including our Supply and Logistics segment.</w:t>
      </w:r>
    </w:p>
    <w:p>
      <w:pPr>
        <w:spacing w:after="0" w:line="17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While we believe that these recent market developments will continue to slow down crude oil supply growth and contribute toward bringing the markets back to equilibrium, there can be no assurance that such equilibrium will be achieved or that we will not be negatively impacted by declining crude oil supply, unfavorable volatility or challenging capital markets conditions. Additionally, construction of additional infrastructure by us and our competitors will likely create excess takeaway capacity in certain areas at least for the near to medium term, which could further reduce unit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margins in our various segments, and underutilization of midstream assets resulting from continued production declines could have a similar unfavorable impact on volumes and unit margins. Finally, we cannot be certain that our expansion efforts will generate targeted returns or that any future acquisition activities will be successful. See “Risk Factors—Risks Related to Our Business” discussed in Item 1A of our 2014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firstLine="3"/>
        <w:spacing w:after="0" w:line="288"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September 30, 2015, we had a working capital deficit of $520 million and approximately $3.1 billion of liquidity available to meet our ongoing operating, investing and financing needs as noted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r>
      <w:tr>
        <w:trPr>
          <w:trHeight w:val="228"/>
        </w:trPr>
        <w:tc>
          <w:tcPr>
            <w:tcW w:w="6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2015</w:t>
            </w:r>
          </w:p>
        </w:tc>
      </w:tr>
      <w:tr>
        <w:trPr>
          <w:trHeight w:val="223"/>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8"/>
                <w:szCs w:val="8"/>
                <w:color w:val="auto"/>
              </w:rPr>
              <w:t>(1) (2)</w:t>
            </w:r>
          </w:p>
        </w:tc>
        <w:tc>
          <w:tcPr>
            <w:tcW w:w="14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8"/>
                <w:szCs w:val="8"/>
                <w:color w:val="auto"/>
              </w:rPr>
              <w:t>(1) (2)</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21"/>
                <w:szCs w:val="21"/>
                <w:color w:val="auto"/>
              </w:rPr>
            </w:pPr>
          </w:p>
        </w:tc>
      </w:tr>
      <w:tr>
        <w:trPr>
          <w:trHeight w:val="24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Amounts outstanding under commercial paper program</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r>
      <w:tr>
        <w:trPr>
          <w:trHeight w:val="223"/>
        </w:trPr>
        <w:tc>
          <w:tcPr>
            <w:tcW w:w="6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14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tcPr>
          <w:p>
            <w:pPr>
              <w:spacing w:after="0"/>
              <w:rPr>
                <w:sz w:val="21"/>
                <w:szCs w:val="21"/>
                <w:color w:val="auto"/>
              </w:rPr>
            </w:pPr>
          </w:p>
        </w:tc>
      </w:tr>
      <w:tr>
        <w:trPr>
          <w:trHeight w:val="217"/>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460" w:hanging="417"/>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170" w:lineRule="exact"/>
        <w:rPr>
          <w:rFonts w:ascii="Arial" w:cs="Arial" w:eastAsia="Arial" w:hAnsi="Arial"/>
          <w:sz w:val="18"/>
          <w:szCs w:val="18"/>
          <w:color w:val="auto"/>
        </w:rPr>
      </w:pPr>
    </w:p>
    <w:p>
      <w:pPr>
        <w:ind w:left="420" w:right="80" w:hanging="417"/>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$15 million and $29 million, respectively.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2014 Annual Report on Form 10-K for further discussion regarding such risks that may impact our liquidity and capital resources. Usage of our credit facilities, certain of which provide the backstop for our commercial paper program, is subject to ongoing compliance with covenants. As of September 30, 2015, we were in compliance with all such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2015 and 2014 was approximately $1.2 billion and $1.3 billion, respectively, and primarily resulted from earnings from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operating needs discussed above, we also use cash for our acquisition activities and capital projects.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have made and will continue to make capital expenditures for acquisitions, expansion capital and maintenance capital.</w:t>
      </w:r>
    </w:p>
    <w:p>
      <w:pPr>
        <w:spacing w:after="0" w:line="23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2015 Capital Projects. </w:t>
      </w:r>
      <w:r>
        <w:rPr>
          <w:rFonts w:ascii="Arial" w:cs="Arial" w:eastAsia="Arial" w:hAnsi="Arial"/>
          <w:sz w:val="18"/>
          <w:szCs w:val="18"/>
          <w:color w:val="auto"/>
        </w:rPr>
        <w:t>See “—Acquisitions and Capital Projects” for detail of our projected capital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ending December 31, 2015. A majority of the funding for our 2015 capital program has been provided by borrowings under our commercial paper program, as well as through proceeds received from our March 2015 underwritten equity offering and our August 2015 debt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financing activities primarily relate to funding acquisitions, expansion capital projects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Registration Statements</w:t>
      </w:r>
      <w:r>
        <w:rPr>
          <w:rFonts w:ascii="Arial" w:cs="Arial" w:eastAsia="Arial" w:hAnsi="Arial"/>
          <w:sz w:val="17"/>
          <w:szCs w:val="17"/>
          <w:color w:val="auto"/>
        </w:rPr>
        <w:t>. We periodically access the capital markets for both equity and debt financing.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As of November 5, 2015, we had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March 2015 underwritten equity offering and the issuance of $1.0 billion, 4.65% senior notes in August 2015, as discussed further below, were conducted under our WKSI Shelf.</w:t>
      </w:r>
    </w:p>
    <w:p>
      <w:pPr>
        <w:spacing w:after="0" w:line="18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During the nine months ended September 30, 2015, we issued an aggregate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 million common units under our continuous offering program, generating proceeds of $59 million, including our general partner’s proportionate capital contribution of $1 million, net of $1 million of commissions to our sales agents. The net proceeds from sales were used for general partnership purposes.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In March 2015, we completed an underwritten public offering of 21.0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net proceeds of approximately $1.1 billion, including our general partner’s proportionate capital contribution of $21 million and net of costs associated with the offering. We used a portion of the net proceeds from this offering to repay outstanding borrowings under our commercial paper program and we used the remaining net proceeds for general partnership purposes, including expenditures for our 2015 capital program.</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Our credit agreements (which impact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access our commercial paper 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September 30, 2015.</w:t>
      </w:r>
    </w:p>
    <w:p>
      <w:pPr>
        <w:spacing w:after="0" w:line="16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During the nine months ended September 30, 2015, we had net borrowings under our credit agreements and commercial paper program of $151 million. Borrowings resulted primarily from funding needs for (i) internal capital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projects, (ii) repayment of senior notes that matured during 2015 and (iii) other general partnership purposes and were partially offset by repayments from cash received from our debt and equity activities.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nine months ended September 30, 2014, we had net repayments under our credit agreements and commercial paper program of $683 million. The net repayments resulted primarily from cash flow from operating activities, as well as cash received from our debt and equity activities.</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January 2015, we entered into a new agreement for a $1.0 billion, 364-day senior unsecured revolving credit facility. Borrowings, if any, accrue interest based, at our election, on either the Eurocurrency Rate or the Base Rate, as defined in the agreement, in each case plus a margin based on our credit rating at the applicable time. In August 2015, we amended the agreement to extend the maturity date to August 2016.</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August 2015, we also extended the maturity dates of our senior secured hedged inventory facility and our senior unsecured revolving credit facility by one year to August 2018 and August 2020, respectively.</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August 2015, we completed the issuance of $1.0 billion, 4.65% senior notes due 2025 at a public offering price of 99.846%. Interest payments are due on April 15 and October 15 of each year, commencing on April 15, 2016. We used the net proceeds from this offering of $990 million, after deducting the underwriting discount and offering expenses, to repay outstanding borrowings under our commercial paper program and for general partnership purposes.</w:t>
      </w:r>
    </w:p>
    <w:p>
      <w:pPr>
        <w:spacing w:after="0" w:line="17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mentioned above, in June 2015 and September 2015, our $150 million, 5.25% senior notes and $400 million, 3.95% senior notes, respectively, matured and were repaid with cash on hand and proceeds from borrowings under our commercial paper program.</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Our $175 million, 5.88% senior notes will mature in August 2016. We intend to use borrowings under our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Unitholders, General Partner and Noncontrolling Interests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November 13, 2015, we will pay a quarterly distribution of $0.7000 per limited partner unit. This distribution represents a year-over-year distribution increase of approximately 6.1%. See Note 7 to our Condensed Consolidated Financial Statements for details of distributions paid. Also, see Item 5. “Market for Registrant’s Common Units, Related Unitholder Matters and Issuer Purchases of Equity Securities—Cash Distribution Policy” included in our 2014 Annual Report on Form 10-K for additional discussion regarding distributions.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$2 million for distributions to noncontrolling interests during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nine months ended September 30, 2015 and 2014.</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under contracts, the majority 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2015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Remainder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2020 and</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7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9"/>
                <w:szCs w:val="19"/>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Long-term debt, including current maturities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8"/>
                <w:szCs w:val="8"/>
                <w:color w:val="auto"/>
              </w:rPr>
              <w:t>(1)</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$ 11,875</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$ 15,954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8"/>
                <w:szCs w:val="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8"/>
                <w:szCs w:val="8"/>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1,225</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1,117</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purchases </w:t>
            </w:r>
            <w:r>
              <w:rPr>
                <w:rFonts w:ascii="Arial" w:cs="Arial" w:eastAsia="Arial" w:hAnsi="Arial"/>
                <w:sz w:val="8"/>
                <w:szCs w:val="8"/>
                <w:color w:val="auto"/>
              </w:rPr>
              <w:t>(4)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4,847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3,683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$ 3,056</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$ 2,670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$ 16,655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$ 33,420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hanging="417"/>
        <w:spacing w:after="0" w:line="297"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debt service payments, interest payments due on senior notes, the commitment fee on assumed available capacity under our revolving credit facilities and long-term borrowings under our commercial paper program. Although there may be short-term borrowings under our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58" w:lineRule="exact"/>
        <w:rPr>
          <w:rFonts w:ascii="Arial" w:cs="Arial" w:eastAsia="Arial" w:hAnsi="Arial"/>
          <w:sz w:val="16"/>
          <w:szCs w:val="16"/>
          <w:color w:val="auto"/>
        </w:rPr>
      </w:pPr>
    </w:p>
    <w:p>
      <w:pPr>
        <w:ind w:left="420" w:right="460" w:hanging="417"/>
        <w:spacing w:after="0" w:line="277"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rFonts w:ascii="Arial" w:cs="Arial" w:eastAsia="Arial" w:hAnsi="Arial"/>
          <w:sz w:val="18"/>
          <w:szCs w:val="18"/>
          <w:color w:val="auto"/>
        </w:rPr>
      </w:pPr>
    </w:p>
    <w:p>
      <w:pPr>
        <w:ind w:left="420" w:right="220" w:hanging="417"/>
        <w:spacing w:after="0" w:line="302"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$39 million related to derivative activity included in Crude oil, natural gas, NGL and other purchases.</w:t>
      </w:r>
    </w:p>
    <w:p>
      <w:pPr>
        <w:spacing w:after="0" w:line="154" w:lineRule="exact"/>
        <w:rPr>
          <w:rFonts w:ascii="Arial" w:cs="Arial" w:eastAsia="Arial" w:hAnsi="Arial"/>
          <w:sz w:val="16"/>
          <w:szCs w:val="16"/>
          <w:color w:val="auto"/>
        </w:rPr>
      </w:pPr>
    </w:p>
    <w:p>
      <w:pPr>
        <w:ind w:left="420" w:hanging="417"/>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are primarily based on estimated volumes and market prices based on average activity during</w:t>
      </w:r>
    </w:p>
    <w:p>
      <w:pPr>
        <w:spacing w:after="0" w:line="23" w:lineRule="exact"/>
        <w:rPr>
          <w:rFonts w:ascii="Arial" w:cs="Arial" w:eastAsia="Arial" w:hAnsi="Arial"/>
          <w:sz w:val="18"/>
          <w:szCs w:val="18"/>
          <w:color w:val="auto"/>
        </w:rPr>
      </w:pPr>
    </w:p>
    <w:p>
      <w:pPr>
        <w:ind w:left="420" w:right="300"/>
        <w:spacing w:after="0" w:line="255" w:lineRule="auto"/>
        <w:rPr>
          <w:rFonts w:ascii="Arial" w:cs="Arial" w:eastAsia="Arial" w:hAnsi="Arial"/>
          <w:sz w:val="18"/>
          <w:szCs w:val="18"/>
          <w:color w:val="auto"/>
        </w:rPr>
      </w:pPr>
      <w:r>
        <w:rPr>
          <w:rFonts w:ascii="Arial" w:cs="Arial" w:eastAsia="Arial" w:hAnsi="Arial"/>
          <w:sz w:val="18"/>
          <w:szCs w:val="18"/>
          <w:color w:val="auto"/>
        </w:rPr>
        <w:t>September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w:t>
      </w:r>
      <w:r>
        <w:rPr>
          <w:rFonts w:ascii="Arial" w:cs="Arial" w:eastAsia="Arial" w:hAnsi="Arial"/>
          <w:sz w:val="17"/>
          <w:szCs w:val="17"/>
          <w:i w:val="1"/>
          <w:iCs w:val="1"/>
          <w:color w:val="auto"/>
        </w:rPr>
        <w:t xml:space="preserve"> </w:t>
      </w:r>
      <w:r>
        <w:rPr>
          <w:rFonts w:ascii="Arial" w:cs="Arial" w:eastAsia="Arial" w:hAnsi="Arial"/>
          <w:sz w:val="17"/>
          <w:szCs w:val="17"/>
          <w:color w:val="auto"/>
        </w:rPr>
        <w:t>standby letters of credit to secure our obligation for the purchase of crude oil, NGL and natural gas.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Additionally, we issue letters of credit to support insurance programs, derivative transactions and construction activities. At September 30, 2015 and December 31, 2014, we had outstanding letters of credit of approximately $44 million and $87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92" w:lineRule="exact"/>
        <w:rPr>
          <w:sz w:val="20"/>
          <w:szCs w:val="20"/>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740" w:right="80" w:hanging="89"/>
        <w:spacing w:after="0" w:line="27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1" w:lineRule="exact"/>
        <w:rPr>
          <w:rFonts w:ascii="Arial" w:cs="Arial" w:eastAsia="Arial" w:hAnsi="Arial"/>
          <w:sz w:val="17"/>
          <w:szCs w:val="17"/>
          <w:color w:val="auto"/>
        </w:rPr>
      </w:pPr>
    </w:p>
    <w:p>
      <w:pPr>
        <w:ind w:left="900" w:hanging="24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jc w:val="both"/>
        <w:ind w:left="740" w:right="120" w:hanging="89"/>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81" w:lineRule="exact"/>
        <w:rPr>
          <w:rFonts w:ascii="Arial" w:cs="Arial" w:eastAsia="Arial" w:hAnsi="Arial"/>
          <w:sz w:val="18"/>
          <w:szCs w:val="18"/>
          <w:color w:val="auto"/>
        </w:rPr>
      </w:pPr>
    </w:p>
    <w:p>
      <w:pPr>
        <w:ind w:left="740" w:right="140" w:hanging="89"/>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170" w:lineRule="exact"/>
        <w:rPr>
          <w:rFonts w:ascii="Arial" w:cs="Arial" w:eastAsia="Arial" w:hAnsi="Arial"/>
          <w:sz w:val="18"/>
          <w:szCs w:val="18"/>
          <w:color w:val="auto"/>
        </w:rPr>
      </w:pPr>
    </w:p>
    <w:p>
      <w:pPr>
        <w:ind w:left="740" w:right="460" w:hanging="89"/>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81" w:lineRule="exact"/>
        <w:rPr>
          <w:rFonts w:ascii="Arial" w:cs="Arial" w:eastAsia="Arial" w:hAnsi="Arial"/>
          <w:sz w:val="18"/>
          <w:szCs w:val="18"/>
          <w:color w:val="auto"/>
        </w:rPr>
      </w:pPr>
    </w:p>
    <w:p>
      <w:pPr>
        <w:ind w:left="800" w:hanging="149"/>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9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236" w:lineRule="exact"/>
        <w:rPr>
          <w:rFonts w:ascii="Arial" w:cs="Arial" w:eastAsia="Arial" w:hAnsi="Arial"/>
          <w:sz w:val="17"/>
          <w:szCs w:val="17"/>
          <w:color w:val="auto"/>
        </w:rPr>
      </w:pPr>
    </w:p>
    <w:p>
      <w:pPr>
        <w:ind w:left="740" w:right="33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70"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740" w:right="319" w:hanging="89"/>
        <w:spacing w:after="0" w:line="30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our historical operations;</w:t>
      </w:r>
    </w:p>
    <w:p>
      <w:pPr>
        <w:spacing w:after="0" w:line="146" w:lineRule="exact"/>
        <w:rPr>
          <w:rFonts w:ascii="Arial" w:cs="Arial" w:eastAsia="Arial" w:hAnsi="Arial"/>
          <w:sz w:val="17"/>
          <w:szCs w:val="17"/>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740" w:right="7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170" w:lineRule="exact"/>
        <w:rPr>
          <w:rFonts w:ascii="Arial" w:cs="Arial" w:eastAsia="Arial" w:hAnsi="Arial"/>
          <w:sz w:val="18"/>
          <w:szCs w:val="18"/>
          <w:color w:val="auto"/>
        </w:rPr>
      </w:pPr>
    </w:p>
    <w:p>
      <w:pPr>
        <w:ind w:left="740" w:right="19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70" w:lineRule="exact"/>
        <w:rPr>
          <w:rFonts w:ascii="Arial" w:cs="Arial" w:eastAsia="Arial" w:hAnsi="Arial"/>
          <w:sz w:val="18"/>
          <w:szCs w:val="18"/>
          <w:color w:val="auto"/>
        </w:rPr>
      </w:pPr>
    </w:p>
    <w:p>
      <w:pPr>
        <w:ind w:left="740" w:right="63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170" w:lineRule="exact"/>
        <w:rPr>
          <w:rFonts w:ascii="Arial" w:cs="Arial" w:eastAsia="Arial" w:hAnsi="Arial"/>
          <w:sz w:val="18"/>
          <w:szCs w:val="18"/>
          <w:color w:val="auto"/>
        </w:rPr>
      </w:pPr>
    </w:p>
    <w:p>
      <w:pPr>
        <w:ind w:left="740" w:right="3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740" w:right="219"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jc w:val="both"/>
        <w:ind w:left="740" w:right="159" w:hanging="89"/>
        <w:spacing w:after="0" w:line="264"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81" w:lineRule="exact"/>
        <w:rPr>
          <w:sz w:val="20"/>
          <w:szCs w:val="20"/>
          <w:color w:val="auto"/>
        </w:rPr>
      </w:pPr>
    </w:p>
    <w:p>
      <w:pPr>
        <w:ind w:right="139"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79" w:firstLine="648"/>
        <w:spacing w:after="0" w:line="286" w:lineRule="auto"/>
        <w:rPr>
          <w:sz w:val="20"/>
          <w:szCs w:val="20"/>
          <w:color w:val="auto"/>
        </w:rPr>
      </w:pPr>
      <w:r>
        <w:rPr>
          <w:rFonts w:ascii="Arial" w:cs="Arial" w:eastAsia="Arial" w:hAnsi="Arial"/>
          <w:sz w:val="17"/>
          <w:szCs w:val="17"/>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80" w:hanging="629"/>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40"/>
        <w:spacing w:after="0" w:line="279"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1" w:lineRule="exact"/>
        <w:rPr>
          <w:sz w:val="20"/>
          <w:szCs w:val="20"/>
          <w:color w:val="auto"/>
        </w:rPr>
      </w:pPr>
    </w:p>
    <w:p>
      <w:pPr>
        <w:ind w:left="1160" w:hanging="50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right="260"/>
        <w:spacing w:after="0" w:line="259"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7" w:lineRule="exact"/>
        <w:rPr>
          <w:sz w:val="20"/>
          <w:szCs w:val="20"/>
          <w:color w:val="auto"/>
        </w:rPr>
      </w:pPr>
    </w:p>
    <w:p>
      <w:pPr>
        <w:ind w:left="1060" w:hanging="409"/>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8 to our Condensed Consolidated Financial Statements for further discussion regarding our hedging strategies and objectives.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2015 that would be expected from a 10% price increase or decrease is shown in the table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Effect of 10%</w:t>
            </w:r>
          </w:p>
        </w:tc>
        <w:tc>
          <w:tcPr>
            <w:tcW w:w="16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Effect of 10%</w:t>
            </w:r>
          </w:p>
        </w:tc>
      </w:tr>
      <w:tr>
        <w:trPr>
          <w:trHeight w:val="228"/>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Price Increase</w:t>
            </w:r>
          </w:p>
        </w:tc>
        <w:tc>
          <w:tcPr>
            <w:tcW w:w="160" w:type="dxa"/>
            <w:vAlign w:val="bottom"/>
          </w:tcPr>
          <w:p>
            <w:pPr>
              <w:spacing w:after="0"/>
              <w:rPr>
                <w:sz w:val="19"/>
                <w:szCs w:val="19"/>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Price Decrease</w:t>
            </w:r>
          </w:p>
        </w:tc>
      </w:tr>
      <w:tr>
        <w:trPr>
          <w:trHeight w:val="223"/>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Natural gas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21"/>
                <w:szCs w:val="21"/>
                <w:color w:val="auto"/>
              </w:rPr>
            </w:pPr>
          </w:p>
        </w:tc>
      </w:tr>
      <w:tr>
        <w:trPr>
          <w:trHeight w:val="217"/>
        </w:trPr>
        <w:tc>
          <w:tcPr>
            <w:tcW w:w="6220" w:type="dxa"/>
            <w:vAlign w:val="bottom"/>
          </w:tcPr>
          <w:p>
            <w:pPr>
              <w:ind w:left="220"/>
              <w:spacing w:after="0"/>
              <w:rPr>
                <w:sz w:val="20"/>
                <w:szCs w:val="20"/>
                <w:color w:val="auto"/>
              </w:rPr>
            </w:pPr>
            <w:r>
              <w:rPr>
                <w:rFonts w:ascii="Arial" w:cs="Arial" w:eastAsia="Arial" w:hAnsi="Arial"/>
                <w:sz w:val="18"/>
                <w:szCs w:val="18"/>
                <w:color w:val="auto"/>
              </w:rPr>
              <w:t>Total fair value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prices, the fair value of our derivative portfolio would typically change less than that shown in the table as changes in near-term prices are not typically mirrored in delivery months further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The majority of our variable rate debt at September 30, 2015, $886 million, is subject to interest rate re-sets, which range from one day to one month. The average interest rate on variable rate debt that was outstanding during the nine months ended September 30, 2015 was 0.5%, based upon rates in effect during such period. The fair value of our interest rate derivatives was a liability of $57 million as of September 30, 2015. A 10% increase in the forward LIBOR curve as of September 30, 2015 would have resulted in an increase of $46 million to the fair value of our interest rate derivatives. A 10% decrease in the forward LIBOR curve as of September 30, 2015 would have resulted in a decrease of $46 million to the fair value of our interest rate derivatives. See Note 8 to our Condensed Consolidated Financial Statements for a discussion of our interest rate risk hedging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$9 million as of September 30, 2015. A 10% increase in the exchange rate (USD-to-CAD) would have resulted in a decrease of $17 million to the fair value of our foreign currency derivatives. A 10% decrease in the exchange rate (USD-to-CAD) would have resulted in an increase of $17 million to the fair value of our foreign currency derivatives. See Note 8 to our Condensed Consolidated Financial Statements for a discussion of our currency exchange rate risk hedging.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2015, the end of the period covered by this report, and, based on such evaluation, our Chief Executive Officer and Chief Financial Officer have concluded that our DCP is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jc w:val="both"/>
        <w:ind w:right="39" w:firstLine="648"/>
        <w:spacing w:after="0" w:line="271" w:lineRule="auto"/>
        <w:rPr>
          <w:sz w:val="20"/>
          <w:szCs w:val="20"/>
          <w:color w:val="auto"/>
        </w:rPr>
      </w:pPr>
      <w:r>
        <w:rPr>
          <w:rFonts w:ascii="Arial" w:cs="Arial" w:eastAsia="Arial" w:hAnsi="Arial"/>
          <w:sz w:val="17"/>
          <w:szCs w:val="17"/>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ind w:left="3160"/>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519"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179"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its general partner</w:t>
      </w:r>
    </w:p>
    <w:p>
      <w:pPr>
        <w:spacing w:after="0" w:line="26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its sole member</w:t>
      </w:r>
    </w:p>
    <w:p>
      <w:pPr>
        <w:spacing w:after="0" w:line="26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its general partner</w:t>
      </w:r>
    </w:p>
    <w:p>
      <w:pPr>
        <w:spacing w:after="0" w:line="26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-130810</wp:posOffset>
            </wp:positionV>
            <wp:extent cx="2615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6"/>
          <w:szCs w:val="16"/>
          <w:b w:val="1"/>
          <w:bCs w:val="1"/>
          <w:i w:val="1"/>
          <w:iCs w:val="1"/>
          <w:color w:val="auto"/>
        </w:rPr>
        <w:t>Chairman of the Board, Chief Executive Officer and</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Director of Plains All American GP LLC</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79"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-130810</wp:posOffset>
            </wp:positionV>
            <wp:extent cx="26155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of Plains All American GP LLC</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79"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Herbold</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-130810</wp:posOffset>
            </wp:positionV>
            <wp:extent cx="26155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6"/>
          <w:szCs w:val="16"/>
          <w:b w:val="1"/>
          <w:bCs w:val="1"/>
          <w:i w:val="1"/>
          <w:iCs w:val="1"/>
          <w:color w:val="auto"/>
        </w:rPr>
        <w:t>Vice President — Accounting and Chief Accounting</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Officer of Plains All American GP LLC</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2" w:lineRule="exact"/>
        <w:rPr>
          <w:sz w:val="20"/>
          <w:szCs w:val="20"/>
          <w:color w:val="auto"/>
        </w:rPr>
      </w:pPr>
    </w:p>
    <w:p>
      <w:pPr>
        <w:jc w:val="both"/>
        <w:ind w:left="1020" w:right="200" w:hanging="1404"/>
        <w:spacing w:after="0" w:line="264" w:lineRule="auto"/>
        <w:tabs>
          <w:tab w:leader="none" w:pos="1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Fourth Amended and Restated Agreement of Limited Partnership of Plains All American Pipeline, L.P. dated as of May 17, 2012 (incorporated by reference to Exhibit 3.1 to our Current Report on Form 8-K filed May 23, 2012).</w:t>
      </w:r>
    </w:p>
    <w:p>
      <w:pPr>
        <w:spacing w:after="0" w:line="208" w:lineRule="exact"/>
        <w:rPr>
          <w:sz w:val="20"/>
          <w:szCs w:val="20"/>
          <w:color w:val="auto"/>
        </w:rPr>
      </w:pPr>
    </w:p>
    <w:p>
      <w:pPr>
        <w:ind w:left="1020" w:right="40" w:hanging="1404"/>
        <w:spacing w:after="0" w:line="264" w:lineRule="auto"/>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Amendment No. 1 dated October 1, 2012 to the Fourth Amended and Restated Agreement of Limited Partnership of Plains All American Pipeline, L.P. (incorporated by reference to Exhibit 3.1 to our Current Report on Form 8-K filed October 2, 2012).</w:t>
      </w:r>
    </w:p>
    <w:p>
      <w:pPr>
        <w:spacing w:after="0" w:line="208" w:lineRule="exact"/>
        <w:rPr>
          <w:sz w:val="20"/>
          <w:szCs w:val="20"/>
          <w:color w:val="auto"/>
        </w:rPr>
      </w:pPr>
    </w:p>
    <w:p>
      <w:pPr>
        <w:jc w:val="both"/>
        <w:ind w:left="1020" w:right="40" w:hanging="1404"/>
        <w:spacing w:after="0" w:line="264" w:lineRule="auto"/>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Amendment No. 2 dated December 31, 2013 to the Fourth Amended and Restated Agreement of Limited Partnership of Plains All American Pipeline, L.P. (incorporated by reference to Exhibit 3.1 to our Current Report on Form 8-K filed December 31, 2013).</w:t>
      </w:r>
    </w:p>
    <w:p>
      <w:pPr>
        <w:spacing w:after="0" w:line="208" w:lineRule="exact"/>
        <w:rPr>
          <w:sz w:val="20"/>
          <w:szCs w:val="20"/>
          <w:color w:val="auto"/>
        </w:rPr>
      </w:pPr>
    </w:p>
    <w:p>
      <w:pPr>
        <w:ind w:left="1020" w:right="40" w:hanging="1404"/>
        <w:spacing w:after="0" w:line="264" w:lineRule="auto"/>
        <w:tabs>
          <w:tab w:leader="none" w:pos="1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Amendment No. 3 dated May 15, 2015 to the Fourth Amended and Restated Agreement of Limited Partnership of Plains All American Pipeline, L.P. (incorporated by reference to Exhibit 3.1 to our Current Report on Form 8-K filed May 15, 2015).</w:t>
      </w:r>
    </w:p>
    <w:p>
      <w:pPr>
        <w:spacing w:after="0" w:line="208" w:lineRule="exact"/>
        <w:rPr>
          <w:sz w:val="20"/>
          <w:szCs w:val="20"/>
          <w:color w:val="auto"/>
        </w:rPr>
      </w:pPr>
    </w:p>
    <w:p>
      <w:pPr>
        <w:jc w:val="both"/>
        <w:ind w:left="1020" w:right="320" w:hanging="1404"/>
        <w:spacing w:after="0" w:line="264" w:lineRule="auto"/>
        <w:tabs>
          <w:tab w:leader="none" w:pos="10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208" w:lineRule="exact"/>
        <w:rPr>
          <w:sz w:val="20"/>
          <w:szCs w:val="20"/>
          <w:color w:val="auto"/>
        </w:rPr>
      </w:pPr>
    </w:p>
    <w:p>
      <w:pPr>
        <w:jc w:val="both"/>
        <w:ind w:left="1020" w:right="140" w:hanging="1404"/>
        <w:spacing w:after="0" w:line="264" w:lineRule="auto"/>
        <w:tabs>
          <w:tab w:leader="none" w:pos="10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208" w:lineRule="exact"/>
        <w:rPr>
          <w:sz w:val="20"/>
          <w:szCs w:val="20"/>
          <w:color w:val="auto"/>
        </w:rPr>
      </w:pPr>
    </w:p>
    <w:p>
      <w:pPr>
        <w:ind w:left="1020" w:right="80" w:hanging="1404"/>
        <w:spacing w:after="0" w:line="264" w:lineRule="auto"/>
        <w:tabs>
          <w:tab w:leader="none" w:pos="10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Amendment No. 2 dated January 1, 2011 to the Third Amended and Restated Agreement of Limited Partnership of Plains Marketing, L.P. (incorporated by reference to Exhibit 3.10 to our Annual Report on Form 10-K for the year ended December 31, 2010).</w:t>
      </w:r>
    </w:p>
    <w:p>
      <w:pPr>
        <w:spacing w:after="0" w:line="208" w:lineRule="exact"/>
        <w:rPr>
          <w:sz w:val="20"/>
          <w:szCs w:val="20"/>
          <w:color w:val="auto"/>
        </w:rPr>
      </w:pPr>
    </w:p>
    <w:p>
      <w:pPr>
        <w:ind w:left="1020" w:right="180" w:hanging="1404"/>
        <w:spacing w:after="0" w:line="264" w:lineRule="auto"/>
        <w:tabs>
          <w:tab w:leader="none" w:pos="10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Amendment No. 3 dated June 30, 2011 to the Third Amended and Restated Agreement of Limited Partnership of Plains Marketing, L.P. (incorporated by reference to Exhibit 3.7 to our Annual Report on Form 10-K for the year ended December 31, 2013).</w:t>
      </w:r>
    </w:p>
    <w:p>
      <w:pPr>
        <w:spacing w:after="0" w:line="208" w:lineRule="exact"/>
        <w:rPr>
          <w:sz w:val="20"/>
          <w:szCs w:val="20"/>
          <w:color w:val="auto"/>
        </w:rPr>
      </w:pPr>
    </w:p>
    <w:p>
      <w:pPr>
        <w:ind w:left="1020" w:right="200" w:hanging="1404"/>
        <w:spacing w:after="0" w:line="264" w:lineRule="auto"/>
        <w:tabs>
          <w:tab w:leader="none" w:pos="10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208" w:lineRule="exact"/>
        <w:rPr>
          <w:sz w:val="20"/>
          <w:szCs w:val="20"/>
          <w:color w:val="auto"/>
        </w:rPr>
      </w:pPr>
    </w:p>
    <w:p>
      <w:pPr>
        <w:ind w:left="1020" w:right="340" w:hanging="1404"/>
        <w:spacing w:after="0" w:line="264" w:lineRule="auto"/>
        <w:tabs>
          <w:tab w:leader="none" w:pos="10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208" w:lineRule="exact"/>
        <w:rPr>
          <w:sz w:val="20"/>
          <w:szCs w:val="20"/>
          <w:color w:val="auto"/>
        </w:rPr>
      </w:pPr>
    </w:p>
    <w:p>
      <w:pPr>
        <w:ind w:left="1020" w:right="240" w:hanging="1404"/>
        <w:spacing w:after="0" w:line="264" w:lineRule="auto"/>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Amendment No. 1 dated January 1, 2013 to the Third Amended and Restated Agreement of Limited Partnership of Plains Pipeline, L.P. (incorporated by reference to Exhibit 3.10 to our Annual Report on Form 10-K for the year ended December 31, 2013).</w:t>
      </w:r>
    </w:p>
    <w:p>
      <w:pPr>
        <w:spacing w:after="0" w:line="208" w:lineRule="exact"/>
        <w:rPr>
          <w:sz w:val="20"/>
          <w:szCs w:val="20"/>
          <w:color w:val="auto"/>
        </w:rPr>
      </w:pPr>
    </w:p>
    <w:p>
      <w:pPr>
        <w:ind w:left="1020" w:hanging="1404"/>
        <w:spacing w:after="0" w:line="264" w:lineRule="auto"/>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Sixth Amended and Restated Limited Liability Company Agreement of Plains All American GP LLC dated October 21, 2013 (incorporated by reference to Exhibit 3.2 to our Current Report on Form 8-K filed October 25, 2013).</w:t>
      </w:r>
    </w:p>
    <w:p>
      <w:pPr>
        <w:spacing w:after="0" w:line="208"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Seventh Amended and Restated Limited Partnership Agreement of Plains AAP, L.P. dated October 21,</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2013 (incorporated by reference to Exhibit 3.1 to our Current Report on Form 8-K filed October 25,</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60" w:hanging="1404"/>
        <w:spacing w:after="0" w:line="264" w:lineRule="auto"/>
        <w:tabs>
          <w:tab w:leader="none" w:pos="10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Amendment No. 1 dated December 31, 2013 to the Seventh Amended and Restated Limited Partnership Agreement of Plains AAP, L.P. (incorporated by reference to Exhibit 3.2 to our Current Report on Form 8-K filed December 31, 2013).</w:t>
      </w:r>
    </w:p>
    <w:p>
      <w:pPr>
        <w:spacing w:after="0" w:line="208" w:lineRule="exact"/>
        <w:rPr>
          <w:sz w:val="20"/>
          <w:szCs w:val="20"/>
          <w:color w:val="auto"/>
        </w:rPr>
      </w:pPr>
    </w:p>
    <w:p>
      <w:pPr>
        <w:ind w:left="1020" w:right="160" w:hanging="1404"/>
        <w:spacing w:after="0" w:line="264" w:lineRule="auto"/>
        <w:tabs>
          <w:tab w:leader="none" w:pos="10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Certificate of Incorporation of PAA Finance Corp (f/k/a Pacific Energy Finance Corporation, successor-by-merger to PAA Finance Corp.) (incorporated by reference to Exhibit 3.10 to our Annual Report on Form 10-K for the year ended December 31, 2006).</w:t>
      </w:r>
    </w:p>
    <w:p>
      <w:pPr>
        <w:spacing w:after="0" w:line="208" w:lineRule="exact"/>
        <w:rPr>
          <w:sz w:val="20"/>
          <w:szCs w:val="20"/>
          <w:color w:val="auto"/>
        </w:rPr>
      </w:pPr>
    </w:p>
    <w:p>
      <w:pPr>
        <w:jc w:val="both"/>
        <w:ind w:left="1020" w:right="280" w:hanging="1404"/>
        <w:spacing w:after="0" w:line="264" w:lineRule="auto"/>
        <w:tabs>
          <w:tab w:leader="none" w:pos="10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Bylaws of PAA Finance Corp (f/k/a Pacific Energy Finance Corporation, successor-by-merger to PAA Finance Corp.) (incorporated by reference to Exhibit 3.11 to our Annual Report on Form 10-K for the year ended December 31, 2006).</w:t>
      </w:r>
    </w:p>
    <w:p>
      <w:pPr>
        <w:spacing w:after="0" w:line="208" w:lineRule="exact"/>
        <w:rPr>
          <w:sz w:val="20"/>
          <w:szCs w:val="20"/>
          <w:color w:val="auto"/>
        </w:rPr>
      </w:pPr>
    </w:p>
    <w:p>
      <w:pPr>
        <w:ind w:left="1020" w:right="460" w:hanging="1404"/>
        <w:spacing w:after="0" w:line="308" w:lineRule="auto"/>
        <w:tabs>
          <w:tab w:leader="none" w:pos="100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7"/>
          <w:szCs w:val="17"/>
          <w:color w:val="auto"/>
        </w:rPr>
        <w:t>— Limited Liability Company Agreement of PAA GP LLC dated December 28, 2007 (incorporated by reference to Exhibit 3.3 to our Current Report on Form 8-K filed January 4, 2008).</w:t>
      </w:r>
    </w:p>
    <w:p>
      <w:pPr>
        <w:spacing w:after="0" w:line="174" w:lineRule="exact"/>
        <w:rPr>
          <w:sz w:val="20"/>
          <w:szCs w:val="20"/>
          <w:color w:val="auto"/>
        </w:rPr>
      </w:pPr>
    </w:p>
    <w:p>
      <w:pPr>
        <w:ind w:left="1020" w:right="180" w:hanging="1404"/>
        <w:spacing w:after="0" w:line="264" w:lineRule="auto"/>
        <w:tabs>
          <w:tab w:leader="none" w:pos="1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Indenture dated September 25, 2002 among Plains All American Pipeline, L.P., PAA Finance Corp. and Wachovia Bank, National Association, as trustee (incorporated by reference to Exhibit 4.1 to our Quarterly Report on Form 10-Q for the quarter ended September 30, 2002).</w:t>
      </w:r>
    </w:p>
    <w:p>
      <w:pPr>
        <w:spacing w:after="0" w:line="208" w:lineRule="exact"/>
        <w:rPr>
          <w:sz w:val="20"/>
          <w:szCs w:val="20"/>
          <w:color w:val="auto"/>
        </w:rPr>
      </w:pPr>
    </w:p>
    <w:p>
      <w:pPr>
        <w:ind w:left="1020" w:right="120" w:hanging="1404"/>
        <w:spacing w:after="0" w:line="259" w:lineRule="auto"/>
        <w:tabs>
          <w:tab w:leader="none" w:pos="1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our Registration Statement on Form S-4, File No. 333-121168).</w:t>
      </w:r>
    </w:p>
    <w:p>
      <w:pPr>
        <w:spacing w:after="0" w:line="214" w:lineRule="exact"/>
        <w:rPr>
          <w:sz w:val="20"/>
          <w:szCs w:val="20"/>
          <w:color w:val="auto"/>
        </w:rPr>
      </w:pPr>
    </w:p>
    <w:p>
      <w:pPr>
        <w:ind w:left="1020" w:right="100" w:hanging="1404"/>
        <w:spacing w:after="0" w:line="259" w:lineRule="auto"/>
        <w:tabs>
          <w:tab w:leader="none" w:pos="10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p>
    <w:p>
      <w:pPr>
        <w:spacing w:after="0" w:line="214" w:lineRule="exact"/>
        <w:rPr>
          <w:sz w:val="20"/>
          <w:szCs w:val="20"/>
          <w:color w:val="auto"/>
        </w:rPr>
      </w:pPr>
    </w:p>
    <w:p>
      <w:pPr>
        <w:ind w:left="1020" w:right="120" w:hanging="1404"/>
        <w:spacing w:after="0" w:line="259" w:lineRule="auto"/>
        <w:tabs>
          <w:tab w:leader="none" w:pos="1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our Current Report on Form 8-K filed October 30, 2006).</w:t>
      </w:r>
    </w:p>
    <w:p>
      <w:pPr>
        <w:spacing w:after="0" w:line="214" w:lineRule="exact"/>
        <w:rPr>
          <w:sz w:val="20"/>
          <w:szCs w:val="20"/>
          <w:color w:val="auto"/>
        </w:rPr>
      </w:pPr>
    </w:p>
    <w:p>
      <w:pPr>
        <w:ind w:left="1020" w:right="140" w:hanging="1404"/>
        <w:spacing w:after="0" w:line="259" w:lineRule="auto"/>
        <w:tabs>
          <w:tab w:leader="none" w:pos="10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p>
    <w:p>
      <w:pPr>
        <w:spacing w:after="0" w:line="214" w:lineRule="exact"/>
        <w:rPr>
          <w:sz w:val="20"/>
          <w:szCs w:val="20"/>
          <w:color w:val="auto"/>
        </w:rPr>
      </w:pPr>
    </w:p>
    <w:p>
      <w:pPr>
        <w:ind w:left="1020" w:right="80" w:hanging="1404"/>
        <w:spacing w:after="0" w:line="259" w:lineRule="auto"/>
        <w:tabs>
          <w:tab w:leader="none" w:pos="1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Thirteenth Supplemental Indenture (Series A and Series B 6.50% Senior Notes due 2018) dated April 23, 2008 among Plains All American Pipeline, L.P., PAA Finance Corp., the Subsidiary Guarantors named therein and U.S. Bank National Association, as trustee (incorporated by reference to Exhibit 4.1 to our Current Report on Form 8-K filed April 23, 2008).</w:t>
      </w:r>
    </w:p>
    <w:p>
      <w:pPr>
        <w:spacing w:after="0" w:line="214" w:lineRule="exact"/>
        <w:rPr>
          <w:sz w:val="20"/>
          <w:szCs w:val="20"/>
          <w:color w:val="auto"/>
        </w:rPr>
      </w:pPr>
    </w:p>
    <w:p>
      <w:pPr>
        <w:ind w:left="1020" w:right="80" w:hanging="1404"/>
        <w:spacing w:after="0" w:line="259" w:lineRule="auto"/>
        <w:tabs>
          <w:tab w:leader="none" w:pos="10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Fifteenth Supplemental Indenture (8.75% Senior Notes due 2019) dated April 20, 2009 among Plains All American Pipeline, L.P., PAA Finance Corp., the Subsidiary Guarantors named therein and U.S. Bank National Association, as trustee (incorporated by reference to Exhibit 4.1 to our Current Report on Form 8-K filed April 20, 2009).</w:t>
      </w:r>
    </w:p>
    <w:p>
      <w:pPr>
        <w:spacing w:after="0" w:line="214" w:lineRule="exact"/>
        <w:rPr>
          <w:sz w:val="20"/>
          <w:szCs w:val="20"/>
          <w:color w:val="auto"/>
        </w:rPr>
      </w:pPr>
    </w:p>
    <w:p>
      <w:pPr>
        <w:ind w:left="1020" w:hanging="1404"/>
        <w:spacing w:after="0" w:line="259" w:lineRule="auto"/>
        <w:tabs>
          <w:tab w:leader="none" w:pos="10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Seventeenth Supplemental Indenture (5.75% Senior Notes due 2020) dated September 4, 2009 among Plains All American Pipeline, L.P., PAA Finance Corp., the Subsidiary Guarantors named therein and U.S. Bank National Association, as trustee (incorporated by reference to Exhibit 4.1 to our Current Report on Form 8-K filed September 4, 2009).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40" w:hanging="1404"/>
        <w:spacing w:after="0" w:line="259" w:lineRule="auto"/>
        <w:tabs>
          <w:tab w:leader="none" w:pos="10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our Current Report on Form 8-K filed January 11, 2011).</w:t>
      </w:r>
    </w:p>
    <w:p>
      <w:pPr>
        <w:spacing w:after="0" w:line="214" w:lineRule="exact"/>
        <w:rPr>
          <w:sz w:val="20"/>
          <w:szCs w:val="20"/>
          <w:color w:val="auto"/>
        </w:rPr>
      </w:pPr>
    </w:p>
    <w:p>
      <w:pPr>
        <w:ind w:left="1020" w:right="200" w:hanging="1404"/>
        <w:spacing w:after="0" w:line="286" w:lineRule="auto"/>
        <w:tabs>
          <w:tab w:leader="none" w:pos="10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 Twentieth Supplemental Indenture (3.65% Senior Notes due 2022) dated March 22, 2012 among Plains All American Pipeline, L.P., PAA Finance Corp. and U.S. Bank National Association, as trustee (incorporated by reference to Exhibit 4.1 to our Current Report on Form 8-K filed March 26, 2012).</w:t>
      </w:r>
    </w:p>
    <w:p>
      <w:pPr>
        <w:spacing w:after="0" w:line="193" w:lineRule="exact"/>
        <w:rPr>
          <w:sz w:val="20"/>
          <w:szCs w:val="20"/>
          <w:color w:val="auto"/>
        </w:rPr>
      </w:pPr>
    </w:p>
    <w:p>
      <w:pPr>
        <w:ind w:left="1020" w:right="260" w:hanging="1404"/>
        <w:spacing w:after="0" w:line="286" w:lineRule="auto"/>
        <w:tabs>
          <w:tab w:leader="none" w:pos="10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pacing w:after="0" w:line="193" w:lineRule="exact"/>
        <w:rPr>
          <w:sz w:val="20"/>
          <w:szCs w:val="20"/>
          <w:color w:val="auto"/>
        </w:rPr>
      </w:pPr>
    </w:p>
    <w:p>
      <w:pPr>
        <w:ind w:left="1020" w:right="140" w:hanging="1404"/>
        <w:spacing w:after="0" w:line="259" w:lineRule="auto"/>
        <w:tabs>
          <w:tab w:leader="none" w:pos="10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our Current Report on Form 8-K filed December 12, 2012).</w:t>
      </w:r>
    </w:p>
    <w:p>
      <w:pPr>
        <w:spacing w:after="0" w:line="214" w:lineRule="exact"/>
        <w:rPr>
          <w:sz w:val="20"/>
          <w:szCs w:val="20"/>
          <w:color w:val="auto"/>
        </w:rPr>
      </w:pPr>
    </w:p>
    <w:p>
      <w:pPr>
        <w:ind w:left="1020" w:right="100" w:hanging="1404"/>
        <w:spacing w:after="0" w:line="259" w:lineRule="auto"/>
        <w:tabs>
          <w:tab w:leader="none" w:pos="10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214" w:lineRule="exact"/>
        <w:rPr>
          <w:sz w:val="20"/>
          <w:szCs w:val="20"/>
          <w:color w:val="auto"/>
        </w:rPr>
      </w:pPr>
    </w:p>
    <w:p>
      <w:pPr>
        <w:ind w:left="1020" w:right="240" w:hanging="1404"/>
        <w:spacing w:after="0" w:line="259" w:lineRule="auto"/>
        <w:tabs>
          <w:tab w:leader="none" w:pos="10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p>
    <w:p>
      <w:pPr>
        <w:spacing w:after="0" w:line="214" w:lineRule="exact"/>
        <w:rPr>
          <w:sz w:val="20"/>
          <w:szCs w:val="20"/>
          <w:color w:val="auto"/>
        </w:rPr>
      </w:pPr>
    </w:p>
    <w:p>
      <w:pPr>
        <w:ind w:left="1020" w:right="20" w:hanging="1404"/>
        <w:spacing w:after="0" w:line="286" w:lineRule="auto"/>
        <w:tabs>
          <w:tab w:leader="none" w:pos="10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7"/>
          <w:szCs w:val="17"/>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93" w:lineRule="exact"/>
        <w:rPr>
          <w:sz w:val="20"/>
          <w:szCs w:val="20"/>
          <w:color w:val="auto"/>
        </w:rPr>
      </w:pPr>
    </w:p>
    <w:p>
      <w:pPr>
        <w:ind w:left="1020" w:right="160" w:hanging="1404"/>
        <w:spacing w:after="0" w:line="259" w:lineRule="auto"/>
        <w:tabs>
          <w:tab w:leader="none" w:pos="10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214" w:lineRule="exact"/>
        <w:rPr>
          <w:sz w:val="20"/>
          <w:szCs w:val="20"/>
          <w:color w:val="auto"/>
        </w:rPr>
      </w:pPr>
    </w:p>
    <w:p>
      <w:pPr>
        <w:ind w:left="1020" w:hanging="1404"/>
        <w:spacing w:after="0" w:line="259" w:lineRule="auto"/>
        <w:tabs>
          <w:tab w:leader="none" w:pos="10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214" w:lineRule="exact"/>
        <w:rPr>
          <w:sz w:val="20"/>
          <w:szCs w:val="20"/>
          <w:color w:val="auto"/>
        </w:rPr>
      </w:pPr>
    </w:p>
    <w:p>
      <w:pPr>
        <w:ind w:left="1020" w:right="100" w:hanging="1404"/>
        <w:spacing w:after="0" w:line="259" w:lineRule="auto"/>
        <w:tabs>
          <w:tab w:leader="none" w:pos="10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214" w:lineRule="exact"/>
        <w:rPr>
          <w:sz w:val="20"/>
          <w:szCs w:val="20"/>
          <w:color w:val="auto"/>
        </w:rPr>
      </w:pPr>
    </w:p>
    <w:p>
      <w:pPr>
        <w:ind w:left="1020" w:right="260" w:hanging="1404"/>
        <w:spacing w:after="0" w:line="259" w:lineRule="auto"/>
        <w:tabs>
          <w:tab w:leader="none" w:pos="10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20" w:right="60" w:hanging="1404"/>
        <w:spacing w:after="0" w:line="264" w:lineRule="auto"/>
        <w:tabs>
          <w:tab w:leader="none" w:pos="10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 Registration Rights Agreement dated September 3, 2009 by and between Plains All American Pipeline, L.P. and Vulcan Gas Storage LLC (incorporated by reference to Exhibit 4.1 to our Registration Statement on Form S-3, File No. 333-162477).</w:t>
      </w:r>
    </w:p>
    <w:p>
      <w:pPr>
        <w:spacing w:after="0" w:line="208" w:lineRule="exact"/>
        <w:rPr>
          <w:sz w:val="20"/>
          <w:szCs w:val="20"/>
          <w:color w:val="auto"/>
        </w:rPr>
      </w:pPr>
    </w:p>
    <w:p>
      <w:pPr>
        <w:ind w:left="1020" w:hanging="1404"/>
        <w:spacing w:after="0" w:line="254" w:lineRule="auto"/>
        <w:tabs>
          <w:tab w:leader="none" w:pos="1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364-Day Credit Agreement dated January 16, 2015 among Plains All American Pipeline, L.P.,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(incorporated by reference to Exhibit 10.1 to our Current Report on Form 8-K filed January 20, 2015).</w:t>
      </w:r>
    </w:p>
    <w:p>
      <w:pPr>
        <w:spacing w:after="0" w:line="219" w:lineRule="exact"/>
        <w:rPr>
          <w:sz w:val="20"/>
          <w:szCs w:val="20"/>
          <w:color w:val="auto"/>
        </w:rPr>
      </w:pPr>
    </w:p>
    <w:p>
      <w:pPr>
        <w:ind w:left="1020" w:right="120" w:hanging="1404"/>
        <w:spacing w:after="0" w:line="254" w:lineRule="auto"/>
        <w:tabs>
          <w:tab w:leader="none" w:pos="10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First Amendment to 364-Day Credit Agreement dated August 14, 2015 among Plains All American Pipeline, L.P.,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(incorporated by reference to Exhibit 10.1 to our Current Report on Form 8-K filed August 14, 2015).</w:t>
      </w:r>
    </w:p>
    <w:p>
      <w:pPr>
        <w:spacing w:after="0" w:line="21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Computation of Ratio of Earnings to Fixed Charges.</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Executive Officer pursuant to Exchange Act Rules 13a-14(a) and 15d-14(a).</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Financial Officer pursuant to Exchange Act Rules 13a-14(a) and 15d-14(a).</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Executive Officer pursuant to 18 U.S.C. 1350.</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Financial Officer pursuant to 18 U.S.C. 1350.</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1440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 w:hanging="63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20" w:hanging="717"/>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10"/>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8"/>
                <w:szCs w:val="8"/>
                <w:b w:val="1"/>
                <w:bCs w:val="1"/>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rPr>
              <w:t>Pre-tax income from continuing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w w:val="93"/>
              </w:rPr>
              <w:t>operations before noncontrolling interests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income from equity investees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Fixed charges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add: Distributed income of equity investees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Amortization of capitalized interest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Capitalized interest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Earnings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8"/>
                <w:szCs w:val="8"/>
                <w:b w:val="1"/>
                <w:bCs w:val="1"/>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8"/>
                <w:szCs w:val="8"/>
                <w:color w:val="auto"/>
              </w:rPr>
              <w:t>(2)</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expense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rPr>
              <w:t>Portion of rent expense related to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(33.33%)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Fixed Charges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RATIO OF EARNINGS TO FIXED CHARGES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w w:val="97"/>
              </w:rPr>
              <w:t>2.75 x</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89"/>
              </w:rPr>
              <w:t>4.30 x</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89"/>
              </w:rPr>
              <w:t>4.41 x</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3"/>
              </w:rPr>
              <w:t>4.03 x</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w w:val="89"/>
              </w:rPr>
              <w:t>4.13 x</w:t>
            </w:r>
          </w:p>
        </w:tc>
        <w:tc>
          <w:tcPr>
            <w:tcW w:w="16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w w:val="89"/>
              </w:rPr>
              <w:t>2.57 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9"/>
                <w:szCs w:val="9"/>
                <w:b w:val="1"/>
                <w:bCs w:val="1"/>
                <w:color w:val="auto"/>
              </w:rPr>
              <w:t>(3)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20" w:hanging="357"/>
        <w:spacing w:after="0"/>
        <w:tabs>
          <w:tab w:leader="none" w:pos="3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and the portion of rental expense on leases deemed to be the equivalent of interest.</w:t>
      </w:r>
    </w:p>
    <w:p>
      <w:pPr>
        <w:spacing w:after="0" w:line="204" w:lineRule="exact"/>
        <w:rPr>
          <w:rFonts w:ascii="Arial" w:cs="Arial" w:eastAsia="Arial" w:hAnsi="Arial"/>
          <w:sz w:val="23"/>
          <w:szCs w:val="23"/>
          <w:color w:val="auto"/>
          <w:vertAlign w:val="superscript"/>
        </w:rPr>
      </w:pPr>
    </w:p>
    <w:p>
      <w:pPr>
        <w:ind w:left="360" w:right="220" w:hanging="357"/>
        <w:spacing w:after="0" w:line="234" w:lineRule="auto"/>
        <w:tabs>
          <w:tab w:leader="none" w:pos="3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interest costs attributable to borrowings for hedged inventory purchases of $4 million for the nine months ended September 30, 2015 and $12 million, $30 million, $12 million, $20 million and $17 million for the years ended December 31, 2014, 2013, 2012, 2011 and 2010, respectively.</w:t>
      </w:r>
    </w:p>
    <w:p>
      <w:pPr>
        <w:spacing w:after="0" w:line="168" w:lineRule="exact"/>
        <w:rPr>
          <w:rFonts w:ascii="Arial" w:cs="Arial" w:eastAsia="Arial" w:hAnsi="Arial"/>
          <w:sz w:val="23"/>
          <w:szCs w:val="23"/>
          <w:color w:val="auto"/>
          <w:vertAlign w:val="superscript"/>
        </w:rPr>
      </w:pPr>
    </w:p>
    <w:p>
      <w:pPr>
        <w:ind w:left="600" w:hanging="597"/>
        <w:spacing w:after="0"/>
        <w:tabs>
          <w:tab w:leader="none" w:pos="60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60" w:hanging="220"/>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240" w:firstLine="640"/>
        <w:spacing w:after="0" w:line="264"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60" w:firstLine="640"/>
        <w:spacing w:after="0" w:line="342"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640"/>
        <w:spacing w:after="0" w:line="291"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w:t>
      </w:r>
    </w:p>
    <w:p>
      <w:pPr>
        <w:spacing w:after="0"/>
        <w:rPr>
          <w:rFonts w:ascii="Arial" w:cs="Arial" w:eastAsia="Arial" w:hAnsi="Arial"/>
          <w:sz w:val="16"/>
          <w:szCs w:val="16"/>
          <w:color w:val="auto"/>
        </w:rPr>
      </w:pPr>
      <w:r>
        <w:rPr>
          <w:rFonts w:ascii="Arial" w:cs="Arial" w:eastAsia="Arial" w:hAnsi="Arial"/>
          <w:sz w:val="18"/>
          <w:szCs w:val="18"/>
          <w:color w:val="auto"/>
        </w:rPr>
        <w:t>Rules 13a-15(f) and 15d-15(f)) for the registrant and have:</w:t>
      </w:r>
    </w:p>
    <w:p>
      <w:pPr>
        <w:spacing w:after="0" w:line="211" w:lineRule="exact"/>
        <w:rPr>
          <w:sz w:val="20"/>
          <w:szCs w:val="20"/>
          <w:color w:val="auto"/>
        </w:rPr>
      </w:pPr>
    </w:p>
    <w:p>
      <w:pPr>
        <w:jc w:val="both"/>
        <w:ind w:right="240" w:firstLine="640"/>
        <w:spacing w:after="0" w:line="286"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40" w:firstLine="640"/>
        <w:spacing w:after="0" w:line="264"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640"/>
        <w:spacing w:after="0" w:line="264"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420" w:firstLine="640"/>
        <w:spacing w:after="0" w:line="264"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640"/>
        <w:spacing w:after="0" w:line="264"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right="320" w:firstLine="640"/>
        <w:spacing w:after="0" w:line="342" w:lineRule="auto"/>
        <w:tabs>
          <w:tab w:leader="none" w:pos="13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700" w:firstLine="640"/>
        <w:spacing w:after="0" w:line="277"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302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60" w:hanging="220"/>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240" w:firstLine="640"/>
        <w:spacing w:after="0" w:line="264"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60" w:firstLine="640"/>
        <w:spacing w:after="0" w:line="342"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640"/>
        <w:spacing w:after="0" w:line="291"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w:t>
      </w:r>
    </w:p>
    <w:p>
      <w:pPr>
        <w:spacing w:after="0"/>
        <w:rPr>
          <w:rFonts w:ascii="Arial" w:cs="Arial" w:eastAsia="Arial" w:hAnsi="Arial"/>
          <w:sz w:val="16"/>
          <w:szCs w:val="16"/>
          <w:color w:val="auto"/>
        </w:rPr>
      </w:pPr>
      <w:r>
        <w:rPr>
          <w:rFonts w:ascii="Arial" w:cs="Arial" w:eastAsia="Arial" w:hAnsi="Arial"/>
          <w:sz w:val="18"/>
          <w:szCs w:val="18"/>
          <w:color w:val="auto"/>
        </w:rPr>
        <w:t>Rules 13a-15(f) and 15d-15(f)) for the registrant and have:</w:t>
      </w:r>
    </w:p>
    <w:p>
      <w:pPr>
        <w:spacing w:after="0" w:line="211" w:lineRule="exact"/>
        <w:rPr>
          <w:sz w:val="20"/>
          <w:szCs w:val="20"/>
          <w:color w:val="auto"/>
        </w:rPr>
      </w:pPr>
    </w:p>
    <w:p>
      <w:pPr>
        <w:jc w:val="both"/>
        <w:ind w:right="240" w:firstLine="640"/>
        <w:spacing w:after="0" w:line="286"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40" w:firstLine="640"/>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640"/>
        <w:spacing w:after="0" w:line="264"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420" w:firstLine="640"/>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640"/>
        <w:spacing w:after="0" w:line="264" w:lineRule="auto"/>
        <w:tabs>
          <w:tab w:leader="none" w:pos="8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right="320" w:firstLine="640"/>
        <w:spacing w:after="0" w:line="342" w:lineRule="auto"/>
        <w:tabs>
          <w:tab w:leader="none" w:pos="13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700" w:firstLine="640"/>
        <w:spacing w:after="0" w:line="277"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302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Greg L. Armstrong, Chief Executive Officer of Plains All American Pipeline, L.P. (the “Company”), hereby certify that:</w:t>
      </w:r>
    </w:p>
    <w:p>
      <w:pPr>
        <w:spacing w:after="0" w:line="237" w:lineRule="exact"/>
        <w:rPr>
          <w:sz w:val="20"/>
          <w:szCs w:val="20"/>
          <w:color w:val="auto"/>
        </w:rPr>
      </w:pPr>
    </w:p>
    <w:p>
      <w:pPr>
        <w:ind w:right="540" w:firstLine="651"/>
        <w:spacing w:after="0" w:line="286" w:lineRule="auto"/>
        <w:tabs>
          <w:tab w:leader="none" w:pos="135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accompanying report on Form 10-Q for the period ended September 30, 2015 and filed with the Securities and Exchange Commission on the date hereof (the “Report”) by the Company fully complies with the requirements of Section 13(a) or 15(d) of the Securities Exchange Act of 1934, as amended; and</w:t>
      </w:r>
    </w:p>
    <w:p>
      <w:pPr>
        <w:spacing w:after="0" w:line="165" w:lineRule="exact"/>
        <w:rPr>
          <w:rFonts w:ascii="Arial" w:cs="Arial" w:eastAsia="Arial" w:hAnsi="Arial"/>
          <w:sz w:val="17"/>
          <w:szCs w:val="17"/>
          <w:color w:val="auto"/>
        </w:rPr>
      </w:pPr>
    </w:p>
    <w:p>
      <w:pPr>
        <w:ind w:right="60" w:firstLine="651"/>
        <w:spacing w:after="0" w:line="277"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540" w:firstLine="651"/>
        <w:spacing w:after="0" w:line="286" w:lineRule="auto"/>
        <w:tabs>
          <w:tab w:leader="none" w:pos="13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report on Form 10-Q for the period ended September 30, 2015 and filed with the Securities and Exchange Commission on the date hereof (the “Report”) by the Company fully complies with the requirements of Section 13(a) or 15(d) of the Securities Exchange Act of 1934, as amended; and</w:t>
      </w:r>
    </w:p>
    <w:p>
      <w:pPr>
        <w:spacing w:after="0" w:line="165" w:lineRule="exact"/>
        <w:rPr>
          <w:rFonts w:ascii="Arial" w:cs="Arial" w:eastAsia="Arial" w:hAnsi="Arial"/>
          <w:sz w:val="17"/>
          <w:szCs w:val="17"/>
          <w:color w:val="auto"/>
        </w:rPr>
      </w:pPr>
    </w:p>
    <w:p>
      <w:pPr>
        <w:ind w:right="60" w:firstLine="651"/>
        <w:spacing w:after="0" w:line="277"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lowerRoman"/>
      <w:start w:val="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3"/>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Roman"/>
      <w:start w:val="2"/>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5"/>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2"/>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lowerRoman"/>
      <w:start w:val="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2020-01-25T03:28:16Z</dcterms:created>
  <dcterms:modified xsi:type="dcterms:W3CDTF">2020-01-25T03:28:16Z</dcterms:modified>
</cp:coreProperties>
</file>