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February 6, 2018</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179" w:right="359" w:bottom="1440" w:gutter="0" w:footer="0" w:header="0"/>
        </w:sectPr>
      </w:pPr>
    </w:p>
    <w:p>
      <w:pPr>
        <w:spacing w:after="0" w:line="367" w:lineRule="exact"/>
        <w:rPr>
          <w:sz w:val="24"/>
          <w:szCs w:val="24"/>
          <w:color w:val="auto"/>
        </w:rPr>
      </w:pPr>
    </w:p>
    <w:p>
      <w:pPr>
        <w:ind w:left="16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90" w:lineRule="exact"/>
        <w:rPr>
          <w:sz w:val="24"/>
          <w:szCs w:val="24"/>
          <w:color w:val="auto"/>
        </w:rPr>
      </w:pPr>
    </w:p>
    <w:p>
      <w:pPr>
        <w:sectPr>
          <w:pgSz w:w="11900" w:h="16838" w:orient="portrait"/>
          <w:cols w:equalWidth="0" w:num="3">
            <w:col w:w="4700" w:space="720"/>
            <w:col w:w="2680" w:space="720"/>
            <w:col w:w="2480"/>
          </w:cols>
          <w:pgMar w:left="240" w:top="1179" w:right="35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5" w:lineRule="exact"/>
        <w:rPr>
          <w:sz w:val="24"/>
          <w:szCs w:val="24"/>
          <w:color w:val="auto"/>
        </w:rPr>
      </w:pPr>
    </w:p>
    <w:p>
      <w:pPr>
        <w:sectPr>
          <w:pgSz w:w="11900" w:h="16838" w:orient="portrait"/>
          <w:cols w:equalWidth="0" w:num="3">
            <w:col w:w="4020" w:space="720"/>
            <w:col w:w="2560" w:space="720"/>
            <w:col w:w="3280"/>
          </w:cols>
          <w:pgMar w:left="240" w:top="1179" w:right="359" w:bottom="1440" w:gutter="0" w:footer="0" w:header="0"/>
          <w:type w:val="continuous"/>
        </w:sectPr>
      </w:pPr>
    </w:p>
    <w:p>
      <w:pPr>
        <w:ind w:left="166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300"/>
          </w:cols>
          <w:pgMar w:left="240" w:top="1179" w:right="359" w:bottom="1440" w:gutter="0" w:footer="0" w:header="0"/>
          <w:type w:val="continuous"/>
        </w:sectPr>
      </w:pPr>
    </w:p>
    <w:p>
      <w:pPr>
        <w:spacing w:after="0" w:line="245"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31" w:lineRule="exact"/>
        <w:rPr>
          <w:sz w:val="24"/>
          <w:szCs w:val="24"/>
          <w:color w:val="auto"/>
        </w:rPr>
      </w:pPr>
    </w:p>
    <w:p>
      <w:pPr>
        <w:ind w:right="300"/>
        <w:spacing w:after="0" w:line="270"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318770</wp:posOffset>
            </wp:positionV>
            <wp:extent cx="70751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1714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207010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300"/>
          </w:cols>
          <w:pgMar w:left="240" w:top="1179" w:right="359" w:bottom="1440" w:gutter="0" w:footer="0" w:header="0"/>
          <w:type w:val="continuous"/>
        </w:sectPr>
      </w:pPr>
    </w:p>
    <w:bookmarkStart w:id="1" w:name="page2"/>
    <w:bookmarkEnd w:id="1"/>
    <w:p>
      <w:pPr>
        <w:spacing w:after="0"/>
        <w:tabs>
          <w:tab w:leader="none" w:pos="2080" w:val="left"/>
        </w:tabs>
        <w:rPr>
          <w:sz w:val="20"/>
          <w:szCs w:val="20"/>
          <w:color w:val="auto"/>
        </w:rPr>
      </w:pPr>
      <w:r>
        <w:rPr>
          <w:rFonts w:ascii="Arial" w:cs="Arial" w:eastAsia="Arial" w:hAnsi="Arial"/>
          <w:sz w:val="18"/>
          <w:szCs w:val="18"/>
          <w:b w:val="1"/>
          <w:bCs w:val="1"/>
          <w:color w:val="auto"/>
        </w:rPr>
        <w:t>Item 2.02 and Item 7.01.</w:t>
      </w:r>
      <w:r>
        <w:rPr>
          <w:sz w:val="20"/>
          <w:szCs w:val="20"/>
          <w:color w:val="auto"/>
        </w:rPr>
        <w:tab/>
      </w:r>
      <w:r>
        <w:rPr>
          <w:rFonts w:ascii="Arial" w:cs="Arial" w:eastAsia="Arial" w:hAnsi="Arial"/>
          <w:sz w:val="16"/>
          <w:szCs w:val="16"/>
          <w:b w:val="1"/>
          <w:bCs w:val="1"/>
          <w:color w:val="auto"/>
        </w:rPr>
        <w:t>Results of Operations and Financial Condition; Regulation FD Disclosure.</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February 6, 2018, the Registrant issued a press release reporting its fourth-quarter 2017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5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8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Exhibit 99.1 — Press Release dated February 6, 2018</w:t>
        </w:r>
      </w:hyperlink>
    </w:p>
    <w:p>
      <w:pPr>
        <w:sectPr>
          <w:pgSz w:w="11900" w:h="16838" w:orient="portrait"/>
          <w:cols w:equalWidth="0" w:num="1">
            <w:col w:w="11420"/>
          </w:cols>
          <w:pgMar w:left="240" w:top="580"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PLAINS GP HOLDINGS, L.P.</w:t>
      </w:r>
    </w:p>
    <w:p>
      <w:pPr>
        <w:spacing w:after="0" w:line="387" w:lineRule="exact"/>
        <w:rPr>
          <w:sz w:val="20"/>
          <w:szCs w:val="20"/>
          <w:color w:val="auto"/>
        </w:rPr>
      </w:pPr>
    </w:p>
    <w:p>
      <w:pPr>
        <w:ind w:left="4720"/>
        <w:spacing w:after="0"/>
        <w:tabs>
          <w:tab w:leader="none" w:pos="5160" w:val="left"/>
        </w:tabs>
        <w:rPr>
          <w:sz w:val="20"/>
          <w:szCs w:val="20"/>
          <w:color w:val="auto"/>
        </w:rPr>
      </w:pPr>
      <w:r>
        <w:rPr>
          <w:rFonts w:ascii="Arial" w:cs="Arial" w:eastAsia="Arial" w:hAnsi="Arial"/>
          <w:sz w:val="18"/>
          <w:szCs w:val="18"/>
          <w:color w:val="auto"/>
        </w:rPr>
        <w:t>By:</w:t>
        <w:tab/>
        <w:t>PAA GP Holdings LLC, its general partner</w:t>
      </w:r>
    </w:p>
    <w:p>
      <w:pPr>
        <w:spacing w:after="0" w:line="387" w:lineRule="exact"/>
        <w:rPr>
          <w:sz w:val="20"/>
          <w:szCs w:val="20"/>
          <w:color w:val="auto"/>
        </w:rPr>
      </w:pPr>
    </w:p>
    <w:p>
      <w:pPr>
        <w:ind w:left="40"/>
        <w:spacing w:after="0"/>
        <w:tabs>
          <w:tab w:leader="none" w:pos="4700" w:val="left"/>
          <w:tab w:leader="none" w:pos="5160" w:val="left"/>
        </w:tabs>
        <w:rPr>
          <w:sz w:val="20"/>
          <w:szCs w:val="20"/>
          <w:color w:val="auto"/>
        </w:rPr>
      </w:pPr>
      <w:r>
        <w:rPr>
          <w:rFonts w:ascii="Arial" w:cs="Arial" w:eastAsia="Arial" w:hAnsi="Arial"/>
          <w:sz w:val="18"/>
          <w:szCs w:val="18"/>
          <w:color w:val="auto"/>
        </w:rPr>
        <w:t>Date: February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5180"/>
        <w:spacing w:after="0"/>
        <w:tabs>
          <w:tab w:leader="none" w:pos="5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Al Swanson</w:t>
      </w:r>
    </w:p>
    <w:p>
      <w:pPr>
        <w:spacing w:after="0" w:line="63" w:lineRule="exact"/>
        <w:rPr>
          <w:sz w:val="20"/>
          <w:szCs w:val="20"/>
          <w:color w:val="auto"/>
        </w:rPr>
      </w:pPr>
    </w:p>
    <w:p>
      <w:pPr>
        <w:ind w:left="518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 Chief Financial Officer</w:t>
      </w:r>
    </w:p>
    <w:p>
      <w:pPr>
        <w:sectPr>
          <w:pgSz w:w="11900" w:h="16838" w:orient="portrait"/>
          <w:cols w:equalWidth="0" w:num="1">
            <w:col w:w="11000"/>
          </w:cols>
          <w:pgMar w:left="240" w:top="661"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446405</wp:posOffset>
            </wp:positionV>
            <wp:extent cx="5848985" cy="754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Fourth-Quarter and Full-Year 2017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PAA Also Furnishes 2018 Full-Year Guidance</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(Houston — February 6, 2018) Plains All American Pipeline, L.P. (NYSE: PAA) and Plains GP Holdings (NYSE: PAGP) today reported fourth-quarter and full-year 2017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Fourth-Quarter and Full-Year 2017 Highlights</w:t>
      </w:r>
    </w:p>
    <w:p>
      <w:pPr>
        <w:spacing w:after="0" w:line="18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Delivered operating and financial performance in line with to slightly ahead of 4Q17 expectations;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Reduced total debt by $1.5 billion during 4Q17; exited 2017 with $3.0 billion of liquidity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Retired $950 million of senior notes</w:t>
      </w:r>
    </w:p>
    <w:p>
      <w:pPr>
        <w:spacing w:after="0" w:line="117" w:lineRule="exact"/>
        <w:rPr>
          <w:rFonts w:ascii="Arial" w:cs="Arial" w:eastAsia="Arial" w:hAnsi="Arial"/>
          <w:sz w:val="18"/>
          <w:szCs w:val="18"/>
          <w:color w:val="auto"/>
        </w:rPr>
      </w:pPr>
    </w:p>
    <w:p>
      <w:pPr>
        <w:ind w:left="1300" w:right="660" w:hanging="320"/>
        <w:spacing w:after="0" w:line="277"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Reduced short-term/inventory debt by ~$200 million compared to September 30, 2017 (~$375 million relative to the June 30, 2017 balance);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Completed ~$1.1 billion in targeted asset sales (~$700 million since August 2017); advancing efforts on additional 2018 sales;</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Completed construction and placed the new Diamond and STACK JV pipelines into service and completed capacity expansions for the Cactus I and BridgeTex pipelines, adding over 275,000 barrels per day to PAA’s net transportation capacity; and</w:t>
      </w:r>
    </w:p>
    <w:p>
      <w:pPr>
        <w:spacing w:after="0" w:line="62"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Obtained long-term minimum volume commitments (“MVCs”) to sanction construction of the Cactus II pipeline and the extension/looping of the Sunrise pipeline system.</w:t>
      </w:r>
    </w:p>
    <w:p>
      <w:pPr>
        <w:spacing w:after="0" w:line="33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are pleased to report that PAA finished the year on a strong note, having made significant progress on the plans we outlined in August of 2017,” stated Willie Chiang, Executive Vice President and Chief Operating Officer of Plains All American Pipeline.</w:t>
      </w:r>
    </w:p>
    <w:p>
      <w:pPr>
        <w:spacing w:after="0" w:line="170"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“We remain on track to achieve our deleveraging objectives and targeted credit metrics by early 2019 while maintaining substantial distribution coverage underpinned by predominantly fee-based cash flow. Additionally, execution of our capital program, which includes several recently announced Permian projects, and robust Permian fundamentals will drive momentum for PAA’s continued growth in 2018 and beyond.”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Twelve Months Ended</w:t>
            </w:r>
          </w:p>
        </w:tc>
        <w:tc>
          <w:tcPr>
            <w:tcW w:w="1040" w:type="dxa"/>
            <w:vAlign w:val="bottom"/>
          </w:tcPr>
          <w:p>
            <w:pPr>
              <w:spacing w:after="0"/>
              <w:rPr>
                <w:sz w:val="17"/>
                <w:szCs w:val="17"/>
                <w:color w:val="auto"/>
              </w:rPr>
            </w:pPr>
          </w:p>
        </w:tc>
      </w:tr>
      <w:tr>
        <w:trPr>
          <w:trHeight w:val="210"/>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5"/>
          </w:tcPr>
          <w:p>
            <w:pPr>
              <w:ind w:left="380"/>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December 31,</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33"/>
        </w:trPr>
        <w:tc>
          <w:tcPr>
            <w:tcW w:w="462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1"/>
        </w:trPr>
        <w:tc>
          <w:tcPr>
            <w:tcW w:w="462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GAAP Results</w:t>
            </w:r>
          </w:p>
        </w:tc>
        <w:tc>
          <w:tcPr>
            <w:tcW w:w="240" w:type="dxa"/>
            <w:vAlign w:val="bottom"/>
          </w:tcPr>
          <w:p>
            <w:pPr>
              <w:spacing w:after="0"/>
              <w:rPr>
                <w:sz w:val="20"/>
                <w:szCs w:val="20"/>
                <w:color w:val="auto"/>
              </w:rPr>
            </w:pPr>
          </w:p>
        </w:tc>
        <w:tc>
          <w:tcPr>
            <w:tcW w:w="780" w:type="dxa"/>
            <w:vAlign w:val="bottom"/>
          </w:tcPr>
          <w:p>
            <w:pPr>
              <w:ind w:left="12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Change</w:t>
            </w:r>
          </w:p>
        </w:tc>
        <w:tc>
          <w:tcPr>
            <w:tcW w:w="220" w:type="dxa"/>
            <w:vAlign w:val="bottom"/>
          </w:tcPr>
          <w:p>
            <w:pPr>
              <w:spacing w:after="0"/>
              <w:rPr>
                <w:sz w:val="20"/>
                <w:szCs w:val="20"/>
                <w:color w:val="auto"/>
              </w:rPr>
            </w:pPr>
          </w:p>
        </w:tc>
        <w:tc>
          <w:tcPr>
            <w:tcW w:w="800" w:type="dxa"/>
            <w:vAlign w:val="bottom"/>
          </w:tcPr>
          <w:p>
            <w:pPr>
              <w:jc w:val="right"/>
              <w:ind w:right="27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4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Diluted net income per common unit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121 %</w:t>
            </w: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64"/>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Distribution per common unit declared for the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560"/>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Twelve Months Ended</w:t>
            </w:r>
          </w:p>
        </w:tc>
        <w:tc>
          <w:tcPr>
            <w:tcW w:w="1040" w:type="dxa"/>
            <w:vAlign w:val="bottom"/>
          </w:tcPr>
          <w:p>
            <w:pPr>
              <w:spacing w:after="0"/>
              <w:rPr>
                <w:sz w:val="24"/>
                <w:szCs w:val="24"/>
                <w:color w:val="auto"/>
              </w:rPr>
            </w:pPr>
          </w:p>
        </w:tc>
      </w:tr>
      <w:tr>
        <w:trPr>
          <w:trHeight w:val="210"/>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5"/>
          </w:tcPr>
          <w:p>
            <w:pPr>
              <w:ind w:left="380"/>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December 31,</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33"/>
        </w:trPr>
        <w:tc>
          <w:tcPr>
            <w:tcW w:w="462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 xml:space="preserve">Non-GAAP Results </w:t>
            </w:r>
            <w:r>
              <w:rPr>
                <w:rFonts w:ascii="Arial" w:cs="Arial" w:eastAsia="Arial" w:hAnsi="Arial"/>
                <w:sz w:val="21"/>
                <w:szCs w:val="21"/>
                <w:b w:val="1"/>
                <w:bCs w:val="1"/>
                <w:i w:val="1"/>
                <w:i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244"/>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Diluted adjusted net income per common unit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6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80" w:hanging="332"/>
        <w:spacing w:after="0" w:line="232" w:lineRule="auto"/>
        <w:tabs>
          <w:tab w:leader="none" w:pos="340"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fourth quarter and full year of 2017 and 2016 is presented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2017</w:t>
            </w: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December 31, 2016</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3"/>
                <w:szCs w:val="13"/>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Supply and Logistics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0"/>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2"/>
              </w:rPr>
              <w:t>Supply and</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92</w:t>
            </w:r>
          </w:p>
        </w:tc>
        <w:tc>
          <w:tcPr>
            <w:tcW w:w="120" w:type="dxa"/>
            <w:vAlign w:val="bottom"/>
            <w:tcBorders>
              <w:right w:val="single" w:sz="8" w:color="auto"/>
            </w:tcBorders>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278</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86"/>
              </w:rPr>
              <w:t>Percentage change in segment adjusted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(39)%</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EBITDA versus 2016 period</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Twelve Months Ended</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Twelve Months Ended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2017</w:t>
            </w: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December 31, 2016</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3"/>
                <w:szCs w:val="13"/>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Supply and Logistics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0"/>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2"/>
              </w:rPr>
              <w:t>Supply and</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w:t>
            </w:r>
          </w:p>
        </w:tc>
        <w:tc>
          <w:tcPr>
            <w:tcW w:w="120" w:type="dxa"/>
            <w:vAlign w:val="bottom"/>
            <w:tcBorders>
              <w:right w:val="single" w:sz="8" w:color="auto"/>
            </w:tcBorders>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1,141</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86"/>
              </w:rPr>
              <w:t>Percentage change in segment adjusted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(83)%</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EBITDA versus 2016 period</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Fourth-quarter 2017 Transportation segment adjusted EBITDA increased by 27% versus comparable 2016 results. This increase was primarily driven by increased volume on our Permian Basin systems, in addition to contributions from our Eagle Ford JV system, which receives Permian volumes from our Cactus pipeline. This increase was partially offset by a one-time contract settlement in the fourth quarter and the sale of non-core assets in our Rocky Mountain region.</w:t>
      </w:r>
    </w:p>
    <w:p>
      <w:pPr>
        <w:spacing w:after="0" w:line="187"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Fourth-quarter 2017 Facilities segment adjusted EBITDA increased by 8% versus comparable 2016 results. This increase was primarily driven by increased NGL storage and fractionation services and higher throughput fees and additional storage capacity at Cushing and Patoka. These increases were partially offset by decreased rail terminal revenue and the impact of a natural gas storage asset sale completed in June 2017.</w:t>
      </w:r>
    </w:p>
    <w:p>
      <w:pPr>
        <w:spacing w:after="0" w:line="16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Fourth-quarter 2017 Supply and Logistics segment adjusted EBITDA decreased by 39% versus comparable 2016 results due to crude oil and NGL margin compression and reduced arbitrage opportunities.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Full-Year Guidance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full-year 2018 financial and operating guidance: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barrel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20" w:type="dxa"/>
            <w:vAlign w:val="bottom"/>
            <w:gridSpan w:val="6"/>
          </w:tcPr>
          <w:p>
            <w:pPr>
              <w:jc w:val="right"/>
              <w:spacing w:after="0"/>
              <w:rPr>
                <w:sz w:val="20"/>
                <w:szCs w:val="20"/>
                <w:color w:val="auto"/>
              </w:rPr>
            </w:pPr>
            <w:r>
              <w:rPr>
                <w:rFonts w:ascii="Arial" w:cs="Arial" w:eastAsia="Arial" w:hAnsi="Arial"/>
                <w:sz w:val="16"/>
                <w:szCs w:val="16"/>
                <w:b w:val="1"/>
                <w:bCs w:val="1"/>
                <w:color w:val="auto"/>
                <w:w w:val="99"/>
              </w:rPr>
              <w:t>Twelve Months Ended December 31,</w:t>
            </w:r>
          </w:p>
        </w:tc>
        <w:tc>
          <w:tcPr>
            <w:tcW w:w="1160" w:type="dxa"/>
            <w:vAlign w:val="bottom"/>
          </w:tcPr>
          <w:p>
            <w:pPr>
              <w:spacing w:after="0"/>
              <w:rPr>
                <w:sz w:val="18"/>
                <w:szCs w:val="18"/>
                <w:color w:val="auto"/>
              </w:rPr>
            </w:pPr>
          </w:p>
        </w:tc>
      </w:tr>
      <w:tr>
        <w:trPr>
          <w:trHeight w:val="33"/>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411"/>
              <w:spacing w:after="0"/>
              <w:rPr>
                <w:sz w:val="20"/>
                <w:szCs w:val="20"/>
                <w:color w:val="auto"/>
              </w:rPr>
            </w:pPr>
            <w:r>
              <w:rPr>
                <w:rFonts w:ascii="Arial" w:cs="Arial" w:eastAsia="Arial" w:hAnsi="Arial"/>
                <w:sz w:val="16"/>
                <w:szCs w:val="16"/>
                <w:b w:val="1"/>
                <w:bCs w:val="1"/>
                <w:color w:val="auto"/>
              </w:rPr>
              <w:t>2018 (G)</w:t>
            </w:r>
          </w:p>
        </w:tc>
      </w:tr>
      <w:tr>
        <w:trPr>
          <w:trHeight w:val="33"/>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571"/>
              <w:spacing w:after="0"/>
              <w:rPr>
                <w:sz w:val="20"/>
                <w:szCs w:val="20"/>
                <w:color w:val="auto"/>
              </w:rPr>
            </w:pPr>
            <w:r>
              <w:rPr>
                <w:rFonts w:ascii="Arial" w:cs="Arial" w:eastAsia="Arial" w:hAnsi="Arial"/>
                <w:sz w:val="16"/>
                <w:szCs w:val="16"/>
                <w:color w:val="auto"/>
              </w:rPr>
              <w:t>+ / -</w:t>
            </w:r>
          </w:p>
        </w:tc>
      </w:tr>
      <w:tr>
        <w:trPr>
          <w:trHeight w:val="33"/>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Adjusted EBITDA</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Transportation</w:t>
            </w:r>
          </w:p>
        </w:tc>
        <w:tc>
          <w:tcPr>
            <w:tcW w:w="460" w:type="dxa"/>
            <w:vAlign w:val="bottom"/>
          </w:tcPr>
          <w:p>
            <w:pPr>
              <w:spacing w:after="0"/>
              <w:rPr>
                <w:sz w:val="21"/>
                <w:szCs w:val="21"/>
                <w:color w:val="auto"/>
              </w:rPr>
            </w:pPr>
          </w:p>
        </w:tc>
        <w:tc>
          <w:tcPr>
            <w:tcW w:w="22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1,141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1,535</w:t>
            </w:r>
          </w:p>
        </w:tc>
      </w:tr>
      <w:tr>
        <w:trPr>
          <w:trHeight w:val="27"/>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Facilities</w:t>
            </w:r>
          </w:p>
        </w:tc>
        <w:tc>
          <w:tcPr>
            <w:tcW w:w="4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w:t>
            </w:r>
          </w:p>
        </w:tc>
      </w:tr>
      <w:tr>
        <w:trPr>
          <w:trHeight w:val="237"/>
        </w:trPr>
        <w:tc>
          <w:tcPr>
            <w:tcW w:w="4780" w:type="dxa"/>
            <w:vAlign w:val="bottom"/>
          </w:tcPr>
          <w:p>
            <w:pPr>
              <w:ind w:left="360"/>
              <w:spacing w:after="0"/>
              <w:rPr>
                <w:sz w:val="20"/>
                <w:szCs w:val="20"/>
                <w:color w:val="auto"/>
              </w:rPr>
            </w:pPr>
            <w:r>
              <w:rPr>
                <w:rFonts w:ascii="Arial" w:cs="Arial" w:eastAsia="Arial" w:hAnsi="Arial"/>
                <w:sz w:val="18"/>
                <w:szCs w:val="18"/>
                <w:b w:val="1"/>
                <w:bCs w:val="1"/>
                <w:color w:val="auto"/>
              </w:rPr>
              <w:t>Fee-based</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1,808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2,200</w:t>
            </w:r>
          </w:p>
        </w:tc>
      </w:tr>
      <w:tr>
        <w:trPr>
          <w:trHeight w:val="27"/>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Supply and Logistics</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Other income/(expense), net</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47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5"/>
                <w:szCs w:val="25"/>
                <w:b w:val="1"/>
                <w:bCs w:val="1"/>
                <w:color w:val="auto"/>
                <w:vertAlign w:val="superscript"/>
              </w:rPr>
              <w:t>(1)</w:t>
            </w:r>
          </w:p>
        </w:tc>
        <w:tc>
          <w:tcPr>
            <w:tcW w:w="460" w:type="dxa"/>
            <w:vAlign w:val="bottom"/>
            <w:shd w:val="clear" w:color="auto" w:fill="CCEEFF"/>
          </w:tcPr>
          <w:p>
            <w:pPr>
              <w:spacing w:after="0"/>
              <w:rPr>
                <w:sz w:val="22"/>
                <w:szCs w:val="22"/>
                <w:color w:val="auto"/>
              </w:rPr>
            </w:pPr>
          </w:p>
        </w:tc>
        <w:tc>
          <w:tcPr>
            <w:tcW w:w="22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2,169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2,082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2,300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780" w:type="dxa"/>
            <w:vAlign w:val="bottom"/>
          </w:tcPr>
          <w:p>
            <w:pPr>
              <w:ind w:left="200"/>
              <w:spacing w:after="0" w:line="251"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50"/>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Maintenance capital</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Current income tax expense</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304"/>
        </w:trPr>
        <w:tc>
          <w:tcPr>
            <w:tcW w:w="478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5"/>
                <w:szCs w:val="25"/>
                <w:b w:val="1"/>
                <w:bCs w:val="1"/>
                <w:color w:val="auto"/>
                <w:vertAlign w:val="superscript"/>
              </w:rPr>
              <w:t>(1)</w:t>
            </w:r>
          </w:p>
        </w:tc>
        <w:tc>
          <w:tcPr>
            <w:tcW w:w="46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1,414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1,312</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1,635</w:t>
            </w:r>
          </w:p>
        </w:tc>
      </w:tr>
      <w:tr>
        <w:trPr>
          <w:trHeight w:val="251"/>
        </w:trPr>
        <w:tc>
          <w:tcPr>
            <w:tcW w:w="4780" w:type="dxa"/>
            <w:vAlign w:val="bottom"/>
            <w:shd w:val="clear" w:color="auto" w:fill="CCEEFF"/>
          </w:tcPr>
          <w:p>
            <w:pPr>
              <w:ind w:left="200"/>
              <w:spacing w:after="0" w:line="251" w:lineRule="exact"/>
              <w:rPr>
                <w:sz w:val="20"/>
                <w:szCs w:val="20"/>
                <w:color w:val="auto"/>
              </w:rPr>
            </w:pPr>
            <w:r>
              <w:rPr>
                <w:rFonts w:ascii="Arial" w:cs="Arial" w:eastAsia="Arial" w:hAnsi="Arial"/>
                <w:sz w:val="18"/>
                <w:szCs w:val="18"/>
                <w:color w:val="auto"/>
              </w:rPr>
              <w:t xml:space="preserve">Preferred unit cash distributions paid </w:t>
            </w:r>
            <w:r>
              <w:rPr>
                <w:rFonts w:ascii="Arial" w:cs="Arial" w:eastAsia="Arial" w:hAnsi="Arial"/>
                <w:sz w:val="25"/>
                <w:szCs w:val="25"/>
                <w:color w:val="auto"/>
                <w:vertAlign w:val="superscript"/>
              </w:rPr>
              <w:t>(3)</w:t>
            </w: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General partner cash distributions</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Implied DCF Available to Common Unitholders</w:t>
            </w:r>
          </w:p>
        </w:tc>
        <w:tc>
          <w:tcPr>
            <w:tcW w:w="460" w:type="dxa"/>
            <w:vAlign w:val="bottom"/>
            <w:shd w:val="clear" w:color="auto" w:fill="CCEEFF"/>
          </w:tcPr>
          <w:p>
            <w:pPr>
              <w:spacing w:after="0"/>
              <w:rPr>
                <w:sz w:val="22"/>
                <w:szCs w:val="22"/>
                <w:color w:val="auto"/>
              </w:rPr>
            </w:pPr>
          </w:p>
        </w:tc>
        <w:tc>
          <w:tcPr>
            <w:tcW w:w="22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1,475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Implied DCF per Common Unit </w:t>
            </w:r>
            <w:r>
              <w:rPr>
                <w:rFonts w:ascii="Arial" w:cs="Arial" w:eastAsia="Arial" w:hAnsi="Arial"/>
                <w:sz w:val="25"/>
                <w:szCs w:val="25"/>
                <w:b w:val="1"/>
                <w:bCs w:val="1"/>
                <w:color w:val="auto"/>
                <w:vertAlign w:val="superscript"/>
              </w:rPr>
              <w:t>(1)</w:t>
            </w:r>
          </w:p>
        </w:tc>
        <w:tc>
          <w:tcPr>
            <w:tcW w:w="460" w:type="dxa"/>
            <w:vAlign w:val="bottom"/>
            <w:shd w:val="clear" w:color="auto" w:fill="CCEEFF"/>
          </w:tcPr>
          <w:p>
            <w:pPr>
              <w:spacing w:after="0"/>
              <w:rPr>
                <w:sz w:val="23"/>
                <w:szCs w:val="23"/>
                <w:color w:val="auto"/>
              </w:rPr>
            </w:pPr>
          </w:p>
        </w:tc>
        <w:tc>
          <w:tcPr>
            <w:tcW w:w="22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r>
      <w:tr>
        <w:trPr>
          <w:trHeight w:val="270"/>
        </w:trPr>
        <w:tc>
          <w:tcPr>
            <w:tcW w:w="5240" w:type="dxa"/>
            <w:vAlign w:val="bottom"/>
            <w:gridSpan w:val="2"/>
          </w:tcPr>
          <w:p>
            <w:pPr>
              <w:ind w:left="40"/>
              <w:spacing w:after="0" w:line="270" w:lineRule="exact"/>
              <w:rPr>
                <w:sz w:val="20"/>
                <w:szCs w:val="20"/>
                <w:color w:val="auto"/>
              </w:rPr>
            </w:pPr>
            <w:r>
              <w:rPr>
                <w:rFonts w:ascii="Arial" w:cs="Arial" w:eastAsia="Arial" w:hAnsi="Arial"/>
                <w:sz w:val="18"/>
                <w:szCs w:val="18"/>
                <w:b w:val="1"/>
                <w:bCs w:val="1"/>
                <w:color w:val="auto"/>
                <w:w w:val="95"/>
              </w:rPr>
              <w:t xml:space="preserve">Implied DCF per Common Unit and Common Equivalent Unit </w:t>
            </w:r>
            <w:r>
              <w:rPr>
                <w:rFonts w:ascii="Arial" w:cs="Arial" w:eastAsia="Arial" w:hAnsi="Arial"/>
                <w:sz w:val="25"/>
                <w:szCs w:val="25"/>
                <w:b w:val="1"/>
                <w:bCs w:val="1"/>
                <w:color w:val="auto"/>
                <w:w w:val="95"/>
                <w:vertAlign w:val="superscript"/>
              </w:rPr>
              <w:t>(1)</w:t>
            </w:r>
          </w:p>
        </w:tc>
        <w:tc>
          <w:tcPr>
            <w:tcW w:w="22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1.99</w:t>
            </w:r>
          </w:p>
        </w:tc>
      </w:tr>
      <w:tr>
        <w:trPr>
          <w:trHeight w:val="324"/>
        </w:trPr>
        <w:tc>
          <w:tcPr>
            <w:tcW w:w="4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70"/>
        </w:trPr>
        <w:tc>
          <w:tcPr>
            <w:tcW w:w="478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5"/>
                <w:szCs w:val="25"/>
                <w:b w:val="1"/>
                <w:bCs w:val="1"/>
                <w:color w:val="auto"/>
                <w:vertAlign w:val="superscript"/>
              </w:rPr>
              <w:t>(4)</w:t>
            </w:r>
          </w:p>
        </w:tc>
        <w:tc>
          <w:tcPr>
            <w:tcW w:w="460" w:type="dxa"/>
            <w:vAlign w:val="bottom"/>
          </w:tcPr>
          <w:p>
            <w:pPr>
              <w:spacing w:after="0"/>
              <w:rPr>
                <w:sz w:val="23"/>
                <w:szCs w:val="23"/>
                <w:color w:val="auto"/>
              </w:rPr>
            </w:pPr>
          </w:p>
        </w:tc>
        <w:tc>
          <w:tcPr>
            <w:tcW w:w="22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1.20</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Unit Distribution Coverage Ratio</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0.87x</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0.94x</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1.70x</w:t>
            </w:r>
          </w:p>
        </w:tc>
      </w:tr>
      <w:tr>
        <w:trPr>
          <w:trHeight w:val="324"/>
        </w:trPr>
        <w:tc>
          <w:tcPr>
            <w:tcW w:w="4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b w:val="1"/>
                <w:bCs w:val="1"/>
                <w:color w:val="auto"/>
              </w:rPr>
              <w:t>Transportation</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daily volumes (MBbls/d)</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4,637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5,925</w:t>
            </w: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Segment Adjusted EBITDA per barrel</w:t>
            </w:r>
          </w:p>
        </w:tc>
        <w:tc>
          <w:tcPr>
            <w:tcW w:w="460" w:type="dxa"/>
            <w:vAlign w:val="bottom"/>
          </w:tcPr>
          <w:p>
            <w:pPr>
              <w:spacing w:after="0"/>
              <w:rPr>
                <w:sz w:val="21"/>
                <w:szCs w:val="21"/>
                <w:color w:val="auto"/>
              </w:rPr>
            </w:pPr>
          </w:p>
        </w:tc>
        <w:tc>
          <w:tcPr>
            <w:tcW w:w="22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0.71</w:t>
            </w:r>
          </w:p>
        </w:tc>
      </w:tr>
      <w:tr>
        <w:trPr>
          <w:trHeight w:val="27"/>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b w:val="1"/>
                <w:bCs w:val="1"/>
                <w:color w:val="auto"/>
              </w:rPr>
              <w:t>Facilities</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capacity (MMBbls/Mo)</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Segment Adjusted EBITDA per barrel</w:t>
            </w:r>
          </w:p>
        </w:tc>
        <w:tc>
          <w:tcPr>
            <w:tcW w:w="460" w:type="dxa"/>
            <w:vAlign w:val="bottom"/>
          </w:tcPr>
          <w:p>
            <w:pPr>
              <w:spacing w:after="0"/>
              <w:rPr>
                <w:sz w:val="21"/>
                <w:szCs w:val="21"/>
                <w:color w:val="auto"/>
              </w:rPr>
            </w:pPr>
          </w:p>
        </w:tc>
        <w:tc>
          <w:tcPr>
            <w:tcW w:w="22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0.44</w:t>
            </w:r>
          </w:p>
        </w:tc>
      </w:tr>
      <w:tr>
        <w:trPr>
          <w:trHeight w:val="27"/>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b w:val="1"/>
                <w:bCs w:val="1"/>
                <w:color w:val="auto"/>
              </w:rPr>
              <w:t>Supply and Logistics</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daily volumes (MBbls/d)</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1,275</w:t>
            </w: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Segment Adjusted EBITDA per barrel</w:t>
            </w:r>
          </w:p>
        </w:tc>
        <w:tc>
          <w:tcPr>
            <w:tcW w:w="460" w:type="dxa"/>
            <w:vAlign w:val="bottom"/>
          </w:tcPr>
          <w:p>
            <w:pPr>
              <w:spacing w:after="0"/>
              <w:rPr>
                <w:sz w:val="21"/>
                <w:szCs w:val="21"/>
                <w:color w:val="auto"/>
              </w:rPr>
            </w:pPr>
          </w:p>
        </w:tc>
        <w:tc>
          <w:tcPr>
            <w:tcW w:w="22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0.21</w:t>
            </w:r>
          </w:p>
        </w:tc>
      </w:tr>
      <w:tr>
        <w:trPr>
          <w:trHeight w:val="27"/>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Expansion Capital</w:t>
            </w:r>
          </w:p>
        </w:tc>
        <w:tc>
          <w:tcPr>
            <w:tcW w:w="460" w:type="dxa"/>
            <w:vAlign w:val="bottom"/>
          </w:tcPr>
          <w:p>
            <w:pPr>
              <w:spacing w:after="0"/>
              <w:rPr>
                <w:sz w:val="21"/>
                <w:szCs w:val="21"/>
                <w:color w:val="auto"/>
              </w:rPr>
            </w:pPr>
          </w:p>
        </w:tc>
        <w:tc>
          <w:tcPr>
            <w:tcW w:w="220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1,405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1,135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1,400</w:t>
            </w:r>
          </w:p>
        </w:tc>
      </w:tr>
      <w:tr>
        <w:trPr>
          <w:trHeight w:val="27"/>
        </w:trPr>
        <w:tc>
          <w:tcPr>
            <w:tcW w:w="4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4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w w:val="95"/>
              </w:rPr>
              <w:t>First-Quarter Adjusted EBITDA as Percentage of Full Year</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25%</w:t>
            </w:r>
          </w:p>
        </w:tc>
      </w:tr>
      <w:tr>
        <w:trPr>
          <w:trHeight w:val="486"/>
        </w:trPr>
        <w:tc>
          <w:tcPr>
            <w:tcW w:w="4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0" w:type="dxa"/>
            <w:vAlign w:val="bottom"/>
            <w:gridSpan w:val="2"/>
          </w:tcPr>
          <w:p>
            <w:pPr>
              <w:jc w:val="right"/>
              <w:ind w:right="1350"/>
              <w:spacing w:after="0"/>
              <w:rPr>
                <w:sz w:val="20"/>
                <w:szCs w:val="20"/>
                <w:color w:val="auto"/>
              </w:rPr>
            </w:pPr>
            <w:r>
              <w:rPr>
                <w:rFonts w:ascii="Arial" w:cs="Arial" w:eastAsia="Arial" w:hAnsi="Arial"/>
                <w:sz w:val="18"/>
                <w:szCs w:val="18"/>
                <w:color w:val="auto"/>
              </w:rPr>
              <w:t>- more -</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478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spacing w:after="0"/>
              <w:rPr>
                <w:sz w:val="21"/>
                <w:szCs w:val="21"/>
                <w:color w:val="auto"/>
              </w:rPr>
            </w:pPr>
          </w:p>
        </w:tc>
        <w:tc>
          <w:tcPr>
            <w:tcW w:w="2820" w:type="dxa"/>
            <w:vAlign w:val="bottom"/>
            <w:tcBorders>
              <w:bottom w:val="single" w:sz="8" w:color="auto"/>
            </w:tcBorders>
            <w:gridSpan w:val="6"/>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345"/>
        </w:trPr>
        <w:tc>
          <w:tcPr>
            <w:tcW w:w="4780" w:type="dxa"/>
            <w:vAlign w:val="bottom"/>
          </w:tcPr>
          <w:p>
            <w:pPr>
              <w:ind w:left="1800"/>
              <w:spacing w:after="0"/>
              <w:rPr>
                <w:sz w:val="20"/>
                <w:szCs w:val="20"/>
                <w:color w:val="auto"/>
              </w:rPr>
            </w:pPr>
            <w:r>
              <w:rPr>
                <w:rFonts w:ascii="Arial" w:cs="Arial" w:eastAsia="Arial" w:hAnsi="Arial"/>
                <w:sz w:val="18"/>
                <w:szCs w:val="18"/>
                <w:b w:val="1"/>
                <w:bCs w:val="1"/>
                <w:color w:val="auto"/>
              </w:rPr>
              <w:t>333 Clay Street, Suite 1600</w:t>
            </w:r>
          </w:p>
        </w:tc>
        <w:tc>
          <w:tcPr>
            <w:tcW w:w="26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w w:val="96"/>
              </w:rPr>
              <w:t>Houston, Texas 77002</w:t>
            </w:r>
          </w:p>
        </w:tc>
        <w:tc>
          <w:tcPr>
            <w:tcW w:w="2820" w:type="dxa"/>
            <w:vAlign w:val="bottom"/>
            <w:gridSpan w:val="6"/>
          </w:tcPr>
          <w:p>
            <w:pPr>
              <w:jc w:val="right"/>
              <w:ind w:right="290"/>
              <w:spacing w:after="0"/>
              <w:rPr>
                <w:sz w:val="20"/>
                <w:szCs w:val="20"/>
                <w:color w:val="auto"/>
              </w:rPr>
            </w:pPr>
            <w:r>
              <w:rPr>
                <w:rFonts w:ascii="Arial" w:cs="Arial" w:eastAsia="Arial" w:hAnsi="Arial"/>
                <w:sz w:val="18"/>
                <w:szCs w:val="18"/>
                <w:b w:val="1"/>
                <w:bCs w:val="1"/>
                <w:color w:val="auto"/>
              </w:rPr>
              <w:t>713-646-4100 / 866-809-1291</w:t>
            </w:r>
          </w:p>
        </w:tc>
        <w:tc>
          <w:tcPr>
            <w:tcW w:w="116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24955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(G) 2018 Guidance forecasts are intended to be + / - amounts.</w:t>
      </w:r>
    </w:p>
    <w:p>
      <w:pPr>
        <w:spacing w:after="0" w:line="167" w:lineRule="exact"/>
        <w:rPr>
          <w:sz w:val="20"/>
          <w:szCs w:val="20"/>
          <w:color w:val="auto"/>
        </w:rPr>
      </w:pPr>
    </w:p>
    <w:p>
      <w:pPr>
        <w:ind w:left="340" w:right="120" w:hanging="332"/>
        <w:spacing w:after="0" w:line="279" w:lineRule="auto"/>
        <w:tabs>
          <w:tab w:leader="none" w:pos="34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See the section of this release entitled “Non-GAAP Financial Measures and Selected Items Impacting Comparability” and the Non-GAAP Reconciliation tables attached hereto for information regarding non-GAAP financial measures and, for the historical 2016 and 2017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127"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Excludes certain non-cash items impacting interest expense such as amortization of debt issuance costs and terminated interest rate swaps.</w:t>
      </w:r>
    </w:p>
    <w:p>
      <w:pPr>
        <w:spacing w:after="0" w:line="198" w:lineRule="exact"/>
        <w:rPr>
          <w:rFonts w:ascii="Arial" w:cs="Arial" w:eastAsia="Arial" w:hAnsi="Arial"/>
          <w:sz w:val="22"/>
          <w:szCs w:val="22"/>
          <w:color w:val="auto"/>
          <w:vertAlign w:val="superscript"/>
        </w:rPr>
      </w:pPr>
    </w:p>
    <w:p>
      <w:pPr>
        <w:ind w:left="340" w:right="180" w:hanging="332"/>
        <w:spacing w:after="0" w:line="230" w:lineRule="auto"/>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Cash distributions paid to our preferred unitholders during the year presented. The distribution requirement of our Series A preferred units was paid-in-kind for all 2016 and 2017 quarterly distributions. Distributions on our Series A preferred units must be paid in cash beginning with the May 2018 quarterly distribution. The distribution requirement of our Series B preferred units, which were issued in October 2017, is payable semi-annually in arrears on May 15 and November 15. A pro-rated initial distribution on the Series B preferred units was paid on November 15, 2017.</w:t>
      </w:r>
    </w:p>
    <w:p>
      <w:pPr>
        <w:spacing w:after="0" w:line="100"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Cash distributions per common unit paid during 2016 and 2017. 2018(G) reflects the current distribution rate held constant.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Q4 2017</w:t>
            </w:r>
          </w:p>
        </w:tc>
        <w:tc>
          <w:tcPr>
            <w:tcW w:w="22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Q3 2017</w:t>
            </w:r>
          </w:p>
        </w:tc>
        <w:tc>
          <w:tcPr>
            <w:tcW w:w="220" w:type="dxa"/>
            <w:vAlign w:val="bottom"/>
          </w:tcPr>
          <w:p>
            <w:pPr>
              <w:spacing w:after="0"/>
              <w:rPr>
                <w:sz w:val="18"/>
                <w:szCs w:val="18"/>
                <w:color w:val="auto"/>
              </w:rPr>
            </w:pPr>
          </w:p>
        </w:tc>
        <w:tc>
          <w:tcPr>
            <w:tcW w:w="1040" w:type="dxa"/>
            <w:vAlign w:val="bottom"/>
          </w:tcPr>
          <w:p>
            <w:pPr>
              <w:jc w:val="right"/>
              <w:ind w:right="253"/>
              <w:spacing w:after="0"/>
              <w:rPr>
                <w:sz w:val="20"/>
                <w:szCs w:val="20"/>
                <w:color w:val="auto"/>
              </w:rPr>
            </w:pPr>
            <w:r>
              <w:rPr>
                <w:rFonts w:ascii="Arial" w:cs="Arial" w:eastAsia="Arial" w:hAnsi="Arial"/>
                <w:sz w:val="16"/>
                <w:szCs w:val="16"/>
                <w:b w:val="1"/>
                <w:bCs w:val="1"/>
                <w:color w:val="auto"/>
              </w:rPr>
              <w:t>Q4 2016</w:t>
            </w:r>
          </w:p>
        </w:tc>
      </w:tr>
      <w:tr>
        <w:trPr>
          <w:trHeight w:val="3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0.55</w:t>
            </w:r>
          </w:p>
        </w:tc>
      </w:tr>
      <w:tr>
        <w:trPr>
          <w:trHeight w:val="257"/>
        </w:trPr>
        <w:tc>
          <w:tcPr>
            <w:tcW w:w="7600" w:type="dxa"/>
            <w:vAlign w:val="bottom"/>
          </w:tcPr>
          <w:p>
            <w:pPr>
              <w:ind w:left="40"/>
              <w:spacing w:after="0"/>
              <w:rPr>
                <w:sz w:val="20"/>
                <w:szCs w:val="20"/>
                <w:color w:val="auto"/>
              </w:rPr>
            </w:pPr>
            <w:r>
              <w:rPr>
                <w:rFonts w:ascii="Arial" w:cs="Arial" w:eastAsia="Arial" w:hAnsi="Arial"/>
                <w:sz w:val="18"/>
                <w:szCs w:val="18"/>
                <w:b w:val="1"/>
                <w:bCs w:val="1"/>
                <w:color w:val="auto"/>
              </w:rPr>
              <w:t>Q4 2017 distribution percentage change from prior periods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Additionally, following the enactment of the Tax Cuts and Jobs Act of 2017 and the resulting decrease in the federal income tax rate from 35% to 21%, in the fourth quarter of 2017 PAGP re-measured its deferred tax asset and recorded deferred income tax expense of $823 million. This re-measurement is non-cash and does not affect the timing of when PAGP is expected to pay taxes, which we do not currently expect to occur within the next 10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conference call at 10:00 a.m. CT on Wednesday, February 7, 2018 to discuss the following items:</w:t>
      </w:r>
    </w:p>
    <w:p>
      <w:pPr>
        <w:spacing w:after="0" w:line="225" w:lineRule="exact"/>
        <w:rPr>
          <w:sz w:val="20"/>
          <w:szCs w:val="20"/>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PAA’s fourth-quarter 2017 and full-year 2017 performance;</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and operating guidance for the full year of 2018;</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PAA’s and PAGP’s outlook for the future.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To access the internet webcast please go to </w:t>
      </w:r>
      <w:r>
        <w:rPr>
          <w:rFonts w:ascii="Arial" w:cs="Arial" w:eastAsia="Arial" w:hAnsi="Arial"/>
          <w:sz w:val="18"/>
          <w:szCs w:val="18"/>
          <w:u w:val="single" w:color="auto"/>
          <w:color w:val="006EBF"/>
        </w:rPr>
        <w:t>https://event.webcasts.com/starthere.jsp?ei=1176062&amp;tp</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Alternatively, the webcast can be accessed at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or losses on significant asset sales of unconsolidated entities) and adjusted for certain selected items impacting comparability (“Adjusted EBITDA”) and implied distributable cash flow (“DCF”).</w:t>
      </w:r>
    </w:p>
    <w:p>
      <w:pPr>
        <w:spacing w:after="0" w:line="188"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basic and diluted adjusted net income per common unit; implied DCF available to common unitholders; implied DCF per common unit; and implied DCF per common unit and common equivalent unit, as they are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on our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6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These types of variations are not separately identified in this release, but will be discussed, as applicable, in management’s discussion and analysis of operating results in our Annual Report on Form 10-K.</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00"/>
          </w:cols>
          <w:pgMar w:left="240" w:top="34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market distortions caused by producer over-commitments to infrastructure projects, which impacts volumes, margins, returns and overall earnings; unanticipated changes in crude oil and NGL market structure, grade differentials and volatility (or lack thereof); maintenance of our credit rating and ability to receive open credit from our suppliers and trade counterparties; environmental liabilities or events that are not covered by an indemnity, insurance or existing reserves; fluctuations in refinery capacity in areas supplied by our mainlines and other factors affecting demand for various grades of crude oil and natural gas and resulting changes in pricing conditions or transportation throughput requirements; the occurrence of a natural disaster, catastrophe, terrorist attack (including eco-terrorist attacks) or other event, including attacks on our electronic and computer systems; failure to implement or capitalize, or delays in implementing or capitalizing, on expansion projects, whether due to permitting delays, permitting withdrawals or other factors;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successful integration and future performance of acquired assets or businesses and the risks associated with operating in lines of business that are distinct and separate from our historical operations; the failure to consummate, or significant delay in consummating, sales of assets or interests as a part of our strategic divestiture program; the impact of current and future laws, rulings, governmental regulations, accounting standards and statements, and related interpretations;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effectiveness of our risk management activities; shortages or cost increases of supplies, materials or labor;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as well as in the storage of natural gas and the processing, transportation, fractionation, storage and marketing of natural gas liquids as discussed in the Partnerships’ filings with the Securities and Exchange Commission.</w:t>
      </w:r>
    </w:p>
    <w:p>
      <w:pPr>
        <w:spacing w:after="0" w:line="38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On average, PAA handles over 5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52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w w:val="91"/>
              </w:rPr>
              <w:t>Three Months Ended December</w:t>
            </w:r>
          </w:p>
        </w:tc>
        <w:tc>
          <w:tcPr>
            <w:tcW w:w="23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Twelve Months Ended December</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3"/>
          </w:tcPr>
          <w:p>
            <w:pPr>
              <w:jc w:val="center"/>
              <w:ind w:right="130"/>
              <w:spacing w:after="0"/>
              <w:rPr>
                <w:sz w:val="20"/>
                <w:szCs w:val="20"/>
                <w:color w:val="auto"/>
              </w:rPr>
            </w:pPr>
            <w:r>
              <w:rPr>
                <w:rFonts w:ascii="Arial" w:cs="Arial" w:eastAsia="Arial" w:hAnsi="Arial"/>
                <w:sz w:val="16"/>
                <w:szCs w:val="16"/>
                <w:b w:val="1"/>
                <w:bCs w:val="1"/>
                <w:color w:val="auto"/>
                <w:w w:val="89"/>
              </w:rPr>
              <w:t>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center"/>
              <w:ind w:right="110"/>
              <w:spacing w:after="0"/>
              <w:rPr>
                <w:sz w:val="20"/>
                <w:szCs w:val="20"/>
                <w:color w:val="auto"/>
              </w:rPr>
            </w:pPr>
            <w:r>
              <w:rPr>
                <w:rFonts w:ascii="Arial" w:cs="Arial" w:eastAsia="Arial" w:hAnsi="Arial"/>
                <w:sz w:val="16"/>
                <w:szCs w:val="16"/>
                <w:b w:val="1"/>
                <w:bCs w:val="1"/>
                <w:color w:val="auto"/>
                <w:w w:val="89"/>
              </w:rPr>
              <w:t>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180" w:type="dxa"/>
            <w:vAlign w:val="bottom"/>
            <w:tcBorders>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26,223</w:t>
            </w:r>
          </w:p>
        </w:tc>
        <w:tc>
          <w:tcPr>
            <w:tcW w:w="4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20,182</w:t>
            </w:r>
          </w:p>
        </w:tc>
        <w:tc>
          <w:tcPr>
            <w:tcW w:w="0" w:type="dxa"/>
            <w:vAlign w:val="bottom"/>
          </w:tcPr>
          <w:p>
            <w:pPr>
              <w:spacing w:after="0"/>
              <w:rPr>
                <w:sz w:val="1"/>
                <w:szCs w:val="1"/>
                <w:color w:val="auto"/>
              </w:rPr>
            </w:pPr>
          </w:p>
        </w:tc>
      </w:tr>
      <w:tr>
        <w:trPr>
          <w:trHeight w:val="284"/>
        </w:trPr>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5,234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22,985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17,233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1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 expenses</w:t>
            </w:r>
          </w:p>
        </w:tc>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9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7"/>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Total costs and expenses</w:t>
            </w:r>
          </w:p>
        </w:tc>
        <w:tc>
          <w:tcPr>
            <w:tcW w:w="19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5,734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25,070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19,188</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INCOME</w:t>
            </w:r>
          </w:p>
        </w:tc>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19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1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Current income tax expense</w:t>
            </w:r>
          </w:p>
        </w:tc>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19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43"/>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PAA</w:t>
            </w:r>
          </w:p>
        </w:tc>
        <w:tc>
          <w:tcPr>
            <w:tcW w:w="218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UNIT:</w:t>
            </w:r>
          </w:p>
        </w:tc>
        <w:tc>
          <w:tcPr>
            <w:tcW w:w="1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Net income allocated to common unitholders — Basic</w:t>
            </w:r>
          </w:p>
        </w:tc>
        <w:tc>
          <w:tcPr>
            <w:tcW w:w="2180" w:type="dxa"/>
            <w:vAlign w:val="bottom"/>
            <w:gridSpan w:val="2"/>
          </w:tcPr>
          <w:p>
            <w:pPr>
              <w:jc w:val="right"/>
              <w:ind w:right="54"/>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138</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685</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1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304"/>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Basic net income per common unit</w:t>
            </w:r>
          </w:p>
        </w:tc>
        <w:tc>
          <w:tcPr>
            <w:tcW w:w="2180" w:type="dxa"/>
            <w:vAlign w:val="bottom"/>
            <w:gridSpan w:val="2"/>
          </w:tcPr>
          <w:p>
            <w:pPr>
              <w:jc w:val="right"/>
              <w:ind w:right="54"/>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0.19</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4"/>
                <w:szCs w:val="24"/>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0.96</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71"/>
        </w:trPr>
        <w:tc>
          <w:tcPr>
            <w:tcW w:w="2820" w:type="dxa"/>
            <w:vAlign w:val="bottom"/>
            <w:tcBorders>
              <w:top w:val="single" w:sz="8" w:color="CCEEFF"/>
            </w:tcBorders>
            <w:shd w:val="clear" w:color="auto" w:fill="CCEEFF"/>
          </w:tcPr>
          <w:p>
            <w:pPr>
              <w:spacing w:after="0"/>
              <w:rPr>
                <w:sz w:val="23"/>
                <w:szCs w:val="23"/>
                <w:color w:val="auto"/>
              </w:rPr>
            </w:pPr>
          </w:p>
        </w:tc>
        <w:tc>
          <w:tcPr>
            <w:tcW w:w="1780" w:type="dxa"/>
            <w:vAlign w:val="bottom"/>
            <w:tcBorders>
              <w:top w:val="single" w:sz="8" w:color="CCEEFF"/>
            </w:tcBorders>
            <w:shd w:val="clear" w:color="auto" w:fill="CCEEFF"/>
          </w:tcPr>
          <w:p>
            <w:pPr>
              <w:spacing w:after="0"/>
              <w:rPr>
                <w:sz w:val="23"/>
                <w:szCs w:val="23"/>
                <w:color w:val="auto"/>
              </w:rPr>
            </w:pPr>
          </w:p>
        </w:tc>
        <w:tc>
          <w:tcPr>
            <w:tcW w:w="19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200"/>
              <w:spacing w:after="0"/>
              <w:rPr>
                <w:sz w:val="20"/>
                <w:szCs w:val="20"/>
                <w:color w:val="auto"/>
              </w:rPr>
            </w:pPr>
            <w:r>
              <w:rPr>
                <w:rFonts w:ascii="Arial" w:cs="Arial" w:eastAsia="Arial" w:hAnsi="Arial"/>
                <w:sz w:val="18"/>
                <w:szCs w:val="18"/>
                <w:color w:val="auto"/>
                <w:w w:val="99"/>
              </w:rPr>
              <w:t>Net income allocated to common unitholders — Diluted</w:t>
            </w:r>
          </w:p>
        </w:tc>
        <w:tc>
          <w:tcPr>
            <w:tcW w:w="2180" w:type="dxa"/>
            <w:vAlign w:val="bottom"/>
            <w:gridSpan w:val="2"/>
          </w:tcPr>
          <w:p>
            <w:pPr>
              <w:jc w:val="right"/>
              <w:ind w:right="54"/>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138</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685</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Diluted weighted average common units outstanding</w:t>
            </w:r>
          </w:p>
        </w:tc>
        <w:tc>
          <w:tcPr>
            <w:tcW w:w="1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64"/>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Diluted net income per common unit</w:t>
            </w:r>
          </w:p>
        </w:tc>
        <w:tc>
          <w:tcPr>
            <w:tcW w:w="2180" w:type="dxa"/>
            <w:vAlign w:val="bottom"/>
            <w:gridSpan w:val="2"/>
          </w:tcPr>
          <w:p>
            <w:pPr>
              <w:jc w:val="right"/>
              <w:ind w:right="54"/>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0.19</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2"/>
                <w:szCs w:val="22"/>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0.95</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1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60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millions, except per unit data)</w:t>
            </w:r>
          </w:p>
        </w:tc>
        <w:tc>
          <w:tcPr>
            <w:tcW w:w="1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2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w w:val="91"/>
              </w:rPr>
              <w:t>Three Months Ended December</w:t>
            </w:r>
          </w:p>
        </w:tc>
        <w:tc>
          <w:tcPr>
            <w:tcW w:w="23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Twelve Months Ended December</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3"/>
          </w:tcPr>
          <w:p>
            <w:pPr>
              <w:jc w:val="center"/>
              <w:ind w:right="130"/>
              <w:spacing w:after="0"/>
              <w:rPr>
                <w:sz w:val="20"/>
                <w:szCs w:val="20"/>
                <w:color w:val="auto"/>
              </w:rPr>
            </w:pPr>
            <w:r>
              <w:rPr>
                <w:rFonts w:ascii="Arial" w:cs="Arial" w:eastAsia="Arial" w:hAnsi="Arial"/>
                <w:sz w:val="16"/>
                <w:szCs w:val="16"/>
                <w:b w:val="1"/>
                <w:bCs w:val="1"/>
                <w:color w:val="auto"/>
                <w:w w:val="89"/>
              </w:rPr>
              <w:t>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center"/>
              <w:ind w:right="110"/>
              <w:spacing w:after="0"/>
              <w:rPr>
                <w:sz w:val="20"/>
                <w:szCs w:val="20"/>
                <w:color w:val="auto"/>
              </w:rPr>
            </w:pPr>
            <w:r>
              <w:rPr>
                <w:rFonts w:ascii="Arial" w:cs="Arial" w:eastAsia="Arial" w:hAnsi="Arial"/>
                <w:sz w:val="16"/>
                <w:szCs w:val="16"/>
                <w:b w:val="1"/>
                <w:bCs w:val="1"/>
                <w:color w:val="auto"/>
                <w:w w:val="89"/>
              </w:rPr>
              <w:t>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1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adjusted net income per common unit</w:t>
            </w:r>
          </w:p>
        </w:tc>
        <w:tc>
          <w:tcPr>
            <w:tcW w:w="1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180" w:type="dxa"/>
            <w:vAlign w:val="bottom"/>
            <w:gridSpan w:val="2"/>
          </w:tcPr>
          <w:p>
            <w:pPr>
              <w:jc w:val="right"/>
              <w:ind w:right="694"/>
              <w:spacing w:after="0"/>
              <w:rPr>
                <w:sz w:val="20"/>
                <w:szCs w:val="20"/>
                <w:color w:val="auto"/>
              </w:rPr>
            </w:pPr>
            <w:r>
              <w:rPr>
                <w:rFonts w:ascii="Arial" w:cs="Arial" w:eastAsia="Arial" w:hAnsi="Arial"/>
                <w:sz w:val="18"/>
                <w:szCs w:val="18"/>
                <w:color w:val="auto"/>
              </w:rPr>
              <w:t>- more -</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2"/>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7"/>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4600" w:type="dxa"/>
            <w:vAlign w:val="bottom"/>
            <w:gridSpan w:val="2"/>
          </w:tcPr>
          <w:p>
            <w:pPr>
              <w:ind w:left="1800"/>
              <w:spacing w:after="0"/>
              <w:rPr>
                <w:sz w:val="20"/>
                <w:szCs w:val="20"/>
                <w:color w:val="auto"/>
              </w:rPr>
            </w:pPr>
            <w:r>
              <w:rPr>
                <w:rFonts w:ascii="Arial" w:cs="Arial" w:eastAsia="Arial" w:hAnsi="Arial"/>
                <w:sz w:val="18"/>
                <w:szCs w:val="18"/>
                <w:b w:val="1"/>
                <w:bCs w:val="1"/>
                <w:color w:val="auto"/>
              </w:rPr>
              <w:t>333 Clay Street, Suite 1600</w:t>
            </w:r>
          </w:p>
        </w:tc>
        <w:tc>
          <w:tcPr>
            <w:tcW w:w="2180" w:type="dxa"/>
            <w:vAlign w:val="bottom"/>
            <w:gridSpan w:val="2"/>
          </w:tcPr>
          <w:p>
            <w:pPr>
              <w:jc w:val="right"/>
              <w:ind w:right="74"/>
              <w:spacing w:after="0"/>
              <w:rPr>
                <w:sz w:val="20"/>
                <w:szCs w:val="20"/>
                <w:color w:val="auto"/>
              </w:rPr>
            </w:pPr>
            <w:r>
              <w:rPr>
                <w:rFonts w:ascii="Arial" w:cs="Arial" w:eastAsia="Arial" w:hAnsi="Arial"/>
                <w:sz w:val="18"/>
                <w:szCs w:val="18"/>
                <w:b w:val="1"/>
                <w:bCs w:val="1"/>
                <w:color w:val="auto"/>
              </w:rPr>
              <w:t>Houston, Texas 77002</w:t>
            </w:r>
          </w:p>
        </w:tc>
        <w:tc>
          <w:tcPr>
            <w:tcW w:w="860" w:type="dxa"/>
            <w:vAlign w:val="bottom"/>
          </w:tcPr>
          <w:p>
            <w:pPr>
              <w:spacing w:after="0"/>
              <w:rPr>
                <w:sz w:val="24"/>
                <w:szCs w:val="24"/>
                <w:color w:val="auto"/>
              </w:rPr>
            </w:pPr>
          </w:p>
        </w:tc>
        <w:tc>
          <w:tcPr>
            <w:tcW w:w="2500" w:type="dxa"/>
            <w:vAlign w:val="bottom"/>
            <w:gridSpan w:val="7"/>
          </w:tcPr>
          <w:p>
            <w:pPr>
              <w:jc w:val="right"/>
              <w:ind w:right="171"/>
              <w:spacing w:after="0"/>
              <w:rPr>
                <w:sz w:val="20"/>
                <w:szCs w:val="20"/>
                <w:color w:val="auto"/>
              </w:rPr>
            </w:pPr>
            <w:r>
              <w:rPr>
                <w:rFonts w:ascii="Arial" w:cs="Arial" w:eastAsia="Arial" w:hAnsi="Arial"/>
                <w:sz w:val="18"/>
                <w:szCs w:val="18"/>
                <w:b w:val="1"/>
                <w:bCs w:val="1"/>
                <w:color w:val="auto"/>
                <w:w w:val="92"/>
              </w:rPr>
              <w:t>713-646-4100 / 866-809-1291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292"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6"/>
                <w:szCs w:val="16"/>
                <w:b w:val="1"/>
                <w:bCs w:val="1"/>
                <w:color w:val="auto"/>
                <w:w w:val="91"/>
              </w:rPr>
              <w:t>December 31, 2017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21"/>
                <w:szCs w:val="21"/>
                <w:color w:val="auto"/>
              </w:rPr>
            </w:pPr>
          </w:p>
        </w:tc>
        <w:tc>
          <w:tcPr>
            <w:tcW w:w="5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13,872</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Linefill and base gas</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inventory</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Other long-term assets, net</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80" w:type="dxa"/>
            <w:vAlign w:val="bottom"/>
            <w:shd w:val="clear" w:color="auto" w:fill="CCEEFF"/>
          </w:tcPr>
          <w:p>
            <w:pPr>
              <w:spacing w:after="0"/>
              <w:rPr>
                <w:sz w:val="22"/>
                <w:szCs w:val="22"/>
                <w:color w:val="auto"/>
              </w:rPr>
            </w:pPr>
          </w:p>
        </w:tc>
        <w:tc>
          <w:tcPr>
            <w:tcW w:w="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24,210</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4,531</w:t>
            </w:r>
          </w:p>
        </w:tc>
        <w:tc>
          <w:tcPr>
            <w:tcW w:w="80" w:type="dxa"/>
            <w:vAlign w:val="bottom"/>
          </w:tcPr>
          <w:p>
            <w:pPr>
              <w:spacing w:after="0"/>
              <w:rPr>
                <w:sz w:val="21"/>
                <w:szCs w:val="21"/>
                <w:color w:val="auto"/>
              </w:rPr>
            </w:pPr>
          </w:p>
        </w:tc>
        <w:tc>
          <w:tcPr>
            <w:tcW w:w="5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Other long-term debt</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7"/>
        </w:trPr>
        <w:tc>
          <w:tcPr>
            <w:tcW w:w="8420" w:type="dxa"/>
            <w:vAlign w:val="bottom"/>
            <w:gridSpan w:val="2"/>
          </w:tcPr>
          <w:p>
            <w:pPr>
              <w:ind w:left="20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14,393</w:t>
            </w:r>
          </w:p>
        </w:tc>
        <w:tc>
          <w:tcPr>
            <w:tcW w:w="8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15,394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Partners' capital excluding noncontrolling interests</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10,958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8420" w:type="dxa"/>
            <w:vAlign w:val="bottom"/>
            <w:gridSpan w:val="2"/>
          </w:tcPr>
          <w:p>
            <w:pPr>
              <w:ind w:left="200"/>
              <w:spacing w:after="0"/>
              <w:rPr>
                <w:sz w:val="20"/>
                <w:szCs w:val="20"/>
                <w:color w:val="auto"/>
              </w:rPr>
            </w:pPr>
            <w:r>
              <w:rPr>
                <w:rFonts w:ascii="Arial" w:cs="Arial" w:eastAsia="Arial" w:hAnsi="Arial"/>
                <w:sz w:val="18"/>
                <w:szCs w:val="18"/>
                <w:color w:val="auto"/>
              </w:rPr>
              <w:t>Total partners' capital</w:t>
            </w:r>
          </w:p>
        </w:tc>
        <w:tc>
          <w:tcPr>
            <w:tcW w:w="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10,958</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80" w:type="dxa"/>
            <w:vAlign w:val="bottom"/>
            <w:shd w:val="clear" w:color="auto" w:fill="CCEEFF"/>
          </w:tcPr>
          <w:p>
            <w:pPr>
              <w:spacing w:after="0"/>
              <w:rPr>
                <w:sz w:val="22"/>
                <w:szCs w:val="22"/>
                <w:color w:val="auto"/>
              </w:rPr>
            </w:pPr>
          </w:p>
        </w:tc>
        <w:tc>
          <w:tcPr>
            <w:tcW w:w="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24,210</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4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millions)</w:t>
            </w: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28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520" w:type="dxa"/>
            <w:vAlign w:val="bottom"/>
            <w:gridSpan w:val="4"/>
          </w:tcPr>
          <w:p>
            <w:pPr>
              <w:ind w:left="60"/>
              <w:spacing w:after="0"/>
              <w:rPr>
                <w:sz w:val="20"/>
                <w:szCs w:val="20"/>
                <w:color w:val="auto"/>
              </w:rPr>
            </w:pPr>
            <w:r>
              <w:rPr>
                <w:rFonts w:ascii="Arial" w:cs="Arial" w:eastAsia="Arial" w:hAnsi="Arial"/>
                <w:sz w:val="16"/>
                <w:szCs w:val="16"/>
                <w:b w:val="1"/>
                <w:bCs w:val="1"/>
                <w:color w:val="auto"/>
                <w:w w:val="99"/>
              </w:rPr>
              <w:t>December 31, 2017</w:t>
            </w:r>
          </w:p>
        </w:tc>
        <w:tc>
          <w:tcPr>
            <w:tcW w:w="4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December 31, 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2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Short-term debt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737</w:t>
            </w:r>
          </w:p>
        </w:tc>
        <w:tc>
          <w:tcPr>
            <w:tcW w:w="8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9,183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9,920</w:t>
            </w:r>
          </w:p>
        </w:tc>
        <w:tc>
          <w:tcPr>
            <w:tcW w:w="8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9,183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Partners' capital</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10,958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book capitalization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20,141</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gridSpan w:val="2"/>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18,940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20" w:type="dxa"/>
            <w:vAlign w:val="bottom"/>
            <w:gridSpan w:val="2"/>
          </w:tcPr>
          <w:p>
            <w:pPr>
              <w:ind w:left="360"/>
              <w:spacing w:after="0"/>
              <w:rPr>
                <w:sz w:val="20"/>
                <w:szCs w:val="20"/>
                <w:color w:val="auto"/>
              </w:rPr>
            </w:pPr>
            <w:r>
              <w:rPr>
                <w:rFonts w:ascii="Arial" w:cs="Arial" w:eastAsia="Arial" w:hAnsi="Arial"/>
                <w:sz w:val="18"/>
                <w:szCs w:val="18"/>
                <w:color w:val="auto"/>
              </w:rPr>
              <w:t>Total book capitalization, including short-term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4"/>
                <w:szCs w:val="24"/>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20,878</w:t>
            </w:r>
          </w:p>
        </w:tc>
        <w:tc>
          <w:tcPr>
            <w:tcW w:w="80" w:type="dxa"/>
            <w:vAlign w:val="bottom"/>
          </w:tcPr>
          <w:p>
            <w:pPr>
              <w:spacing w:after="0"/>
              <w:rPr>
                <w:sz w:val="24"/>
                <w:szCs w:val="24"/>
                <w:color w:val="auto"/>
              </w:rPr>
            </w:pPr>
          </w:p>
        </w:tc>
        <w:tc>
          <w:tcPr>
            <w:tcW w:w="520" w:type="dxa"/>
            <w:vAlign w:val="bottom"/>
            <w:gridSpan w:val="3"/>
          </w:tcPr>
          <w:p>
            <w:pPr>
              <w:jc w:val="right"/>
              <w:ind w:right="27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20,655</w:t>
            </w:r>
          </w:p>
        </w:tc>
        <w:tc>
          <w:tcPr>
            <w:tcW w:w="0" w:type="dxa"/>
            <w:vAlign w:val="bottom"/>
          </w:tcPr>
          <w:p>
            <w:pPr>
              <w:spacing w:after="0"/>
              <w:rPr>
                <w:sz w:val="1"/>
                <w:szCs w:val="1"/>
                <w:color w:val="auto"/>
              </w:rPr>
            </w:pPr>
          </w:p>
        </w:tc>
      </w:tr>
      <w:tr>
        <w:trPr>
          <w:trHeight w:val="271"/>
        </w:trPr>
        <w:tc>
          <w:tcPr>
            <w:tcW w:w="2820" w:type="dxa"/>
            <w:vAlign w:val="bottom"/>
            <w:tcBorders>
              <w:top w:val="single" w:sz="8" w:color="CCEEFF"/>
            </w:tcBorders>
            <w:shd w:val="clear" w:color="auto" w:fill="CCEEFF"/>
          </w:tcPr>
          <w:p>
            <w:pPr>
              <w:spacing w:after="0"/>
              <w:rPr>
                <w:sz w:val="23"/>
                <w:szCs w:val="23"/>
                <w:color w:val="auto"/>
              </w:rPr>
            </w:pPr>
          </w:p>
        </w:tc>
        <w:tc>
          <w:tcPr>
            <w:tcW w:w="56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Long-term debt-to-total book capitalization</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debt-to-total book capitalization, including short-term debt</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820" w:type="dxa"/>
            <w:vAlign w:val="bottom"/>
            <w:shd w:val="clear" w:color="auto" w:fill="CCEEFF"/>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20" w:hanging="332"/>
        <w:spacing w:after="0" w:line="226"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As of December 31, 2017 and 2016, short-term debt includes borrowings of approximately $523 million and $1,303 million, respectively, for short-term hedged inventory purchases and borrowings of approximately $212 million and $410 million, respectively, for cash margin deposits with our clearing brokers, which are associated with financial derivatives used for hedging purposes.</w:t>
      </w:r>
    </w:p>
    <w:p>
      <w:pPr>
        <w:spacing w:after="0" w:line="230"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20" w:type="dxa"/>
            <w:vAlign w:val="bottom"/>
            <w:gridSpan w:val="5"/>
          </w:tcPr>
          <w:p>
            <w:pPr>
              <w:ind w:left="120"/>
              <w:spacing w:after="0"/>
              <w:rPr>
                <w:sz w:val="20"/>
                <w:szCs w:val="20"/>
                <w:color w:val="auto"/>
              </w:rPr>
            </w:pPr>
            <w:r>
              <w:rPr>
                <w:rFonts w:ascii="Arial" w:cs="Arial" w:eastAsia="Arial" w:hAnsi="Arial"/>
                <w:sz w:val="16"/>
                <w:szCs w:val="16"/>
                <w:b w:val="1"/>
                <w:bCs w:val="1"/>
                <w:color w:val="auto"/>
                <w:w w:val="99"/>
              </w:rPr>
              <w:t>Three Months Ended December</w:t>
            </w:r>
          </w:p>
        </w:tc>
        <w:tc>
          <w:tcPr>
            <w:tcW w:w="238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Twelve Months Ended December</w:t>
            </w:r>
          </w:p>
        </w:tc>
      </w:tr>
      <w:tr>
        <w:trPr>
          <w:trHeight w:val="210"/>
        </w:trPr>
        <w:tc>
          <w:tcPr>
            <w:tcW w:w="6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gridSpan w:val="3"/>
          </w:tcPr>
          <w:p>
            <w:pPr>
              <w:jc w:val="right"/>
              <w:ind w:right="1010"/>
              <w:spacing w:after="0"/>
              <w:rPr>
                <w:sz w:val="20"/>
                <w:szCs w:val="20"/>
                <w:color w:val="auto"/>
              </w:rPr>
            </w:pPr>
            <w:r>
              <w:rPr>
                <w:rFonts w:ascii="Arial" w:cs="Arial" w:eastAsia="Arial" w:hAnsi="Arial"/>
                <w:sz w:val="16"/>
                <w:szCs w:val="16"/>
                <w:b w:val="1"/>
                <w:bCs w:val="1"/>
                <w:color w:val="auto"/>
                <w:w w:val="98"/>
              </w:rPr>
              <w:t>31,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gridSpan w:val="3"/>
          </w:tcPr>
          <w:p>
            <w:pPr>
              <w:jc w:val="right"/>
              <w:ind w:right="990"/>
              <w:spacing w:after="0"/>
              <w:rPr>
                <w:sz w:val="20"/>
                <w:szCs w:val="20"/>
                <w:color w:val="auto"/>
              </w:rPr>
            </w:pPr>
            <w:r>
              <w:rPr>
                <w:rFonts w:ascii="Arial" w:cs="Arial" w:eastAsia="Arial" w:hAnsi="Arial"/>
                <w:sz w:val="16"/>
                <w:szCs w:val="16"/>
                <w:b w:val="1"/>
                <w:bCs w:val="1"/>
                <w:color w:val="auto"/>
                <w:w w:val="98"/>
              </w:rPr>
              <w:t>31,</w:t>
            </w:r>
          </w:p>
        </w:tc>
      </w:tr>
      <w:tr>
        <w:trPr>
          <w:trHeight w:val="33"/>
        </w:trPr>
        <w:tc>
          <w:tcPr>
            <w:tcW w:w="65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10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2017</w:t>
            </w:r>
          </w:p>
        </w:tc>
        <w:tc>
          <w:tcPr>
            <w:tcW w:w="1340" w:type="dxa"/>
            <w:vAlign w:val="bottom"/>
            <w:gridSpan w:val="3"/>
          </w:tcPr>
          <w:p>
            <w:pPr>
              <w:jc w:val="right"/>
              <w:ind w:right="33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060" w:type="dxa"/>
            <w:vAlign w:val="bottom"/>
          </w:tcPr>
          <w:p>
            <w:pPr>
              <w:jc w:val="right"/>
              <w:ind w:right="231"/>
              <w:spacing w:after="0"/>
              <w:rPr>
                <w:sz w:val="20"/>
                <w:szCs w:val="20"/>
                <w:color w:val="auto"/>
              </w:rPr>
            </w:pPr>
            <w:r>
              <w:rPr>
                <w:rFonts w:ascii="Arial" w:cs="Arial" w:eastAsia="Arial" w:hAnsi="Arial"/>
                <w:sz w:val="16"/>
                <w:szCs w:val="16"/>
                <w:b w:val="1"/>
                <w:bCs w:val="1"/>
                <w:color w:val="auto"/>
              </w:rPr>
              <w:t>2017</w:t>
            </w:r>
          </w:p>
        </w:tc>
        <w:tc>
          <w:tcPr>
            <w:tcW w:w="1320" w:type="dxa"/>
            <w:vAlign w:val="bottom"/>
            <w:gridSpan w:val="3"/>
          </w:tcPr>
          <w:p>
            <w:pPr>
              <w:jc w:val="right"/>
              <w:ind w:right="310"/>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3"/>
              </w:rPr>
              <w:t>Transportation segment (average daily volumes in thousands of barrels per day):</w:t>
            </w: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Tariff activities volumes</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pipelines (by region):</w:t>
            </w: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652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(2)</w:t>
            </w:r>
          </w:p>
        </w:tc>
        <w:tc>
          <w:tcPr>
            <w:tcW w:w="1080" w:type="dxa"/>
            <w:vAlign w:val="bottom"/>
          </w:tcPr>
          <w:p>
            <w:pPr>
              <w:jc w:val="right"/>
              <w:spacing w:after="0"/>
              <w:rPr>
                <w:sz w:val="20"/>
                <w:szCs w:val="20"/>
                <w:color w:val="auto"/>
              </w:rPr>
            </w:pPr>
            <w:r>
              <w:rPr>
                <w:rFonts w:ascii="Arial" w:cs="Arial" w:eastAsia="Arial" w:hAnsi="Arial"/>
                <w:sz w:val="18"/>
                <w:szCs w:val="18"/>
                <w:color w:val="auto"/>
              </w:rPr>
              <w:t>3,219</w:t>
            </w:r>
          </w:p>
        </w:tc>
        <w:tc>
          <w:tcPr>
            <w:tcW w:w="1340" w:type="dxa"/>
            <w:vAlign w:val="bottom"/>
            <w:gridSpan w:val="3"/>
          </w:tcPr>
          <w:p>
            <w:pPr>
              <w:jc w:val="right"/>
              <w:ind w:right="30"/>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2,855</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2,146</w:t>
            </w:r>
          </w:p>
        </w:tc>
      </w:tr>
      <w:tr>
        <w:trPr>
          <w:trHeight w:val="270"/>
        </w:trPr>
        <w:tc>
          <w:tcPr>
            <w:tcW w:w="65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70"/>
        </w:trPr>
        <w:tc>
          <w:tcPr>
            <w:tcW w:w="652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(2)</w:t>
            </w:r>
          </w:p>
        </w:tc>
        <w:tc>
          <w:tcPr>
            <w:tcW w:w="1080" w:type="dxa"/>
            <w:vAlign w:val="bottom"/>
          </w:tcPr>
          <w:p>
            <w:pPr>
              <w:jc w:val="right"/>
              <w:spacing w:after="0"/>
              <w:rPr>
                <w:sz w:val="20"/>
                <w:szCs w:val="20"/>
                <w:color w:val="auto"/>
              </w:rPr>
            </w:pPr>
            <w:r>
              <w:rPr>
                <w:rFonts w:ascii="Arial" w:cs="Arial" w:eastAsia="Arial" w:hAnsi="Arial"/>
                <w:sz w:val="18"/>
                <w:szCs w:val="18"/>
                <w:color w:val="auto"/>
              </w:rPr>
              <w:t>424</w:t>
            </w:r>
          </w:p>
        </w:tc>
        <w:tc>
          <w:tcPr>
            <w:tcW w:w="1340" w:type="dxa"/>
            <w:vAlign w:val="bottom"/>
            <w:gridSpan w:val="3"/>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394</w:t>
            </w: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Gulf Coast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r>
      <w:tr>
        <w:trPr>
          <w:trHeight w:val="270"/>
        </w:trPr>
        <w:tc>
          <w:tcPr>
            <w:tcW w:w="652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(2)</w:t>
            </w:r>
          </w:p>
        </w:tc>
        <w:tc>
          <w:tcPr>
            <w:tcW w:w="1080" w:type="dxa"/>
            <w:vAlign w:val="bottom"/>
          </w:tcPr>
          <w:p>
            <w:pPr>
              <w:jc w:val="right"/>
              <w:spacing w:after="0"/>
              <w:rPr>
                <w:sz w:val="20"/>
                <w:szCs w:val="20"/>
                <w:color w:val="auto"/>
              </w:rPr>
            </w:pPr>
            <w:r>
              <w:rPr>
                <w:rFonts w:ascii="Arial" w:cs="Arial" w:eastAsia="Arial" w:hAnsi="Arial"/>
                <w:sz w:val="18"/>
                <w:szCs w:val="18"/>
                <w:color w:val="auto"/>
              </w:rPr>
              <w:t>317</w:t>
            </w:r>
          </w:p>
        </w:tc>
        <w:tc>
          <w:tcPr>
            <w:tcW w:w="1340" w:type="dxa"/>
            <w:vAlign w:val="bottom"/>
            <w:gridSpan w:val="3"/>
          </w:tcPr>
          <w:p>
            <w:pPr>
              <w:jc w:val="right"/>
              <w:ind w:right="3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449</w:t>
            </w: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Western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Canada</w:t>
            </w:r>
          </w:p>
        </w:tc>
        <w:tc>
          <w:tcPr>
            <w:tcW w:w="1080" w:type="dxa"/>
            <w:vAlign w:val="bottom"/>
          </w:tcPr>
          <w:p>
            <w:pPr>
              <w:jc w:val="right"/>
              <w:spacing w:after="0"/>
              <w:rPr>
                <w:sz w:val="20"/>
                <w:szCs w:val="20"/>
                <w:color w:val="auto"/>
              </w:rPr>
            </w:pPr>
            <w:r>
              <w:rPr>
                <w:rFonts w:ascii="Arial" w:cs="Arial" w:eastAsia="Arial" w:hAnsi="Arial"/>
                <w:sz w:val="18"/>
                <w:szCs w:val="18"/>
                <w:color w:val="auto"/>
              </w:rPr>
              <w:t>330</w:t>
            </w:r>
          </w:p>
        </w:tc>
        <w:tc>
          <w:tcPr>
            <w:tcW w:w="1340" w:type="dxa"/>
            <w:vAlign w:val="bottom"/>
            <w:gridSpan w:val="3"/>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381</w:t>
            </w:r>
          </w:p>
        </w:tc>
      </w:tr>
      <w:tr>
        <w:trPr>
          <w:trHeight w:val="27"/>
        </w:trPr>
        <w:tc>
          <w:tcPr>
            <w:tcW w:w="65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pipelines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1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4,250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4,339</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NGL pipelines</w:t>
            </w:r>
          </w:p>
        </w:tc>
        <w:tc>
          <w:tcPr>
            <w:tcW w:w="1080" w:type="dxa"/>
            <w:vAlign w:val="bottom"/>
          </w:tcPr>
          <w:p>
            <w:pPr>
              <w:jc w:val="right"/>
              <w:spacing w:after="0"/>
              <w:rPr>
                <w:sz w:val="20"/>
                <w:szCs w:val="20"/>
                <w:color w:val="auto"/>
              </w:rPr>
            </w:pPr>
            <w:r>
              <w:rPr>
                <w:rFonts w:ascii="Arial" w:cs="Arial" w:eastAsia="Arial" w:hAnsi="Arial"/>
                <w:sz w:val="18"/>
                <w:szCs w:val="18"/>
                <w:color w:val="auto"/>
              </w:rPr>
              <w:t>172</w:t>
            </w:r>
          </w:p>
        </w:tc>
        <w:tc>
          <w:tcPr>
            <w:tcW w:w="1340" w:type="dxa"/>
            <w:vAlign w:val="bottom"/>
            <w:gridSpan w:val="3"/>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184</w:t>
            </w:r>
          </w:p>
        </w:tc>
      </w:tr>
      <w:tr>
        <w:trPr>
          <w:trHeight w:val="27"/>
        </w:trPr>
        <w:tc>
          <w:tcPr>
            <w:tcW w:w="65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Tariff activities total volumes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5,371</w:t>
            </w:r>
          </w:p>
        </w:tc>
        <w:tc>
          <w:tcPr>
            <w:tcW w:w="1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4,440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1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4,523</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Trucking volumes</w:t>
            </w: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1340" w:type="dxa"/>
            <w:vAlign w:val="bottom"/>
            <w:gridSpan w:val="3"/>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65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Transportation segment total volumes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1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4,558</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1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4,637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Facilities segment (average monthly volumes):</w:t>
            </w: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304"/>
        </w:trPr>
        <w:tc>
          <w:tcPr>
            <w:tcW w:w="6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Liquids storage (average monthly capacity in millions of barrels)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r>
      <w:tr>
        <w:trPr>
          <w:trHeight w:val="251"/>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Natural gas storage (average monthly working capacity in billions of cubic feet)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0"/>
        </w:trPr>
        <w:tc>
          <w:tcPr>
            <w:tcW w:w="6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6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r>
      <w:tr>
        <w:trPr>
          <w:trHeight w:val="257"/>
        </w:trPr>
        <w:tc>
          <w:tcPr>
            <w:tcW w:w="65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w w:val="96"/>
              </w:rPr>
              <w:t xml:space="preserve">Facilities segment total volumes (average monthly volumes in millions of barrels) </w:t>
            </w:r>
            <w:r>
              <w:rPr>
                <w:rFonts w:ascii="Arial" w:cs="Arial" w:eastAsia="Arial" w:hAnsi="Arial"/>
                <w:sz w:val="25"/>
                <w:szCs w:val="25"/>
                <w:color w:val="auto"/>
                <w:w w:val="96"/>
                <w:vertAlign w:val="superscript"/>
              </w:rPr>
              <w:t>(3)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5"/>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2"/>
              </w:rPr>
              <w:t>Supply and Logistics segment (average daily volumes in thousands of barrels per</w:t>
            </w: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1"/>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day):</w:t>
            </w: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Crude oil lease gathering purchases</w:t>
            </w:r>
          </w:p>
        </w:tc>
        <w:tc>
          <w:tcPr>
            <w:tcW w:w="1080" w:type="dxa"/>
            <w:vAlign w:val="bottom"/>
          </w:tcPr>
          <w:p>
            <w:pPr>
              <w:jc w:val="right"/>
              <w:spacing w:after="0"/>
              <w:rPr>
                <w:sz w:val="20"/>
                <w:szCs w:val="20"/>
                <w:color w:val="auto"/>
              </w:rPr>
            </w:pPr>
            <w:r>
              <w:rPr>
                <w:rFonts w:ascii="Arial" w:cs="Arial" w:eastAsia="Arial" w:hAnsi="Arial"/>
                <w:sz w:val="18"/>
                <w:szCs w:val="18"/>
                <w:color w:val="auto"/>
              </w:rPr>
              <w:t>994</w:t>
            </w:r>
          </w:p>
        </w:tc>
        <w:tc>
          <w:tcPr>
            <w:tcW w:w="1340" w:type="dxa"/>
            <w:vAlign w:val="bottom"/>
            <w:gridSpan w:val="3"/>
          </w:tcPr>
          <w:p>
            <w:pPr>
              <w:jc w:val="right"/>
              <w:ind w:right="30"/>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945</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894</w:t>
            </w:r>
          </w:p>
        </w:tc>
      </w:tr>
      <w:tr>
        <w:trPr>
          <w:trHeight w:val="27"/>
        </w:trPr>
        <w:tc>
          <w:tcPr>
            <w:tcW w:w="6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NGL sales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Supply and Logistics segment total volumes</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1,153</w:t>
            </w:r>
          </w:p>
        </w:tc>
      </w:tr>
      <w:tr>
        <w:trPr>
          <w:trHeight w:val="20"/>
        </w:trPr>
        <w:tc>
          <w:tcPr>
            <w:tcW w:w="6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9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Average volumes are calculated as total volumes for the period (attributable to our interest) divided by the number of days or months in the period.</w:t>
      </w:r>
    </w:p>
    <w:p>
      <w:pPr>
        <w:spacing w:after="0" w:line="50" w:lineRule="exact"/>
        <w:rPr>
          <w:rFonts w:ascii="Arial" w:cs="Arial" w:eastAsia="Arial" w:hAnsi="Arial"/>
          <w:sz w:val="25"/>
          <w:szCs w:val="25"/>
          <w:color w:val="auto"/>
          <w:vertAlign w:val="superscript"/>
        </w:rPr>
      </w:pPr>
    </w:p>
    <w:p>
      <w:pPr>
        <w:ind w:left="340" w:hanging="332"/>
        <w:spacing w:after="0" w:line="187" w:lineRule="auto"/>
        <w:tabs>
          <w:tab w:leader="none" w:pos="340" w:val="left"/>
        </w:tabs>
        <w:numPr>
          <w:ilvl w:val="0"/>
          <w:numId w:val="6"/>
        </w:numPr>
        <w:rPr>
          <w:rFonts w:ascii="Arial" w:cs="Arial" w:eastAsia="Arial" w:hAnsi="Arial"/>
          <w:sz w:val="20"/>
          <w:szCs w:val="20"/>
          <w:color w:val="auto"/>
          <w:vertAlign w:val="superscript"/>
        </w:rPr>
      </w:pPr>
      <w:r>
        <w:rPr>
          <w:rFonts w:ascii="Arial" w:cs="Arial" w:eastAsia="Arial" w:hAnsi="Arial"/>
          <w:sz w:val="13"/>
          <w:szCs w:val="13"/>
          <w:color w:val="auto"/>
        </w:rPr>
        <w:t>Region includes volumes (attributable to our interest) from pipelines owned by unconsolidated entities.</w:t>
      </w:r>
    </w:p>
    <w:p>
      <w:pPr>
        <w:spacing w:after="0" w:line="50" w:lineRule="exact"/>
        <w:rPr>
          <w:rFonts w:ascii="Arial" w:cs="Arial" w:eastAsia="Arial" w:hAnsi="Arial"/>
          <w:sz w:val="20"/>
          <w:szCs w:val="20"/>
          <w:color w:val="auto"/>
          <w:vertAlign w:val="superscript"/>
        </w:rPr>
      </w:pPr>
    </w:p>
    <w:p>
      <w:pPr>
        <w:ind w:left="340" w:hanging="332"/>
        <w:spacing w:after="0" w:line="201"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25"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2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December</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2"/>
              </w:rPr>
              <w:t>Twelve Months Ended December</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0"/>
              </w:rPr>
              <w:t>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80"/>
              </w:rPr>
              <w:t>31,</w:t>
            </w:r>
          </w:p>
        </w:tc>
        <w:tc>
          <w:tcPr>
            <w:tcW w:w="88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856</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726</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Series B preferred unitholders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unitholders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r>
      <w:tr>
        <w:trPr>
          <w:trHeight w:val="28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4"/>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net income per common unit</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856</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726</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Series B preferred unitholders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unitholders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LTIP units </w:t>
            </w:r>
            <w:r>
              <w:rPr>
                <w:rFonts w:ascii="Arial" w:cs="Arial" w:eastAsia="Arial" w:hAnsi="Arial"/>
                <w:sz w:val="25"/>
                <w:szCs w:val="25"/>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w:t>
            </w:r>
          </w:p>
        </w:tc>
      </w:tr>
      <w:tr>
        <w:trPr>
          <w:trHeight w:val="271"/>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Diluted net income per common unit </w:t>
            </w:r>
            <w:r>
              <w:rPr>
                <w:rFonts w:ascii="Arial" w:cs="Arial" w:eastAsia="Arial" w:hAnsi="Arial"/>
                <w:sz w:val="25"/>
                <w:szCs w:val="25"/>
                <w:color w:val="auto"/>
                <w:vertAlign w:val="superscript"/>
              </w:rPr>
              <w:t>(3)</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0.19</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3"/>
                <w:szCs w:val="23"/>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0.95</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0.43</w:t>
            </w:r>
          </w:p>
        </w:tc>
      </w:tr>
      <w:tr>
        <w:trPr>
          <w:trHeight w:val="20"/>
        </w:trPr>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6" w:lineRule="exact"/>
        <w:rPr>
          <w:sz w:val="20"/>
          <w:szCs w:val="20"/>
          <w:color w:val="auto"/>
        </w:rPr>
      </w:pPr>
    </w:p>
    <w:p>
      <w:pPr>
        <w:ind w:left="340" w:right="40" w:hanging="332"/>
        <w:spacing w:after="0" w:line="229" w:lineRule="auto"/>
        <w:tabs>
          <w:tab w:leader="none" w:pos="3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(“undistributed loss”), if any, are allocated to the general partner (for periods prior to the Simplification Transactions), common unitholders and participating securities in accordance with the contractual terms of our partnership agreement in effect for the period and as further prescribed under the two-class method. The Simplification Transactions, which closed on November 15, 2016, simplified our governance structure and permanently eliminated our IDRs and the economic rights associated with our 2% general partner interest. As such, beginning with the distribution pertaining to the fourth quarter of 2016, our general partner is no longer entitled to receive distributions on these interests.</w:t>
      </w:r>
    </w:p>
    <w:p>
      <w:pPr>
        <w:spacing w:after="0" w:line="45" w:lineRule="exact"/>
        <w:rPr>
          <w:rFonts w:ascii="Arial" w:cs="Arial" w:eastAsia="Arial" w:hAnsi="Arial"/>
          <w:sz w:val="28"/>
          <w:szCs w:val="28"/>
          <w:color w:val="auto"/>
          <w:vertAlign w:val="superscript"/>
        </w:rPr>
      </w:pPr>
    </w:p>
    <w:p>
      <w:pPr>
        <w:jc w:val="both"/>
        <w:ind w:left="340" w:right="260" w:hanging="332"/>
        <w:spacing w:after="0"/>
        <w:tabs>
          <w:tab w:leader="none" w:pos="34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40" w:lineRule="exact"/>
        <w:rPr>
          <w:rFonts w:ascii="Arial" w:cs="Arial" w:eastAsia="Arial" w:hAnsi="Arial"/>
          <w:sz w:val="24"/>
          <w:szCs w:val="24"/>
          <w:color w:val="auto"/>
          <w:vertAlign w:val="superscript"/>
        </w:rPr>
      </w:pPr>
    </w:p>
    <w:p>
      <w:pPr>
        <w:ind w:left="340" w:right="540" w:hanging="332"/>
        <w:spacing w:after="0" w:line="194" w:lineRule="auto"/>
        <w:tabs>
          <w:tab w:leader="none" w:pos="3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The possible conversion of our Series A preferred units was excluded from the calculation of diluted net income per common unit for the three and twelve months ended December 31, 2017 and 2016 as the effect was antidilutive.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center"/>
              <w:ind w:right="131"/>
              <w:spacing w:after="0"/>
              <w:rPr>
                <w:sz w:val="20"/>
                <w:szCs w:val="20"/>
                <w:color w:val="auto"/>
              </w:rPr>
            </w:pPr>
            <w:r>
              <w:rPr>
                <w:rFonts w:ascii="Arial" w:cs="Arial" w:eastAsia="Arial" w:hAnsi="Arial"/>
                <w:sz w:val="14"/>
                <w:szCs w:val="14"/>
                <w:b w:val="1"/>
                <w:bCs w:val="1"/>
                <w:color w:val="auto"/>
                <w:w w:val="93"/>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Supply and</w:t>
            </w:r>
          </w:p>
        </w:tc>
        <w:tc>
          <w:tcPr>
            <w:tcW w:w="14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center"/>
              <w:ind w:right="151"/>
              <w:spacing w:after="0"/>
              <w:rPr>
                <w:sz w:val="20"/>
                <w:szCs w:val="20"/>
                <w:color w:val="auto"/>
              </w:rPr>
            </w:pPr>
            <w:r>
              <w:rPr>
                <w:rFonts w:ascii="Arial" w:cs="Arial" w:eastAsia="Arial" w:hAnsi="Arial"/>
                <w:sz w:val="14"/>
                <w:szCs w:val="14"/>
                <w:b w:val="1"/>
                <w:bCs w:val="1"/>
                <w:color w:val="auto"/>
                <w:w w:val="90"/>
              </w:rPr>
              <w:t>Facilities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Logistics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7,308</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(7,151)</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(5,596)</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 (2)</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Segment general and administrative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(Gains)/losses from derivative activities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net of inventory valuation 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1"/>
              </w:rPr>
              <w:t>Long-term inventory costing adjustments</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6"/>
              </w:rPr>
              <w:t>Equity-indexed compensation expense</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Net loss on foreign currency revaluation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rPr>
              <w:t>Line 901 incident</w:t>
            </w:r>
          </w:p>
        </w:tc>
        <w:tc>
          <w:tcPr>
            <w:tcW w:w="160" w:type="dxa"/>
            <w:vAlign w:val="bottom"/>
          </w:tcPr>
          <w:p>
            <w:pPr>
              <w:spacing w:after="0"/>
              <w:rPr>
                <w:sz w:val="21"/>
                <w:szCs w:val="21"/>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right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278</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Includes intersegment amounts.</w:t>
      </w:r>
    </w:p>
    <w:p>
      <w:pPr>
        <w:spacing w:after="0" w:line="55"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Field operating costs and Segment general and administrative expenses include equity-indexed compensation expense.</w:t>
      </w:r>
    </w:p>
    <w:p>
      <w:pPr>
        <w:spacing w:after="0" w:line="56" w:lineRule="exact"/>
        <w:rPr>
          <w:rFonts w:ascii="Arial" w:cs="Arial" w:eastAsia="Arial" w:hAnsi="Arial"/>
          <w:sz w:val="24"/>
          <w:szCs w:val="24"/>
          <w:color w:val="auto"/>
          <w:vertAlign w:val="superscript"/>
        </w:rPr>
      </w:pPr>
    </w:p>
    <w:p>
      <w:pPr>
        <w:ind w:left="340" w:right="260" w:hanging="332"/>
        <w:spacing w:after="0" w:line="236"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40" w:lineRule="exact"/>
        <w:rPr>
          <w:rFonts w:ascii="Arial" w:cs="Arial" w:eastAsia="Arial" w:hAnsi="Arial"/>
          <w:sz w:val="22"/>
          <w:szCs w:val="22"/>
          <w:color w:val="auto"/>
          <w:vertAlign w:val="superscript"/>
        </w:rPr>
      </w:pPr>
    </w:p>
    <w:p>
      <w:pPr>
        <w:ind w:left="340" w:right="40" w:hanging="332"/>
        <w:spacing w:after="0" w:line="226"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Chief Operating Decision Maker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30"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gridSpan w:val="6"/>
          </w:tcPr>
          <w:p>
            <w:pPr>
              <w:jc w:val="center"/>
              <w:ind w:right="50"/>
              <w:spacing w:after="0"/>
              <w:rPr>
                <w:sz w:val="20"/>
                <w:szCs w:val="20"/>
                <w:color w:val="auto"/>
              </w:rPr>
            </w:pPr>
            <w:r>
              <w:rPr>
                <w:rFonts w:ascii="Arial" w:cs="Arial" w:eastAsia="Arial" w:hAnsi="Arial"/>
                <w:sz w:val="16"/>
                <w:szCs w:val="16"/>
                <w:b w:val="1"/>
                <w:bCs w:val="1"/>
                <w:color w:val="auto"/>
                <w:w w:val="92"/>
              </w:rPr>
              <w:t>Twelve Months Ended</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gridSpan w:val="6"/>
          </w:tcPr>
          <w:p>
            <w:pPr>
              <w:jc w:val="center"/>
              <w:ind w:right="50"/>
              <w:spacing w:after="0"/>
              <w:rPr>
                <w:sz w:val="20"/>
                <w:szCs w:val="20"/>
                <w:color w:val="auto"/>
              </w:rPr>
            </w:pPr>
            <w:r>
              <w:rPr>
                <w:rFonts w:ascii="Arial" w:cs="Arial" w:eastAsia="Arial" w:hAnsi="Arial"/>
                <w:sz w:val="16"/>
                <w:szCs w:val="16"/>
                <w:b w:val="1"/>
                <w:bCs w:val="1"/>
                <w:color w:val="auto"/>
                <w:w w:val="92"/>
              </w:rPr>
              <w:t>Twelve Months Ended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2017</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2016</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5"/>
              </w:rPr>
              <w:t>Transportation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center"/>
              <w:ind w:right="131"/>
              <w:spacing w:after="0"/>
              <w:rPr>
                <w:sz w:val="20"/>
                <w:szCs w:val="20"/>
                <w:color w:val="auto"/>
              </w:rPr>
            </w:pPr>
            <w:r>
              <w:rPr>
                <w:rFonts w:ascii="Arial" w:cs="Arial" w:eastAsia="Arial" w:hAnsi="Arial"/>
                <w:sz w:val="14"/>
                <w:szCs w:val="14"/>
                <w:b w:val="1"/>
                <w:bCs w:val="1"/>
                <w:color w:val="auto"/>
                <w:w w:val="93"/>
              </w:rPr>
              <w:t>Facilities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tcPr>
          <w:p>
            <w:pPr>
              <w:ind w:left="80"/>
              <w:spacing w:after="0" w:line="147" w:lineRule="exact"/>
              <w:rPr>
                <w:sz w:val="20"/>
                <w:szCs w:val="20"/>
                <w:color w:val="auto"/>
              </w:rPr>
            </w:pPr>
            <w:r>
              <w:rPr>
                <w:rFonts w:ascii="Arial" w:cs="Arial" w:eastAsia="Arial" w:hAnsi="Arial"/>
                <w:sz w:val="14"/>
                <w:szCs w:val="14"/>
                <w:b w:val="1"/>
                <w:bCs w:val="1"/>
                <w:color w:val="auto"/>
              </w:rPr>
              <w:t>Supply and</w:t>
            </w:r>
          </w:p>
        </w:tc>
        <w:tc>
          <w:tcPr>
            <w:tcW w:w="140" w:type="dxa"/>
            <w:vAlign w:val="bottom"/>
          </w:tcPr>
          <w:p>
            <w:pPr>
              <w:spacing w:after="0"/>
              <w:rPr>
                <w:sz w:val="12"/>
                <w:szCs w:val="12"/>
                <w:color w:val="auto"/>
              </w:rPr>
            </w:pPr>
          </w:p>
        </w:tc>
        <w:tc>
          <w:tcPr>
            <w:tcW w:w="10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5"/>
              </w:rPr>
              <w:t>Transportation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center"/>
              <w:ind w:right="151"/>
              <w:spacing w:after="0"/>
              <w:rPr>
                <w:sz w:val="20"/>
                <w:szCs w:val="20"/>
                <w:color w:val="auto"/>
              </w:rPr>
            </w:pPr>
            <w:r>
              <w:rPr>
                <w:rFonts w:ascii="Arial" w:cs="Arial" w:eastAsia="Arial" w:hAnsi="Arial"/>
                <w:sz w:val="14"/>
                <w:szCs w:val="14"/>
                <w:b w:val="1"/>
                <w:bCs w:val="1"/>
                <w:color w:val="auto"/>
                <w:w w:val="90"/>
              </w:rPr>
              <w:t>Facilities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192"/>
              <w:spacing w:after="0" w:line="147"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Logistics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25,065</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19,018</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(24,557)</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(18,627)</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(1) (2)</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Segment general and administrative</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(Gains)/losses from derivative activities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net of inventory valuation 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1"/>
              </w:rPr>
              <w:t>Long-term inventory costing adjustments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6"/>
              </w:rPr>
              <w:t>Equity-indexed compensation expense</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(gain)/loss on foreign currency</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rPr>
              <w:t>Line 901 incident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Significant acquisition-related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Includes intersegment amounts.</w:t>
      </w:r>
    </w:p>
    <w:p>
      <w:pPr>
        <w:spacing w:after="0" w:line="55"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Field operating costs and Segment general and administrative expenses include equity-indexed compensation expense.</w:t>
      </w:r>
    </w:p>
    <w:p>
      <w:pPr>
        <w:spacing w:after="0" w:line="56" w:lineRule="exact"/>
        <w:rPr>
          <w:rFonts w:ascii="Arial" w:cs="Arial" w:eastAsia="Arial" w:hAnsi="Arial"/>
          <w:sz w:val="24"/>
          <w:szCs w:val="24"/>
          <w:color w:val="auto"/>
          <w:vertAlign w:val="superscript"/>
        </w:rPr>
      </w:pPr>
    </w:p>
    <w:p>
      <w:pPr>
        <w:ind w:left="340" w:right="260" w:hanging="332"/>
        <w:spacing w:after="0" w:line="236"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40" w:lineRule="exact"/>
        <w:rPr>
          <w:rFonts w:ascii="Arial" w:cs="Arial" w:eastAsia="Arial" w:hAnsi="Arial"/>
          <w:sz w:val="22"/>
          <w:szCs w:val="22"/>
          <w:color w:val="auto"/>
          <w:vertAlign w:val="superscript"/>
        </w:rPr>
      </w:pPr>
    </w:p>
    <w:p>
      <w:pPr>
        <w:ind w:left="340" w:right="300" w:hanging="332"/>
        <w:spacing w:after="0" w:line="226"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30"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2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December</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2"/>
              </w:rPr>
              <w:t>Twelve Months Ended December</w:t>
            </w:r>
          </w:p>
        </w:tc>
      </w:tr>
      <w:tr>
        <w:trPr>
          <w:trHeight w:val="210"/>
        </w:trPr>
        <w:tc>
          <w:tcPr>
            <w:tcW w:w="6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0"/>
              </w:rPr>
              <w:t>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80"/>
              </w:rPr>
              <w:t>31,</w:t>
            </w:r>
          </w:p>
        </w:tc>
        <w:tc>
          <w:tcPr>
            <w:tcW w:w="88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Selected Items Impacting Comparability: </w:t>
            </w:r>
            <w:r>
              <w:rPr>
                <w:rFonts w:ascii="Arial" w:cs="Arial" w:eastAsia="Arial" w:hAnsi="Arial"/>
                <w:sz w:val="25"/>
                <w:szCs w:val="25"/>
                <w:b w:val="1"/>
                <w:bCs w:val="1"/>
                <w:color w:val="auto"/>
                <w:vertAlign w:val="superscript"/>
              </w:rPr>
              <w:t>(1)</w:t>
            </w:r>
          </w:p>
        </w:tc>
        <w:tc>
          <w:tcPr>
            <w:tcW w:w="7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5"/>
                <w:szCs w:val="25"/>
                <w:color w:val="auto"/>
                <w:vertAlign w:val="superscript"/>
              </w:rPr>
              <w:t>(2)</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(28)</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3"/>
                <w:szCs w:val="23"/>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(3)</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(4)</w:t>
            </w:r>
          </w:p>
        </w:tc>
        <w:tc>
          <w:tcPr>
            <w:tcW w:w="78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(5)</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(6)</w:t>
            </w:r>
          </w:p>
        </w:tc>
        <w:tc>
          <w:tcPr>
            <w:tcW w:w="78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(8)</w:t>
            </w:r>
          </w:p>
        </w:tc>
        <w:tc>
          <w:tcPr>
            <w:tcW w:w="78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loss on early repayment of senior notes </w:t>
            </w:r>
            <w:r>
              <w:rPr>
                <w:rFonts w:ascii="Arial" w:cs="Arial" w:eastAsia="Arial" w:hAnsi="Arial"/>
                <w:sz w:val="25"/>
                <w:szCs w:val="25"/>
                <w:color w:val="auto"/>
                <w:vertAlign w:val="superscript"/>
              </w:rPr>
              <w:t>(9)</w:t>
            </w:r>
          </w:p>
        </w:tc>
        <w:tc>
          <w:tcPr>
            <w:tcW w:w="78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Pr>
          <w:p>
            <w:pPr>
              <w:ind w:left="200"/>
              <w:spacing w:after="0"/>
              <w:rPr>
                <w:sz w:val="20"/>
                <w:szCs w:val="20"/>
                <w:color w:val="auto"/>
              </w:rPr>
            </w:pPr>
            <w:r>
              <w:rPr>
                <w:rFonts w:ascii="Arial" w:cs="Arial" w:eastAsia="Arial" w:hAnsi="Arial"/>
                <w:sz w:val="18"/>
                <w:szCs w:val="18"/>
                <w:color w:val="auto"/>
              </w:rPr>
              <w:t>Selected items impacting comparability - Adjusted EBITDA</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(68)</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7"/>
        </w:trPr>
        <w:tc>
          <w:tcPr>
            <w:tcW w:w="6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Losses from derivative activities </w:t>
            </w:r>
            <w:r>
              <w:rPr>
                <w:rFonts w:ascii="Arial" w:cs="Arial" w:eastAsia="Arial" w:hAnsi="Arial"/>
                <w:sz w:val="25"/>
                <w:szCs w:val="25"/>
                <w:color w:val="auto"/>
                <w:vertAlign w:val="superscript"/>
              </w:rPr>
              <w:t>(2)</w:t>
            </w: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Tax effect on selected items impacting comparability</w:t>
            </w:r>
          </w:p>
        </w:tc>
        <w:tc>
          <w:tcPr>
            <w:tcW w:w="7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67</w:t>
            </w:r>
          </w:p>
        </w:tc>
      </w:tr>
      <w:tr>
        <w:trPr>
          <w:trHeight w:val="27"/>
        </w:trPr>
        <w:tc>
          <w:tcPr>
            <w:tcW w:w="65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Selected items impacting comparability - Adjusted net income attributable to PAA</w:t>
            </w:r>
          </w:p>
        </w:tc>
        <w:tc>
          <w:tcPr>
            <w:tcW w:w="78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1"/>
          <w:szCs w:val="11"/>
          <w:color w:val="auto"/>
        </w:rPr>
      </w:pPr>
      <w:r>
        <w:rPr>
          <w:rFonts w:ascii="Arial" w:cs="Arial" w:eastAsia="Arial" w:hAnsi="Arial"/>
          <w:sz w:val="14"/>
          <w:szCs w:val="14"/>
          <w:color w:val="auto"/>
        </w:rPr>
        <w:t>Certain of our non-GAAP financial measures may not be impacted by each of the selected items impacting comparability.</w:t>
      </w:r>
    </w:p>
    <w:p>
      <w:pPr>
        <w:spacing w:after="0" w:line="55" w:lineRule="exact"/>
        <w:rPr>
          <w:rFonts w:ascii="Arial" w:cs="Arial" w:eastAsia="Arial" w:hAnsi="Arial"/>
          <w:sz w:val="11"/>
          <w:szCs w:val="11"/>
          <w:color w:val="auto"/>
        </w:rPr>
      </w:pPr>
    </w:p>
    <w:p>
      <w:pPr>
        <w:ind w:left="340" w:right="60" w:hanging="332"/>
        <w:spacing w:after="0" w:line="328" w:lineRule="auto"/>
        <w:tabs>
          <w:tab w:leader="none" w:pos="340" w:val="left"/>
        </w:tabs>
        <w:numPr>
          <w:ilvl w:val="0"/>
          <w:numId w:val="10"/>
        </w:numPr>
        <w:rPr>
          <w:rFonts w:ascii="Arial" w:cs="Arial" w:eastAsia="Arial" w:hAnsi="Arial"/>
          <w:sz w:val="10"/>
          <w:szCs w:val="10"/>
          <w:color w:val="auto"/>
        </w:rPr>
      </w:pPr>
      <w:r>
        <w:rPr>
          <w:rFonts w:ascii="Arial" w:cs="Arial" w:eastAsia="Arial" w:hAnsi="Arial"/>
          <w:sz w:val="11"/>
          <w:szCs w:val="11"/>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ind w:left="340" w:right="20" w:hanging="332"/>
        <w:spacing w:after="0" w:line="273" w:lineRule="auto"/>
        <w:tabs>
          <w:tab w:leader="none" w:pos="340" w:val="left"/>
        </w:tabs>
        <w:numPr>
          <w:ilvl w:val="0"/>
          <w:numId w:val="10"/>
        </w:numPr>
        <w:rPr>
          <w:rFonts w:ascii="Arial" w:cs="Arial" w:eastAsia="Arial" w:hAnsi="Arial"/>
          <w:sz w:val="10"/>
          <w:szCs w:val="10"/>
          <w:color w:val="auto"/>
        </w:rPr>
      </w:pPr>
      <w:r>
        <w:rPr>
          <w:rFonts w:ascii="Arial" w:cs="Arial" w:eastAsia="Arial" w:hAnsi="Arial"/>
          <w:sz w:val="13"/>
          <w:szCs w:val="13"/>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2" w:lineRule="exact"/>
        <w:rPr>
          <w:rFonts w:ascii="Arial" w:cs="Arial" w:eastAsia="Arial" w:hAnsi="Arial"/>
          <w:sz w:val="10"/>
          <w:szCs w:val="10"/>
          <w:color w:val="auto"/>
        </w:rPr>
      </w:pPr>
    </w:p>
    <w:p>
      <w:pPr>
        <w:ind w:left="340" w:right="40" w:hanging="332"/>
        <w:spacing w:after="0" w:line="265" w:lineRule="auto"/>
        <w:tabs>
          <w:tab w:leader="none" w:pos="340" w:val="left"/>
        </w:tabs>
        <w:numPr>
          <w:ilvl w:val="0"/>
          <w:numId w:val="10"/>
        </w:numPr>
        <w:rPr>
          <w:rFonts w:ascii="Arial" w:cs="Arial" w:eastAsia="Arial" w:hAnsi="Arial"/>
          <w:sz w:val="10"/>
          <w:szCs w:val="10"/>
          <w:color w:val="auto"/>
        </w:rPr>
      </w:pPr>
      <w:r>
        <w:rPr>
          <w:rFonts w:ascii="Arial" w:cs="Arial" w:eastAsia="Arial" w:hAnsi="Arial"/>
          <w:sz w:val="13"/>
          <w:szCs w:val="13"/>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9" w:lineRule="exact"/>
        <w:rPr>
          <w:rFonts w:ascii="Arial" w:cs="Arial" w:eastAsia="Arial" w:hAnsi="Arial"/>
          <w:sz w:val="10"/>
          <w:szCs w:val="10"/>
          <w:color w:val="auto"/>
        </w:rPr>
      </w:pPr>
    </w:p>
    <w:p>
      <w:pPr>
        <w:jc w:val="both"/>
        <w:ind w:left="340" w:hanging="332"/>
        <w:spacing w:after="0" w:line="333" w:lineRule="auto"/>
        <w:tabs>
          <w:tab w:leader="none" w:pos="340" w:val="left"/>
        </w:tabs>
        <w:numPr>
          <w:ilvl w:val="0"/>
          <w:numId w:val="10"/>
        </w:numPr>
        <w:rPr>
          <w:rFonts w:ascii="Arial" w:cs="Arial" w:eastAsia="Arial" w:hAnsi="Arial"/>
          <w:sz w:val="10"/>
          <w:szCs w:val="10"/>
          <w:color w:val="auto"/>
        </w:rPr>
      </w:pPr>
      <w:r>
        <w:rPr>
          <w:rFonts w:ascii="Arial" w:cs="Arial" w:eastAsia="Arial" w:hAnsi="Arial"/>
          <w:sz w:val="11"/>
          <w:szCs w:val="11"/>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ind w:left="340" w:right="180" w:hanging="332"/>
        <w:spacing w:after="0" w:line="260" w:lineRule="auto"/>
        <w:tabs>
          <w:tab w:leader="none" w:pos="340" w:val="left"/>
        </w:tabs>
        <w:numPr>
          <w:ilvl w:val="0"/>
          <w:numId w:val="10"/>
        </w:numPr>
        <w:rPr>
          <w:rFonts w:ascii="Arial" w:cs="Arial" w:eastAsia="Arial" w:hAnsi="Arial"/>
          <w:sz w:val="11"/>
          <w:szCs w:val="11"/>
          <w:color w:val="auto"/>
        </w:rPr>
      </w:pPr>
      <w:r>
        <w:rPr>
          <w:rFonts w:ascii="Arial" w:cs="Arial" w:eastAsia="Arial" w:hAnsi="Arial"/>
          <w:sz w:val="14"/>
          <w:szCs w:val="14"/>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29" w:lineRule="exact"/>
        <w:rPr>
          <w:rFonts w:ascii="Arial" w:cs="Arial" w:eastAsia="Arial" w:hAnsi="Arial"/>
          <w:sz w:val="11"/>
          <w:szCs w:val="11"/>
          <w:color w:val="auto"/>
        </w:rPr>
      </w:pPr>
    </w:p>
    <w:p>
      <w:pPr>
        <w:ind w:left="340" w:hanging="332"/>
        <w:spacing w:after="0"/>
        <w:tabs>
          <w:tab w:leader="none" w:pos="340" w:val="left"/>
        </w:tabs>
        <w:numPr>
          <w:ilvl w:val="0"/>
          <w:numId w:val="10"/>
        </w:numPr>
        <w:rPr>
          <w:rFonts w:ascii="Arial" w:cs="Arial" w:eastAsia="Arial" w:hAnsi="Arial"/>
          <w:sz w:val="11"/>
          <w:szCs w:val="11"/>
          <w:color w:val="auto"/>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w:t>
      </w:r>
    </w:p>
    <w:p>
      <w:pPr>
        <w:spacing w:after="0" w:line="55" w:lineRule="exact"/>
        <w:rPr>
          <w:rFonts w:ascii="Arial" w:cs="Arial" w:eastAsia="Arial" w:hAnsi="Arial"/>
          <w:sz w:val="11"/>
          <w:szCs w:val="11"/>
          <w:color w:val="auto"/>
        </w:rPr>
      </w:pPr>
    </w:p>
    <w:p>
      <w:pPr>
        <w:ind w:left="340" w:hanging="332"/>
        <w:spacing w:after="0"/>
        <w:tabs>
          <w:tab w:leader="none" w:pos="340" w:val="left"/>
        </w:tabs>
        <w:numPr>
          <w:ilvl w:val="0"/>
          <w:numId w:val="10"/>
        </w:numPr>
        <w:rPr>
          <w:rFonts w:ascii="Arial" w:cs="Arial" w:eastAsia="Arial" w:hAnsi="Arial"/>
          <w:sz w:val="11"/>
          <w:szCs w:val="11"/>
          <w:color w:val="auto"/>
        </w:rPr>
      </w:pPr>
      <w:r>
        <w:rPr>
          <w:rFonts w:ascii="Arial" w:cs="Arial" w:eastAsia="Arial" w:hAnsi="Arial"/>
          <w:sz w:val="14"/>
          <w:szCs w:val="14"/>
          <w:color w:val="auto"/>
        </w:rPr>
        <w:t>Includes acquisition-related expenses associated with the Alpha Crude Connector acquisition.</w:t>
      </w:r>
    </w:p>
    <w:p>
      <w:pPr>
        <w:spacing w:after="0" w:line="55" w:lineRule="exact"/>
        <w:rPr>
          <w:rFonts w:ascii="Arial" w:cs="Arial" w:eastAsia="Arial" w:hAnsi="Arial"/>
          <w:sz w:val="11"/>
          <w:szCs w:val="11"/>
          <w:color w:val="auto"/>
        </w:rPr>
      </w:pPr>
    </w:p>
    <w:p>
      <w:pPr>
        <w:ind w:left="340" w:hanging="332"/>
        <w:spacing w:after="0"/>
        <w:tabs>
          <w:tab w:leader="none" w:pos="340" w:val="left"/>
        </w:tabs>
        <w:numPr>
          <w:ilvl w:val="0"/>
          <w:numId w:val="10"/>
        </w:numPr>
        <w:rPr>
          <w:rFonts w:ascii="Arial" w:cs="Arial" w:eastAsia="Arial" w:hAnsi="Arial"/>
          <w:sz w:val="10"/>
          <w:szCs w:val="10"/>
          <w:color w:val="auto"/>
        </w:rPr>
      </w:pPr>
      <w:r>
        <w:rPr>
          <w:rFonts w:ascii="Arial" w:cs="Arial" w:eastAsia="Arial" w:hAnsi="Arial"/>
          <w:sz w:val="13"/>
          <w:szCs w:val="13"/>
          <w:color w:val="auto"/>
        </w:rPr>
        <w:t>Includes net losses incurred in connection with the early redemption of our (i) $600 million, 6.50% senior notes due May 2018 and (ii) $350 million, 8.75% senior notes due May 2019.</w:t>
      </w:r>
    </w:p>
    <w:p>
      <w:pPr>
        <w:spacing w:after="0" w:line="253" w:lineRule="exact"/>
        <w:rPr>
          <w:rFonts w:ascii="Arial" w:cs="Arial" w:eastAsia="Arial" w:hAnsi="Arial"/>
          <w:sz w:val="10"/>
          <w:szCs w:val="10"/>
          <w:color w:val="auto"/>
        </w:rPr>
      </w:pPr>
    </w:p>
    <w:p>
      <w:pPr>
        <w:ind w:left="5520" w:hanging="96"/>
        <w:spacing w:after="0"/>
        <w:tabs>
          <w:tab w:leader="none" w:pos="5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December 31,</w:t>
            </w:r>
          </w:p>
        </w:tc>
        <w:tc>
          <w:tcPr>
            <w:tcW w:w="234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Twelve Months Ended December 31,</w:t>
            </w:r>
          </w:p>
        </w:tc>
      </w:tr>
      <w:tr>
        <w:trPr>
          <w:trHeight w:val="264"/>
        </w:trPr>
        <w:tc>
          <w:tcPr>
            <w:tcW w:w="65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to Adjusted EBITDA and Implied DCF Reconciliation</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730</w:t>
            </w: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w:t>
            </w:r>
          </w:p>
        </w:tc>
      </w:tr>
      <w:tr>
        <w:trPr>
          <w:trHeight w:val="270"/>
        </w:trPr>
        <w:tc>
          <w:tcPr>
            <w:tcW w:w="6520" w:type="dxa"/>
            <w:vAlign w:val="bottom"/>
          </w:tcPr>
          <w:p>
            <w:pPr>
              <w:ind w:left="200"/>
              <w:spacing w:after="0"/>
              <w:rPr>
                <w:sz w:val="20"/>
                <w:szCs w:val="20"/>
                <w:color w:val="auto"/>
              </w:rPr>
            </w:pPr>
            <w:r>
              <w:rPr>
                <w:rFonts w:ascii="Arial" w:cs="Arial" w:eastAsia="Arial" w:hAnsi="Arial"/>
                <w:sz w:val="16"/>
                <w:szCs w:val="16"/>
                <w:color w:val="auto"/>
              </w:rPr>
              <w:t xml:space="preserve">Depreciation and amortization of unconsolidated entities </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270"/>
        </w:trPr>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Selected items impacting comparability - Adjusted EBITDA </w:t>
            </w:r>
            <w:r>
              <w:rPr>
                <w:rFonts w:ascii="Arial" w:cs="Arial" w:eastAsia="Arial" w:hAnsi="Arial"/>
                <w:sz w:val="21"/>
                <w:szCs w:val="21"/>
                <w:color w:val="auto"/>
                <w:vertAlign w:val="superscript"/>
              </w:rPr>
              <w:t>(2)</w:t>
            </w: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r>
      <w:tr>
        <w:trPr>
          <w:trHeight w:val="28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2,082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2,169</w:t>
            </w:r>
          </w:p>
        </w:tc>
      </w:tr>
      <w:tr>
        <w:trPr>
          <w:trHeight w:val="244"/>
        </w:trPr>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Interest expense, net </w:t>
            </w:r>
            <w:r>
              <w:rPr>
                <w:rFonts w:ascii="Arial" w:cs="Arial" w:eastAsia="Arial" w:hAnsi="Arial"/>
                <w:sz w:val="21"/>
                <w:szCs w:val="21"/>
                <w:color w:val="auto"/>
                <w:vertAlign w:val="superscript"/>
              </w:rPr>
              <w:t>(3)</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Maintenance capital</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Current 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70"/>
        </w:trPr>
        <w:tc>
          <w:tcPr>
            <w:tcW w:w="6520" w:type="dxa"/>
            <w:vAlign w:val="bottom"/>
          </w:tcPr>
          <w:p>
            <w:pPr>
              <w:ind w:left="200"/>
              <w:spacing w:after="0"/>
              <w:rPr>
                <w:sz w:val="20"/>
                <w:szCs w:val="20"/>
                <w:color w:val="auto"/>
              </w:rPr>
            </w:pPr>
            <w:r>
              <w:rPr>
                <w:rFonts w:ascii="Arial" w:cs="Arial" w:eastAsia="Arial" w:hAnsi="Arial"/>
                <w:sz w:val="16"/>
                <w:szCs w:val="16"/>
                <w:color w:val="auto"/>
              </w:rPr>
              <w:t xml:space="preserve">Adjusted equity earnings in unconsolidated entities, net of distributions </w:t>
            </w:r>
            <w:r>
              <w:rPr>
                <w:rFonts w:ascii="Arial" w:cs="Arial" w:eastAsia="Arial" w:hAnsi="Arial"/>
                <w:sz w:val="21"/>
                <w:szCs w:val="21"/>
                <w:color w:val="auto"/>
                <w:vertAlign w:val="superscript"/>
              </w:rPr>
              <w:t>(4)</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7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Distributions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Implied DCF </w:t>
            </w:r>
            <w:r>
              <w:rPr>
                <w:rFonts w:ascii="Arial" w:cs="Arial" w:eastAsia="Arial" w:hAnsi="Arial"/>
                <w:sz w:val="21"/>
                <w:szCs w:val="21"/>
                <w:color w:val="auto"/>
                <w:vertAlign w:val="superscript"/>
              </w:rPr>
              <w:t>(5)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1,414</w:t>
            </w:r>
          </w:p>
        </w:tc>
      </w:tr>
      <w:tr>
        <w:trPr>
          <w:trHeight w:val="270"/>
        </w:trPr>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Preferred unit cash distributions </w:t>
            </w:r>
            <w:r>
              <w:rPr>
                <w:rFonts w:ascii="Arial" w:cs="Arial" w:eastAsia="Arial" w:hAnsi="Arial"/>
                <w:sz w:val="21"/>
                <w:szCs w:val="21"/>
                <w:color w:val="auto"/>
                <w:vertAlign w:val="superscript"/>
              </w:rPr>
              <w:t>(6)</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520" w:type="dxa"/>
            <w:vAlign w:val="bottom"/>
          </w:tcPr>
          <w:p>
            <w:pPr>
              <w:ind w:left="200"/>
              <w:spacing w:after="0"/>
              <w:rPr>
                <w:sz w:val="20"/>
                <w:szCs w:val="20"/>
                <w:color w:val="auto"/>
              </w:rPr>
            </w:pPr>
            <w:r>
              <w:rPr>
                <w:rFonts w:ascii="Arial" w:cs="Arial" w:eastAsia="Arial" w:hAnsi="Arial"/>
                <w:sz w:val="16"/>
                <w:szCs w:val="16"/>
                <w:color w:val="auto"/>
              </w:rPr>
              <w:t xml:space="preserve">General partner cash distributions </w:t>
            </w:r>
            <w:r>
              <w:rPr>
                <w:rFonts w:ascii="Arial" w:cs="Arial" w:eastAsia="Arial" w:hAnsi="Arial"/>
                <w:sz w:val="21"/>
                <w:szCs w:val="21"/>
                <w:color w:val="auto"/>
                <w:vertAlign w:val="superscript"/>
              </w:rPr>
              <w:t>(7)</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(565)</w:t>
            </w:r>
          </w:p>
        </w:tc>
      </w:tr>
      <w:tr>
        <w:trPr>
          <w:trHeight w:val="244"/>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Implied DCF Available to Common Unitholders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849</w:t>
            </w: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7"/>
        </w:trPr>
        <w:tc>
          <w:tcPr>
            <w:tcW w:w="6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Implied DCF per Common Unit </w:t>
            </w:r>
            <w:r>
              <w:rPr>
                <w:rFonts w:ascii="Arial" w:cs="Arial" w:eastAsia="Arial" w:hAnsi="Arial"/>
                <w:sz w:val="21"/>
                <w:szCs w:val="21"/>
                <w:color w:val="auto"/>
                <w:vertAlign w:val="superscript"/>
              </w:rPr>
              <w:t>(8)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0.58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Implied DCF per Common Unit and Common Equivalent Unit </w:t>
            </w:r>
            <w:r>
              <w:rPr>
                <w:rFonts w:ascii="Arial" w:cs="Arial" w:eastAsia="Arial" w:hAnsi="Arial"/>
                <w:sz w:val="21"/>
                <w:szCs w:val="21"/>
                <w:color w:val="auto"/>
                <w:vertAlign w:val="superscript"/>
              </w:rPr>
              <w:t>(9)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3"/>
                <w:szCs w:val="23"/>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1.63</w:t>
            </w:r>
          </w:p>
        </w:tc>
      </w:tr>
      <w:tr>
        <w:trPr>
          <w:trHeight w:val="189"/>
        </w:trPr>
        <w:tc>
          <w:tcPr>
            <w:tcW w:w="6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Cash Distribution Paid per Common Unit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0.55</w:t>
            </w:r>
          </w:p>
        </w:tc>
        <w:tc>
          <w:tcPr>
            <w:tcW w:w="120" w:type="dxa"/>
            <w:vAlign w:val="bottom"/>
          </w:tcPr>
          <w:p>
            <w:pPr>
              <w:spacing w:after="0"/>
              <w:rPr>
                <w:sz w:val="20"/>
                <w:szCs w:val="20"/>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2.65</w:t>
            </w: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Common Unit Cash Distributions </w:t>
            </w:r>
            <w:r>
              <w:rPr>
                <w:rFonts w:ascii="Arial" w:cs="Arial" w:eastAsia="Arial" w:hAnsi="Arial"/>
                <w:sz w:val="21"/>
                <w:szCs w:val="21"/>
                <w:color w:val="auto"/>
                <w:vertAlign w:val="superscript"/>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1,627</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Common Unit Distribution Coverage Ratio</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1.92x</w:t>
            </w:r>
          </w:p>
        </w:tc>
        <w:tc>
          <w:tcPr>
            <w:tcW w:w="2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1.12x</w:t>
            </w: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0.94x</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0.87x</w:t>
            </w: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9"/>
        </w:trPr>
        <w:tc>
          <w:tcPr>
            <w:tcW w:w="6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Implied DCF Excess / (Shortage)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24955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1"/>
          <w:szCs w:val="11"/>
          <w:color w:val="auto"/>
        </w:rPr>
      </w:pPr>
      <w:r>
        <w:rPr>
          <w:rFonts w:ascii="Arial" w:cs="Arial" w:eastAsia="Arial" w:hAnsi="Arial"/>
          <w:sz w:val="14"/>
          <w:szCs w:val="14"/>
          <w:color w:val="auto"/>
        </w:rPr>
        <w:t>Adjustment to add back our proportionate share of depreciation and amortization expense and gains or losses on significant asset sales of unconsolidated entities.</w:t>
      </w:r>
    </w:p>
    <w:p>
      <w:pPr>
        <w:spacing w:after="0" w:line="55" w:lineRule="exact"/>
        <w:rPr>
          <w:rFonts w:ascii="Arial" w:cs="Arial" w:eastAsia="Arial" w:hAnsi="Arial"/>
          <w:sz w:val="11"/>
          <w:szCs w:val="11"/>
          <w:color w:val="auto"/>
        </w:rPr>
      </w:pPr>
    </w:p>
    <w:p>
      <w:pPr>
        <w:ind w:left="340" w:hanging="332"/>
        <w:spacing w:after="0"/>
        <w:tabs>
          <w:tab w:leader="none" w:pos="340" w:val="left"/>
        </w:tabs>
        <w:numPr>
          <w:ilvl w:val="0"/>
          <w:numId w:val="11"/>
        </w:numPr>
        <w:rPr>
          <w:rFonts w:ascii="Arial" w:cs="Arial" w:eastAsia="Arial" w:hAnsi="Arial"/>
          <w:sz w:val="11"/>
          <w:szCs w:val="11"/>
          <w:color w:val="auto"/>
        </w:rPr>
      </w:pPr>
      <w:r>
        <w:rPr>
          <w:rFonts w:ascii="Arial" w:cs="Arial" w:eastAsia="Arial" w:hAnsi="Arial"/>
          <w:sz w:val="14"/>
          <w:szCs w:val="14"/>
          <w:color w:val="auto"/>
        </w:rPr>
        <w:t>Certain of our non-GAAP financial measures may not be impacted by each of the selected items impacting comparability.</w:t>
      </w:r>
    </w:p>
    <w:p>
      <w:pPr>
        <w:spacing w:after="0" w:line="55" w:lineRule="exact"/>
        <w:rPr>
          <w:rFonts w:ascii="Arial" w:cs="Arial" w:eastAsia="Arial" w:hAnsi="Arial"/>
          <w:sz w:val="11"/>
          <w:szCs w:val="11"/>
          <w:color w:val="auto"/>
        </w:rPr>
      </w:pPr>
    </w:p>
    <w:p>
      <w:pPr>
        <w:ind w:left="340" w:hanging="332"/>
        <w:spacing w:after="0"/>
        <w:tabs>
          <w:tab w:leader="none" w:pos="340" w:val="left"/>
        </w:tabs>
        <w:numPr>
          <w:ilvl w:val="0"/>
          <w:numId w:val="11"/>
        </w:numPr>
        <w:rPr>
          <w:rFonts w:ascii="Arial" w:cs="Arial" w:eastAsia="Arial" w:hAnsi="Arial"/>
          <w:sz w:val="11"/>
          <w:szCs w:val="11"/>
          <w:color w:val="auto"/>
        </w:rPr>
      </w:pPr>
      <w:r>
        <w:rPr>
          <w:rFonts w:ascii="Arial" w:cs="Arial" w:eastAsia="Arial" w:hAnsi="Arial"/>
          <w:sz w:val="14"/>
          <w:szCs w:val="14"/>
          <w:color w:val="auto"/>
        </w:rPr>
        <w:t>Excludes certain non-cash items impacting interest expense such as amortization of debt issuance costs and terminated interest rate swaps.</w:t>
      </w:r>
    </w:p>
    <w:p>
      <w:pPr>
        <w:spacing w:after="0" w:line="55" w:lineRule="exact"/>
        <w:rPr>
          <w:rFonts w:ascii="Arial" w:cs="Arial" w:eastAsia="Arial" w:hAnsi="Arial"/>
          <w:sz w:val="11"/>
          <w:szCs w:val="11"/>
          <w:color w:val="auto"/>
        </w:rPr>
      </w:pPr>
    </w:p>
    <w:p>
      <w:pPr>
        <w:ind w:left="340" w:right="40" w:hanging="332"/>
        <w:spacing w:after="0" w:line="260"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4"/>
          <w:szCs w:val="14"/>
          <w:color w:val="auto"/>
        </w:rPr>
        <w:t>Represents the difference between non-cash equity earnings in unconsolidated entities (adjusted for our proportionate share of depreciation and amortization and gains or losses on significant asset sales) and cash distributions received from such entities.</w:t>
      </w:r>
    </w:p>
    <w:p>
      <w:pPr>
        <w:spacing w:after="0" w:line="29" w:lineRule="exact"/>
        <w:rPr>
          <w:rFonts w:ascii="Arial" w:cs="Arial" w:eastAsia="Arial" w:hAnsi="Arial"/>
          <w:sz w:val="11"/>
          <w:szCs w:val="11"/>
          <w:color w:val="auto"/>
        </w:rPr>
      </w:pPr>
    </w:p>
    <w:p>
      <w:pPr>
        <w:ind w:left="340" w:right="260" w:hanging="332"/>
        <w:spacing w:after="0" w:line="260"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4"/>
          <w:szCs w:val="14"/>
          <w:color w:val="auto"/>
        </w:rPr>
        <w:t>Including net costs recognized during the periods related to the Line 901 incident that occurred in May 2015, Implied DCF would have been $404 million and $1,280 million for the three and twelve months ended December 31, 2017, respectively.</w:t>
      </w:r>
    </w:p>
    <w:p>
      <w:pPr>
        <w:spacing w:after="0" w:line="29" w:lineRule="exact"/>
        <w:rPr>
          <w:rFonts w:ascii="Arial" w:cs="Arial" w:eastAsia="Arial" w:hAnsi="Arial"/>
          <w:sz w:val="11"/>
          <w:szCs w:val="11"/>
          <w:color w:val="auto"/>
        </w:rPr>
      </w:pPr>
    </w:p>
    <w:p>
      <w:pPr>
        <w:ind w:left="340" w:right="40" w:hanging="332"/>
        <w:spacing w:after="0" w:line="273" w:lineRule="auto"/>
        <w:tabs>
          <w:tab w:leader="none" w:pos="340" w:val="left"/>
        </w:tabs>
        <w:numPr>
          <w:ilvl w:val="0"/>
          <w:numId w:val="11"/>
        </w:numPr>
        <w:rPr>
          <w:rFonts w:ascii="Arial" w:cs="Arial" w:eastAsia="Arial" w:hAnsi="Arial"/>
          <w:sz w:val="10"/>
          <w:szCs w:val="10"/>
          <w:color w:val="auto"/>
        </w:rPr>
      </w:pPr>
      <w:r>
        <w:rPr>
          <w:rFonts w:ascii="Arial" w:cs="Arial" w:eastAsia="Arial" w:hAnsi="Arial"/>
          <w:sz w:val="13"/>
          <w:szCs w:val="13"/>
          <w:color w:val="auto"/>
        </w:rPr>
        <w:t>Cash distributions paid to our preferred unitholders during the period presented. The $0.5250 quarterly ($2.10 annualized) per unit distribution requirement of our Series A preferred units has been paid-in-kind for each quarterly distribution since their issuance; as such, no Series A preferred unit distributions are included for any periods presented. Distributions on our Series A preferred units must be paid in cash beginning with the May 2018 quarterly distribution. The $61.25 per unit annual distribution requirement of our Series B preferred units, which were issued in October 2017, is payable semi-annually in arrears on May 15 and November 15. A pro-rated initial distribution on the Series B preferred units was paid on November 15, 2017.</w:t>
      </w:r>
    </w:p>
    <w:p>
      <w:pPr>
        <w:spacing w:after="0" w:line="22" w:lineRule="exact"/>
        <w:rPr>
          <w:rFonts w:ascii="Arial" w:cs="Arial" w:eastAsia="Arial" w:hAnsi="Arial"/>
          <w:sz w:val="10"/>
          <w:szCs w:val="10"/>
          <w:color w:val="auto"/>
        </w:rPr>
      </w:pPr>
    </w:p>
    <w:p>
      <w:pPr>
        <w:ind w:left="340" w:right="160" w:hanging="332"/>
        <w:spacing w:after="0" w:line="260"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4"/>
          <w:szCs w:val="14"/>
          <w:color w:val="auto"/>
        </w:rPr>
        <w:t>The Simplification Transactions, which closed on November 15, 2016, simplified our governance structure and permanently eliminated our incentive distribution rights (IDRs) and the economic rights associated with our 2% general partner interest.</w:t>
      </w:r>
    </w:p>
    <w:p>
      <w:pPr>
        <w:spacing w:after="0" w:line="29" w:lineRule="exact"/>
        <w:rPr>
          <w:rFonts w:ascii="Arial" w:cs="Arial" w:eastAsia="Arial" w:hAnsi="Arial"/>
          <w:sz w:val="11"/>
          <w:szCs w:val="11"/>
          <w:color w:val="auto"/>
        </w:rPr>
      </w:pPr>
    </w:p>
    <w:p>
      <w:pPr>
        <w:ind w:left="340" w:right="380" w:hanging="332"/>
        <w:spacing w:after="0" w:line="260"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4"/>
          <w:szCs w:val="14"/>
          <w:color w:val="auto"/>
        </w:rPr>
        <w:t>Implied DCF Available to Common Unitholders for the period divided by the weighted average common units outstanding for the periods of 725 million, 660 million, 717 million and 464 million, respectively.</w:t>
      </w:r>
    </w:p>
    <w:p>
      <w:pPr>
        <w:spacing w:after="0" w:line="29" w:lineRule="exact"/>
        <w:rPr>
          <w:rFonts w:ascii="Arial" w:cs="Arial" w:eastAsia="Arial" w:hAnsi="Arial"/>
          <w:sz w:val="11"/>
          <w:szCs w:val="11"/>
          <w:color w:val="auto"/>
        </w:rPr>
      </w:pPr>
    </w:p>
    <w:p>
      <w:pPr>
        <w:ind w:left="340" w:right="20" w:hanging="332"/>
        <w:spacing w:after="0" w:line="279" w:lineRule="auto"/>
        <w:tabs>
          <w:tab w:leader="none" w:pos="340" w:val="left"/>
        </w:tabs>
        <w:numPr>
          <w:ilvl w:val="0"/>
          <w:numId w:val="11"/>
        </w:numPr>
        <w:rPr>
          <w:rFonts w:ascii="Arial" w:cs="Arial" w:eastAsia="Arial" w:hAnsi="Arial"/>
          <w:sz w:val="10"/>
          <w:szCs w:val="10"/>
          <w:color w:val="auto"/>
        </w:rPr>
      </w:pPr>
      <w:r>
        <w:rPr>
          <w:rFonts w:ascii="Arial" w:cs="Arial" w:eastAsia="Arial" w:hAnsi="Arial"/>
          <w:sz w:val="13"/>
          <w:szCs w:val="13"/>
          <w:color w:val="auto"/>
        </w:rPr>
        <w:t>Implied DCF Available to Common Unitholders for the period, adjusted for Series A preferred unit cash distributions paid (if any), divided by the weighted average common units and common equivalent units outstanding for the periods of 794 million, 724 million, 784 million and 522 million, respectively. Our Series A preferred units are convertible into common units, generally on a one-for-one basis and subject to customary anti-dilution adjustments, at any time after January 28, 2018, in whole or in part, subject to certain minimum conversion amounts.</w:t>
      </w:r>
    </w:p>
    <w:p>
      <w:pPr>
        <w:spacing w:after="0" w:line="18" w:lineRule="exact"/>
        <w:rPr>
          <w:rFonts w:ascii="Arial" w:cs="Arial" w:eastAsia="Arial" w:hAnsi="Arial"/>
          <w:sz w:val="10"/>
          <w:szCs w:val="10"/>
          <w:color w:val="auto"/>
        </w:rPr>
      </w:pPr>
    </w:p>
    <w:p>
      <w:pPr>
        <w:ind w:left="340" w:right="260" w:hanging="332"/>
        <w:spacing w:after="0" w:line="260"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4"/>
          <w:szCs w:val="14"/>
          <w:color w:val="auto"/>
        </w:rPr>
        <w:t>Cash distributions paid during the period presented. For the three and twelve months ended December 31, 2016, includes $101 million and $565 million, respectively, of cash distributions paid to the general partner during the period.</w:t>
      </w:r>
    </w:p>
    <w:p>
      <w:pPr>
        <w:spacing w:after="0" w:line="216" w:lineRule="exact"/>
        <w:rPr>
          <w:rFonts w:ascii="Arial" w:cs="Arial" w:eastAsia="Arial" w:hAnsi="Arial"/>
          <w:sz w:val="11"/>
          <w:szCs w:val="11"/>
          <w:color w:val="auto"/>
        </w:rPr>
      </w:pPr>
    </w:p>
    <w:p>
      <w:pPr>
        <w:ind w:left="5520" w:hanging="96"/>
        <w:spacing w:after="0"/>
        <w:tabs>
          <w:tab w:leader="none" w:pos="5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00" w:lineRule="exact"/>
        <w:rPr>
          <w:sz w:val="20"/>
          <w:szCs w:val="20"/>
          <w:color w:val="auto"/>
        </w:rPr>
      </w:pP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460" w:type="dxa"/>
            <w:vAlign w:val="bottom"/>
          </w:tcPr>
          <w:p>
            <w:pPr>
              <w:spacing w:after="0"/>
              <w:rPr>
                <w:sz w:val="17"/>
                <w:szCs w:val="17"/>
                <w:color w:val="auto"/>
              </w:rPr>
            </w:pPr>
          </w:p>
        </w:tc>
        <w:tc>
          <w:tcPr>
            <w:tcW w:w="2480" w:type="dxa"/>
            <w:vAlign w:val="bottom"/>
            <w:gridSpan w:val="7"/>
          </w:tcPr>
          <w:p>
            <w:pPr>
              <w:ind w:left="80"/>
              <w:spacing w:after="0"/>
              <w:rPr>
                <w:sz w:val="20"/>
                <w:szCs w:val="20"/>
                <w:color w:val="auto"/>
              </w:rPr>
            </w:pPr>
            <w:r>
              <w:rPr>
                <w:rFonts w:ascii="Arial" w:cs="Arial" w:eastAsia="Arial" w:hAnsi="Arial"/>
                <w:sz w:val="16"/>
                <w:szCs w:val="16"/>
                <w:b w:val="1"/>
                <w:bCs w:val="1"/>
                <w:color w:val="auto"/>
                <w:w w:val="99"/>
              </w:rPr>
              <w:t>Three Months Ended December</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2"/>
              </w:rPr>
              <w:t>Twelve Months Ended December</w:t>
            </w:r>
          </w:p>
        </w:tc>
      </w:tr>
      <w:tr>
        <w:trPr>
          <w:trHeight w:val="210"/>
        </w:trPr>
        <w:tc>
          <w:tcPr>
            <w:tcW w:w="6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8"/>
              </w:rPr>
              <w:t>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8"/>
              </w:rPr>
              <w:t>31,</w:t>
            </w:r>
          </w:p>
        </w:tc>
        <w:tc>
          <w:tcPr>
            <w:tcW w:w="880" w:type="dxa"/>
            <w:vAlign w:val="bottom"/>
          </w:tcPr>
          <w:p>
            <w:pPr>
              <w:spacing w:after="0"/>
              <w:rPr>
                <w:sz w:val="18"/>
                <w:szCs w:val="18"/>
                <w:color w:val="auto"/>
              </w:rPr>
            </w:pPr>
          </w:p>
        </w:tc>
      </w:tr>
      <w:tr>
        <w:trPr>
          <w:trHeight w:val="33"/>
        </w:trPr>
        <w:tc>
          <w:tcPr>
            <w:tcW w:w="6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r>
      <w:tr>
        <w:trPr>
          <w:trHeight w:val="33"/>
        </w:trPr>
        <w:tc>
          <w:tcPr>
            <w:tcW w:w="6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5"/>
        </w:trPr>
        <w:tc>
          <w:tcPr>
            <w:tcW w:w="64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6"/>
              </w:rPr>
              <w:t>Net Income Per Common Unit to Implied DCF Per Common Unit and Common</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1"/>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Equivalent Unit Reconciliation</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Basic net income per common unit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0.96</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0.43</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4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5"/>
                <w:szCs w:val="25"/>
                <w:color w:val="auto"/>
                <w:vertAlign w:val="superscript"/>
              </w:rPr>
              <w:t>(1) (2)</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r>
      <w:tr>
        <w:trPr>
          <w:trHeight w:val="297"/>
        </w:trPr>
        <w:tc>
          <w:tcPr>
            <w:tcW w:w="6460" w:type="dxa"/>
            <w:vAlign w:val="bottom"/>
          </w:tcPr>
          <w:p>
            <w:pPr>
              <w:ind w:left="20"/>
              <w:spacing w:after="0"/>
              <w:rPr>
                <w:sz w:val="20"/>
                <w:szCs w:val="20"/>
                <w:color w:val="auto"/>
              </w:rPr>
            </w:pPr>
            <w:r>
              <w:rPr>
                <w:rFonts w:ascii="Arial" w:cs="Arial" w:eastAsia="Arial" w:hAnsi="Arial"/>
                <w:sz w:val="18"/>
                <w:szCs w:val="18"/>
                <w:color w:val="auto"/>
              </w:rPr>
              <w:t>Implied DCF per common unit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0.58</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4"/>
                <w:szCs w:val="24"/>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1.83</w:t>
            </w:r>
          </w:p>
        </w:tc>
      </w:tr>
      <w:tr>
        <w:trPr>
          <w:trHeight w:val="284"/>
        </w:trPr>
        <w:tc>
          <w:tcPr>
            <w:tcW w:w="646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Basic net income per common unit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0.96</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0.43</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4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5"/>
                <w:szCs w:val="25"/>
                <w:color w:val="auto"/>
                <w:vertAlign w:val="superscript"/>
              </w:rPr>
              <w:t>(1) (3)</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r>
      <w:tr>
        <w:trPr>
          <w:trHeight w:val="257"/>
        </w:trPr>
        <w:tc>
          <w:tcPr>
            <w:tcW w:w="6460" w:type="dxa"/>
            <w:vAlign w:val="bottom"/>
          </w:tcPr>
          <w:p>
            <w:pPr>
              <w:ind w:left="20"/>
              <w:spacing w:after="0"/>
              <w:rPr>
                <w:sz w:val="20"/>
                <w:szCs w:val="20"/>
                <w:color w:val="auto"/>
              </w:rPr>
            </w:pPr>
            <w:r>
              <w:rPr>
                <w:rFonts w:ascii="Arial" w:cs="Arial" w:eastAsia="Arial" w:hAnsi="Arial"/>
                <w:sz w:val="18"/>
                <w:szCs w:val="18"/>
                <w:color w:val="auto"/>
              </w:rPr>
              <w:t>Implied DCF per common unit and common equivalent unit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0.53</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2"/>
                <w:szCs w:val="22"/>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1.67</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1.63</w:t>
            </w:r>
          </w:p>
        </w:tc>
      </w:tr>
      <w:tr>
        <w:trPr>
          <w:trHeight w:val="20"/>
        </w:trPr>
        <w:tc>
          <w:tcPr>
            <w:tcW w:w="6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440" w:hanging="332"/>
        <w:spacing w:after="0" w:line="216"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and Implied DCF Reconciliation” table for additional information.</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Based on weighted average common units outstanding for the period of 725 million, 660 million, 717 million and 464 million, respectively.</w:t>
      </w:r>
    </w:p>
    <w:p>
      <w:pPr>
        <w:spacing w:after="0" w:line="56" w:lineRule="exact"/>
        <w:rPr>
          <w:rFonts w:ascii="Arial" w:cs="Arial" w:eastAsia="Arial" w:hAnsi="Arial"/>
          <w:sz w:val="25"/>
          <w:szCs w:val="25"/>
          <w:color w:val="auto"/>
          <w:vertAlign w:val="superscript"/>
        </w:rPr>
      </w:pPr>
    </w:p>
    <w:p>
      <w:pPr>
        <w:ind w:left="340" w:right="180" w:hanging="332"/>
        <w:spacing w:after="0" w:line="208"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69 million, 64 million, 67 million and 58 million, respectively.</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2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December</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2"/>
              </w:rPr>
              <w:t>Twelve Months Ended December</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8"/>
              </w:rPr>
              <w:t>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80"/>
              </w:rPr>
              <w:t>31,</w:t>
            </w:r>
          </w:p>
        </w:tc>
        <w:tc>
          <w:tcPr>
            <w:tcW w:w="88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5"/>
        </w:trPr>
        <w:tc>
          <w:tcPr>
            <w:tcW w:w="65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Per Common Unit to Adjusted Net Income Per Common Unit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1"/>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Reconciliation</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net income per common unit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0.19</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0.96</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0.43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0.72</w:t>
            </w:r>
          </w:p>
        </w:tc>
      </w:tr>
      <w:tr>
        <w:trPr>
          <w:trHeight w:val="297"/>
        </w:trPr>
        <w:tc>
          <w:tcPr>
            <w:tcW w:w="6520" w:type="dxa"/>
            <w:vAlign w:val="bottom"/>
          </w:tcPr>
          <w:p>
            <w:pPr>
              <w:ind w:left="40"/>
              <w:spacing w:after="0"/>
              <w:rPr>
                <w:sz w:val="20"/>
                <w:szCs w:val="20"/>
                <w:color w:val="auto"/>
              </w:rPr>
            </w:pPr>
            <w:r>
              <w:rPr>
                <w:rFonts w:ascii="Arial" w:cs="Arial" w:eastAsia="Arial" w:hAnsi="Arial"/>
                <w:sz w:val="18"/>
                <w:szCs w:val="18"/>
                <w:color w:val="auto"/>
              </w:rPr>
              <w:t>Basic adjusted net income per common unit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0.26</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4"/>
                <w:szCs w:val="24"/>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0.95</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1.15</w:t>
            </w:r>
          </w:p>
        </w:tc>
      </w:tr>
      <w:tr>
        <w:trPr>
          <w:trHeight w:val="284"/>
        </w:trPr>
        <w:tc>
          <w:tcPr>
            <w:tcW w:w="65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Diluted net income per common unit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0.19</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0.95</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0.43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0.71</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Diluted adjusted net income per common unit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0.26</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2"/>
                <w:szCs w:val="22"/>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0.94</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1.14</w:t>
            </w:r>
          </w:p>
        </w:tc>
      </w:tr>
      <w:tr>
        <w:trPr>
          <w:trHeight w:val="20"/>
        </w:trPr>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540" w:hanging="332"/>
        <w:spacing w:after="0" w:line="216"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2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December</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2"/>
              </w:rPr>
              <w:t>Twelve Months Ended December</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0"/>
              </w:rPr>
              <w:t>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80"/>
              </w:rPr>
              <w:t>31,</w:t>
            </w:r>
          </w:p>
        </w:tc>
        <w:tc>
          <w:tcPr>
            <w:tcW w:w="88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Adjusted Net Income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856</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726</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w w:val="93"/>
              </w:rPr>
              <w:t xml:space="preserve">Selected items impacting comparability - Adjusted net income attributable to PAA </w:t>
            </w:r>
            <w:r>
              <w:rPr>
                <w:rFonts w:ascii="Arial" w:cs="Arial" w:eastAsia="Arial" w:hAnsi="Arial"/>
                <w:sz w:val="25"/>
                <w:szCs w:val="25"/>
                <w:color w:val="auto"/>
                <w:w w:val="93"/>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241</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849</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1,062</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Series B preferred unitholders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income allocated to common unitholders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r>
      <w:tr>
        <w:trPr>
          <w:trHeight w:val="230"/>
        </w:trPr>
        <w:tc>
          <w:tcPr>
            <w:tcW w:w="6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4"/>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adjusted net income per common unit</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Adjusted Net Income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856</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726</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w w:val="93"/>
              </w:rPr>
              <w:t xml:space="preserve">Selected items impacting comparability - Adjusted net income attributable to PAA </w:t>
            </w:r>
            <w:r>
              <w:rPr>
                <w:rFonts w:ascii="Arial" w:cs="Arial" w:eastAsia="Arial" w:hAnsi="Arial"/>
                <w:sz w:val="25"/>
                <w:szCs w:val="25"/>
                <w:color w:val="auto"/>
                <w:w w:val="93"/>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241</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849</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1,062</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Series B preferred unitholders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income allocated to common unitholders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LTIP units </w:t>
            </w:r>
            <w:r>
              <w:rPr>
                <w:rFonts w:ascii="Arial" w:cs="Arial" w:eastAsia="Arial" w:hAnsi="Arial"/>
                <w:sz w:val="25"/>
                <w:szCs w:val="25"/>
                <w:color w:val="auto"/>
                <w:vertAlign w:val="superscript"/>
              </w:rPr>
              <w:t>(3)</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w:t>
            </w:r>
          </w:p>
        </w:tc>
      </w:tr>
      <w:tr>
        <w:trPr>
          <w:trHeight w:val="217"/>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5"/>
                <w:szCs w:val="25"/>
                <w:color w:val="auto"/>
                <w:vertAlign w:val="superscript"/>
              </w:rPr>
              <w:t>(4)</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0.26</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3"/>
                <w:szCs w:val="23"/>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0.94</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0"/>
        </w:trPr>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1" w:lineRule="exact"/>
        <w:rPr>
          <w:sz w:val="20"/>
          <w:szCs w:val="20"/>
          <w:color w:val="auto"/>
        </w:rPr>
      </w:pPr>
    </w:p>
    <w:p>
      <w:pPr>
        <w:ind w:left="340" w:right="180" w:hanging="332"/>
        <w:spacing w:after="0"/>
        <w:tabs>
          <w:tab w:leader="none" w:pos="340" w:val="left"/>
        </w:tabs>
        <w:numPr>
          <w:ilvl w:val="0"/>
          <w:numId w:val="14"/>
        </w:numPr>
        <w:rPr>
          <w:rFonts w:ascii="Arial" w:cs="Arial" w:eastAsia="Arial" w:hAnsi="Arial"/>
          <w:sz w:val="23"/>
          <w:szCs w:val="23"/>
          <w:color w:val="auto"/>
          <w:vertAlign w:val="superscript"/>
        </w:rPr>
      </w:pPr>
      <w:r>
        <w:rPr>
          <w:rFonts w:ascii="Arial" w:cs="Arial" w:eastAsia="Arial" w:hAnsi="Arial"/>
          <w:sz w:val="14"/>
          <w:szCs w:val="14"/>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(“undistributed loss”), if any, are allocated to the general partner (for periods prior to the Simplification Transactions), common unitholders and participating securities in accordance with the contractual terms of our partnership agreement in effect for the period and as further prescribed under the two-class method. The Simplification Transactions, which closed on November 15, 2016, simplified our governance structure and permanently eliminated our IDRs and the economic rights associated with our 2% general partner interest. As such, beginning with the distribution pertaining to the fourth quarter of 2016, our general partner is no longer entitled to receive distributions from these interests.</w:t>
      </w:r>
    </w:p>
    <w:p>
      <w:pPr>
        <w:spacing w:after="0" w:line="2" w:lineRule="exact"/>
        <w:rPr>
          <w:rFonts w:ascii="Arial" w:cs="Arial" w:eastAsia="Arial" w:hAnsi="Arial"/>
          <w:sz w:val="23"/>
          <w:szCs w:val="23"/>
          <w:color w:val="auto"/>
          <w:vertAlign w:val="superscript"/>
        </w:rPr>
      </w:pPr>
    </w:p>
    <w:p>
      <w:pPr>
        <w:ind w:left="340" w:hanging="332"/>
        <w:spacing w:after="0" w:line="191"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color w:val="auto"/>
        </w:rPr>
        <w:t>Certain of our non-GAAP financial measures may not be impacted by each of the selected items impacting comparability.</w:t>
      </w:r>
    </w:p>
    <w:p>
      <w:pPr>
        <w:spacing w:after="0" w:line="48" w:lineRule="exact"/>
        <w:rPr>
          <w:rFonts w:ascii="Arial" w:cs="Arial" w:eastAsia="Arial" w:hAnsi="Arial"/>
          <w:sz w:val="25"/>
          <w:szCs w:val="25"/>
          <w:color w:val="auto"/>
          <w:vertAlign w:val="superscript"/>
        </w:rPr>
      </w:pPr>
    </w:p>
    <w:p>
      <w:pPr>
        <w:ind w:left="340" w:right="100" w:hanging="332"/>
        <w:spacing w:after="0" w:line="202"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color w:val="auto"/>
        </w:rPr>
        <w:t>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36" w:lineRule="exact"/>
        <w:rPr>
          <w:rFonts w:ascii="Arial" w:cs="Arial" w:eastAsia="Arial" w:hAnsi="Arial"/>
          <w:sz w:val="25"/>
          <w:szCs w:val="25"/>
          <w:color w:val="auto"/>
          <w:vertAlign w:val="superscript"/>
        </w:rPr>
      </w:pPr>
    </w:p>
    <w:p>
      <w:pPr>
        <w:ind w:left="340" w:right="200" w:hanging="332"/>
        <w:spacing w:after="0" w:line="193"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color w:val="auto"/>
        </w:rPr>
        <w:t>The possible conversion of our Series A preferred units was excluded from the calculation of diluted adjusted net income per common unit for the three and twelve months ended December 31, 2017 and 2016 as the effect was antidilutive.</w:t>
      </w:r>
    </w:p>
    <w:p>
      <w:pPr>
        <w:spacing w:after="0" w:line="223"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December 31, 2017</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2016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3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PAA</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PAA</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7,605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6,746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6,746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5,234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7,345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5,735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INCOME/(LOSS)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Net income attributable to</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INCOME/(LOSS)</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20" w:type="dxa"/>
            <w:vAlign w:val="bottom"/>
            <w:vMerge w:val="restart"/>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ATTRIBUTABLE TO PAGP</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450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100" w:type="dxa"/>
            <w:vAlign w:val="bottom"/>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WEIGHTED AVERAGE CLASS A SHARES</w:t>
            </w:r>
          </w:p>
        </w:tc>
        <w:tc>
          <w:tcPr>
            <w:tcW w:w="2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8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32"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Twelve Months Ended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Twelve Months Ended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 2017</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December 31, 2016</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Consolidating</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Consolidating</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3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PAA</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PAA</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26,223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26,223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20,182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20,182</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22,985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22,985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17,233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17,233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25,070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25,076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19,188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19,192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Equity earnings in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benefit/(expense)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Net income attributable to</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INCOME/(LOSS)</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856</w:t>
            </w:r>
          </w:p>
        </w:tc>
        <w:tc>
          <w:tcPr>
            <w:tcW w:w="120" w:type="dxa"/>
            <w:vAlign w:val="bottom"/>
            <w:vMerge w:val="restart"/>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726</w:t>
            </w:r>
          </w:p>
        </w:tc>
        <w:tc>
          <w:tcPr>
            <w:tcW w:w="100" w:type="dxa"/>
            <w:vAlign w:val="bottom"/>
            <w:vMerge w:val="restart"/>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ATTRIBUTABLE TO PAGP</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gridSpan w:val="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
        </w:trPr>
        <w:tc>
          <w:tcPr>
            <w:tcW w:w="4460" w:type="dxa"/>
            <w:vAlign w:val="bottom"/>
            <w:gridSpan w:val="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040" w:type="dxa"/>
            <w:vAlign w:val="bottom"/>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WEIGHTED AVERAGE CLASS A SHARES</w:t>
            </w:r>
          </w:p>
        </w:tc>
        <w:tc>
          <w:tcPr>
            <w:tcW w:w="22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8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32"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00"/>
          </w:cols>
          <w:pgMar w:left="240" w:top="341"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December 31, 2017</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2016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03"/>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PAA</w:t>
            </w:r>
          </w:p>
        </w:tc>
        <w:tc>
          <w:tcPr>
            <w:tcW w:w="18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(1)</w:t>
            </w:r>
          </w:p>
        </w:tc>
        <w:tc>
          <w:tcPr>
            <w:tcW w:w="240" w:type="dxa"/>
            <w:vAlign w:val="bottom"/>
          </w:tcPr>
          <w:p>
            <w:pPr>
              <w:spacing w:after="0"/>
              <w:rPr>
                <w:sz w:val="24"/>
                <w:szCs w:val="24"/>
                <w:color w:val="auto"/>
              </w:rPr>
            </w:pPr>
          </w:p>
        </w:tc>
        <w:tc>
          <w:tcPr>
            <w:tcW w:w="11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PAGP</w:t>
            </w:r>
          </w:p>
        </w:tc>
        <w:tc>
          <w:tcPr>
            <w:tcW w:w="26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PAA</w:t>
            </w: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240" w:type="dxa"/>
            <w:vAlign w:val="bottom"/>
          </w:tcPr>
          <w:p>
            <w:pPr>
              <w:spacing w:after="0"/>
              <w:rPr>
                <w:sz w:val="24"/>
                <w:szCs w:val="24"/>
                <w:color w:val="auto"/>
              </w:rPr>
            </w:pPr>
          </w:p>
        </w:tc>
        <w:tc>
          <w:tcPr>
            <w:tcW w:w="900" w:type="dxa"/>
            <w:vAlign w:val="bottom"/>
          </w:tcPr>
          <w:p>
            <w:pPr>
              <w:jc w:val="right"/>
              <w:ind w:right="270"/>
              <w:spacing w:after="0"/>
              <w:rPr>
                <w:sz w:val="20"/>
                <w:szCs w:val="20"/>
                <w:color w:val="auto"/>
              </w:rPr>
            </w:pPr>
            <w:r>
              <w:rPr>
                <w:rFonts w:ascii="Arial" w:cs="Arial" w:eastAsia="Arial" w:hAnsi="Arial"/>
                <w:sz w:val="16"/>
                <w:szCs w:val="16"/>
                <w:b w:val="1"/>
                <w:bCs w:val="1"/>
                <w:color w:val="auto"/>
              </w:rPr>
              <w:t>PAGP</w:t>
            </w:r>
          </w:p>
        </w:tc>
      </w:tr>
      <w:tr>
        <w:trPr>
          <w:trHeight w:val="244"/>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4,003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4,275</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14,105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13,890</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2,566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2,344</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1,386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1,876</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Linefill and base gas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97"/>
        </w:trPr>
        <w:tc>
          <w:tcPr>
            <w:tcW w:w="32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25,351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26,753</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26,103</w:t>
            </w:r>
          </w:p>
        </w:tc>
      </w:tr>
      <w:tr>
        <w:trPr>
          <w:trHeight w:val="271"/>
        </w:trPr>
        <w:tc>
          <w:tcPr>
            <w:tcW w:w="3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5"/>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LIABILITIES AND PARTNERS'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CAPITAL</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4,666</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2"/>
              </w:rPr>
              <w:t>Senior notes, net of unamortized discounts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and debt issuance costs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8,933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8,933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9,874</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606</w:t>
            </w: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14,395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15,396</w:t>
            </w:r>
          </w:p>
        </w:tc>
      </w:tr>
      <w:tr>
        <w:trPr>
          <w:trHeight w:val="284"/>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Partners' capital excluding noncontrolling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10,663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10,663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8,913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8,970</w:t>
            </w: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12,358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10,707</w:t>
            </w:r>
          </w:p>
        </w:tc>
      </w:tr>
      <w:tr>
        <w:trPr>
          <w:trHeight w:val="257"/>
        </w:trPr>
        <w:tc>
          <w:tcPr>
            <w:tcW w:w="320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25,351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26,753</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26,103</w:t>
            </w:r>
          </w:p>
        </w:tc>
      </w:tr>
      <w:tr>
        <w:trPr>
          <w:trHeight w:val="20"/>
        </w:trPr>
        <w:tc>
          <w:tcPr>
            <w:tcW w:w="3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ind w:right="414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INCOME/(LOSS) PER CLASS A SHARE </w:t>
      </w:r>
      <w:r>
        <w:rPr>
          <w:rFonts w:ascii="Arial" w:cs="Arial" w:eastAsia="Arial" w:hAnsi="Arial"/>
          <w:sz w:val="18"/>
          <w:szCs w:val="18"/>
          <w:color w:val="auto"/>
        </w:rPr>
        <w:t>(in millions, except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2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December</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2"/>
              </w:rPr>
              <w:t>Twelve Months Ended December</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0"/>
              </w:rPr>
              <w:t>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80"/>
              </w:rPr>
              <w:t>31,</w:t>
            </w:r>
          </w:p>
        </w:tc>
        <w:tc>
          <w:tcPr>
            <w:tcW w:w="88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2"/>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2"/>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Net income/(loss) attributable to PAGP</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(800)</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(731)</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94</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and diluted weighted average Class A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r>
      <w:tr>
        <w:trPr>
          <w:trHeight w:val="28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Basic and diluted net income/(loss) per Class A share </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480" w:hanging="332"/>
        <w:spacing w:after="0" w:line="216"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For the three and twelve months ended December 31, 2017 and 2016, the possible exchange of any AAP units and certain AAP Management Units would not have had a dilutive effect on basic net income/(loss) per Class A share.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840" w:type="dxa"/>
            <w:vAlign w:val="bottom"/>
          </w:tcPr>
          <w:p>
            <w:pPr>
              <w:spacing w:after="0"/>
              <w:rPr>
                <w:sz w:val="17"/>
                <w:szCs w:val="17"/>
                <w:color w:val="auto"/>
              </w:rPr>
            </w:pPr>
          </w:p>
        </w:tc>
        <w:tc>
          <w:tcPr>
            <w:tcW w:w="414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5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Roy Lamoreaux</w:t>
            </w:r>
          </w:p>
        </w:tc>
        <w:tc>
          <w:tcPr>
            <w:tcW w:w="2840" w:type="dxa"/>
            <w:vAlign w:val="bottom"/>
          </w:tcPr>
          <w:p>
            <w:pPr>
              <w:ind w:left="1300"/>
              <w:spacing w:after="0"/>
              <w:rPr>
                <w:sz w:val="20"/>
                <w:szCs w:val="20"/>
                <w:color w:val="auto"/>
              </w:rPr>
            </w:pPr>
            <w:r>
              <w:rPr>
                <w:rFonts w:ascii="Arial" w:cs="Arial" w:eastAsia="Arial" w:hAnsi="Arial"/>
                <w:sz w:val="18"/>
                <w:szCs w:val="18"/>
                <w:color w:val="auto"/>
              </w:rPr>
              <w:t>Brett Magill</w:t>
            </w:r>
          </w:p>
        </w:tc>
        <w:tc>
          <w:tcPr>
            <w:tcW w:w="4140" w:type="dxa"/>
            <w:vAlign w:val="bottom"/>
          </w:tcPr>
          <w:p>
            <w:pPr>
              <w:spacing w:after="0"/>
              <w:rPr>
                <w:sz w:val="24"/>
                <w:szCs w:val="24"/>
                <w:color w:val="auto"/>
              </w:rPr>
            </w:pPr>
          </w:p>
        </w:tc>
      </w:tr>
      <w:tr>
        <w:trPr>
          <w:trHeight w:val="270"/>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Vice President, Investor Relations &amp; Communications</w:t>
            </w:r>
          </w:p>
        </w:tc>
        <w:tc>
          <w:tcPr>
            <w:tcW w:w="6980" w:type="dxa"/>
            <w:vAlign w:val="bottom"/>
            <w:gridSpan w:val="2"/>
          </w:tcPr>
          <w:p>
            <w:pPr>
              <w:ind w:left="1300"/>
              <w:spacing w:after="0"/>
              <w:rPr>
                <w:sz w:val="20"/>
                <w:szCs w:val="20"/>
                <w:color w:val="auto"/>
              </w:rPr>
            </w:pPr>
            <w:r>
              <w:rPr>
                <w:rFonts w:ascii="Arial" w:cs="Arial" w:eastAsia="Arial" w:hAnsi="Arial"/>
                <w:sz w:val="18"/>
                <w:szCs w:val="18"/>
                <w:color w:val="auto"/>
              </w:rPr>
              <w:t>Manager, Investor Relations</w:t>
            </w:r>
          </w:p>
        </w:tc>
      </w:tr>
      <w:tr>
        <w:trPr>
          <w:trHeight w:val="270"/>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(866) 809-1291</w:t>
            </w:r>
          </w:p>
        </w:tc>
        <w:tc>
          <w:tcPr>
            <w:tcW w:w="2840" w:type="dxa"/>
            <w:vAlign w:val="bottom"/>
          </w:tcPr>
          <w:p>
            <w:pPr>
              <w:ind w:left="1300"/>
              <w:spacing w:after="0"/>
              <w:rPr>
                <w:sz w:val="20"/>
                <w:szCs w:val="20"/>
                <w:color w:val="auto"/>
              </w:rPr>
            </w:pPr>
            <w:r>
              <w:rPr>
                <w:rFonts w:ascii="Arial" w:cs="Arial" w:eastAsia="Arial" w:hAnsi="Arial"/>
                <w:sz w:val="18"/>
                <w:szCs w:val="18"/>
                <w:color w:val="auto"/>
              </w:rPr>
              <w:t>(866) 809-1291</w:t>
            </w:r>
          </w:p>
        </w:tc>
        <w:tc>
          <w:tcPr>
            <w:tcW w:w="4140" w:type="dxa"/>
            <w:vAlign w:val="bottom"/>
          </w:tcPr>
          <w:p>
            <w:pPr>
              <w:spacing w:after="0"/>
              <w:rPr>
                <w:sz w:val="23"/>
                <w:szCs w:val="23"/>
                <w:color w:val="auto"/>
              </w:rPr>
            </w:pPr>
          </w:p>
        </w:tc>
      </w:tr>
      <w:tr>
        <w:trPr>
          <w:trHeight w:val="702"/>
        </w:trPr>
        <w:tc>
          <w:tcPr>
            <w:tcW w:w="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40" w:type="dxa"/>
            <w:vAlign w:val="bottom"/>
          </w:tcPr>
          <w:p>
            <w:pPr>
              <w:jc w:val="right"/>
              <w:ind w:right="1350"/>
              <w:spacing w:after="0"/>
              <w:rPr>
                <w:sz w:val="20"/>
                <w:szCs w:val="20"/>
                <w:color w:val="auto"/>
              </w:rPr>
            </w:pPr>
            <w:r>
              <w:rPr>
                <w:rFonts w:ascii="Arial" w:cs="Arial" w:eastAsia="Arial" w:hAnsi="Arial"/>
                <w:sz w:val="18"/>
                <w:szCs w:val="18"/>
                <w:color w:val="auto"/>
              </w:rPr>
              <w:t>###</w:t>
            </w:r>
          </w:p>
        </w:tc>
        <w:tc>
          <w:tcPr>
            <w:tcW w:w="4140" w:type="dxa"/>
            <w:vAlign w:val="bottom"/>
          </w:tcPr>
          <w:p>
            <w:pPr>
              <w:spacing w:after="0"/>
              <w:rPr>
                <w:sz w:val="24"/>
                <w:szCs w:val="24"/>
                <w:color w:val="auto"/>
              </w:rPr>
            </w:pPr>
          </w:p>
        </w:tc>
      </w:tr>
      <w:tr>
        <w:trPr>
          <w:trHeight w:val="243"/>
        </w:trPr>
        <w:tc>
          <w:tcPr>
            <w:tcW w:w="64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r>
      <w:tr>
        <w:trPr>
          <w:trHeight w:val="345"/>
        </w:trPr>
        <w:tc>
          <w:tcPr>
            <w:tcW w:w="640" w:type="dxa"/>
            <w:vAlign w:val="bottom"/>
          </w:tcPr>
          <w:p>
            <w:pPr>
              <w:spacing w:after="0"/>
              <w:rPr>
                <w:sz w:val="24"/>
                <w:szCs w:val="24"/>
                <w:color w:val="auto"/>
              </w:rPr>
            </w:pPr>
          </w:p>
        </w:tc>
        <w:tc>
          <w:tcPr>
            <w:tcW w:w="3800" w:type="dxa"/>
            <w:vAlign w:val="bottom"/>
          </w:tcPr>
          <w:p>
            <w:pPr>
              <w:ind w:left="1160"/>
              <w:spacing w:after="0"/>
              <w:rPr>
                <w:sz w:val="20"/>
                <w:szCs w:val="20"/>
                <w:color w:val="auto"/>
              </w:rPr>
            </w:pPr>
            <w:r>
              <w:rPr>
                <w:rFonts w:ascii="Arial" w:cs="Arial" w:eastAsia="Arial" w:hAnsi="Arial"/>
                <w:sz w:val="18"/>
                <w:szCs w:val="18"/>
                <w:b w:val="1"/>
                <w:bCs w:val="1"/>
                <w:color w:val="auto"/>
              </w:rPr>
              <w:t>333 Clay Street, Suite 1600</w:t>
            </w:r>
          </w:p>
        </w:tc>
        <w:tc>
          <w:tcPr>
            <w:tcW w:w="2840" w:type="dxa"/>
            <w:vAlign w:val="bottom"/>
          </w:tcPr>
          <w:p>
            <w:pPr>
              <w:ind w:left="500"/>
              <w:spacing w:after="0"/>
              <w:rPr>
                <w:sz w:val="20"/>
                <w:szCs w:val="20"/>
                <w:color w:val="auto"/>
              </w:rPr>
            </w:pPr>
            <w:r>
              <w:rPr>
                <w:rFonts w:ascii="Arial" w:cs="Arial" w:eastAsia="Arial" w:hAnsi="Arial"/>
                <w:sz w:val="18"/>
                <w:szCs w:val="18"/>
                <w:b w:val="1"/>
                <w:bCs w:val="1"/>
                <w:color w:val="auto"/>
              </w:rPr>
              <w:t>Houston, Texas 77002</w:t>
            </w:r>
          </w:p>
        </w:tc>
        <w:tc>
          <w:tcPr>
            <w:tcW w:w="4140" w:type="dxa"/>
            <w:vAlign w:val="bottom"/>
          </w:tcPr>
          <w:p>
            <w:pPr>
              <w:jc w:val="right"/>
              <w:ind w:right="1450"/>
              <w:spacing w:after="0"/>
              <w:rPr>
                <w:sz w:val="20"/>
                <w:szCs w:val="20"/>
                <w:color w:val="auto"/>
              </w:rPr>
            </w:pPr>
            <w:r>
              <w:rPr>
                <w:rFonts w:ascii="Arial" w:cs="Arial" w:eastAsia="Arial" w:hAnsi="Arial"/>
                <w:sz w:val="18"/>
                <w:szCs w:val="18"/>
                <w:b w:val="1"/>
                <w:bCs w:val="1"/>
                <w:color w:val="auto"/>
              </w:rPr>
              <w:t>713-646-4100 / 866-809-1291</w:t>
            </w:r>
          </w:p>
        </w:tc>
      </w:tr>
    </w:tbl>
    <w:p>
      <w:pPr>
        <w:spacing w:after="0" w:line="1" w:lineRule="exact"/>
        <w:rPr>
          <w:sz w:val="20"/>
          <w:szCs w:val="20"/>
          <w:color w:val="auto"/>
        </w:rPr>
      </w:pP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lvl w:ilvl="1">
      <w:lvlJc w:val="left"/>
      <w:lvlText w:val="-"/>
      <w:numFmt w:val="bullet"/>
      <w:start w:val="1"/>
    </w:lvl>
  </w:abstractNum>
  <w:abstractNum w:abstractNumId="5">
    <w:nsid w:val="66EF438D"/>
    <w:multiLevelType w:val="hybridMultilevel"/>
    <w:lvl w:ilvl="0">
      <w:lvlJc w:val="left"/>
      <w:lvlText w:val="(%1)"/>
      <w:numFmt w:val="decimal"/>
      <w:start w:val="1"/>
    </w:lvl>
    <w:lvl w:ilvl="1">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lvl w:ilvl="1">
      <w:lvlJc w:val="left"/>
      <w:lvlText w:val="-"/>
      <w:numFmt w:val="bullet"/>
      <w:start w:val="1"/>
    </w:lvl>
  </w:abstractNum>
  <w:abstractNum w:abstractNumId="8">
    <w:nsid w:val="109CF92E"/>
    <w:multiLevelType w:val="hybridMultilevel"/>
    <w:lvl w:ilvl="0">
      <w:lvlJc w:val="left"/>
      <w:lvlText w:val="(%1)"/>
      <w:numFmt w:val="decimal"/>
      <w:start w:val="1"/>
    </w:lvl>
    <w:lvl w:ilvl="1">
      <w:lvlJc w:val="left"/>
      <w:lvlText w:val="-"/>
      <w:numFmt w:val="bullet"/>
      <w:start w:val="1"/>
    </w:lvl>
  </w:abstractNum>
  <w:abstractNum w:abstractNumId="9">
    <w:nsid w:val="DED7263"/>
    <w:multiLevelType w:val="hybridMultilevel"/>
    <w:lvl w:ilvl="0">
      <w:lvlJc w:val="left"/>
      <w:lvlText w:val="(%1)"/>
      <w:numFmt w:val="decimal"/>
      <w:start w:val="1"/>
    </w:lvl>
    <w:lvl w:ilvl="1">
      <w:lvlJc w:val="left"/>
      <w:lvlText w:val="-"/>
      <w:numFmt w:val="bullet"/>
      <w:start w:val="1"/>
    </w:lvl>
  </w:abstractNum>
  <w:abstractNum w:abstractNumId="10">
    <w:nsid w:val="7FDCC233"/>
    <w:multiLevelType w:val="hybridMultilevel"/>
    <w:lvl w:ilvl="0">
      <w:lvlJc w:val="left"/>
      <w:lvlText w:val="(%1)"/>
      <w:numFmt w:val="decimal"/>
      <w:start w:val="1"/>
    </w:lvl>
    <w:lvl w:ilvl="1">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lvl w:ilvl="1">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
      <w:numFmt w:val="bullet"/>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2020-01-14T06:21:55Z</dcterms:created>
  <dcterms:modified xsi:type="dcterms:W3CDTF">2020-01-14T06:21:55Z</dcterms:modified>
</cp:coreProperties>
</file>