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954405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877570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4, 2021</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273"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7"/>
          <w:szCs w:val="17"/>
          <w:color w:val="auto"/>
        </w:rPr>
        <w:t>(IRS Employer Identification No.)</w:t>
      </w:r>
    </w:p>
    <w:p>
      <w:pPr>
        <w:spacing w:after="0" w:line="3" w:lineRule="exact"/>
        <w:rPr>
          <w:sz w:val="24"/>
          <w:szCs w:val="24"/>
          <w:color w:val="auto"/>
        </w:rPr>
      </w:pPr>
    </w:p>
    <w:p>
      <w:pPr>
        <w:sectPr>
          <w:pgSz w:w="11900" w:h="16838" w:orient="portrait"/>
          <w:cols w:equalWidth="0" w:num="3">
            <w:col w:w="3900" w:space="720"/>
            <w:col w:w="2520" w:space="720"/>
            <w:col w:w="3240"/>
          </w:cols>
          <w:pgMar w:left="320" w:top="1440" w:right="47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33"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pacing w:after="0" w:line="25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100"/>
          </w:cols>
          <w:pgMar w:left="320" w:top="1440" w:right="479" w:bottom="1440" w:gutter="0" w:footer="0" w:header="0"/>
          <w:type w:val="continuous"/>
        </w:sectPr>
      </w:pPr>
    </w:p>
    <w:p>
      <w:pPr>
        <w:spacing w:after="0" w:line="2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1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PAGP</w:t>
            </w:r>
          </w:p>
        </w:tc>
        <w:tc>
          <w:tcPr>
            <w:tcW w:w="10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47"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10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219075</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158750</wp:posOffset>
            </wp:positionV>
            <wp:extent cx="6926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On May 4, 2021, the Registrant issued a press release reporting its first-quarter 2021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3080" w:type="dxa"/>
            <w:vAlign w:val="bottom"/>
          </w:tcPr>
          <w:p>
            <w:pPr>
              <w:jc w:val="center"/>
              <w:ind w:right="2399"/>
              <w:spacing w:after="0"/>
              <w:rPr>
                <w:sz w:val="20"/>
                <w:szCs w:val="20"/>
                <w:color w:val="auto"/>
              </w:rPr>
            </w:pPr>
            <w:r>
              <w:rPr>
                <w:rFonts w:ascii="Arial" w:cs="Arial" w:eastAsia="Arial" w:hAnsi="Arial"/>
                <w:sz w:val="16"/>
                <w:szCs w:val="16"/>
                <w:b w:val="1"/>
                <w:bCs w:val="1"/>
                <w:color w:val="auto"/>
                <w:w w:val="97"/>
              </w:rPr>
              <w:t>Exhibit</w:t>
            </w:r>
          </w:p>
        </w:tc>
        <w:tc>
          <w:tcPr>
            <w:tcW w:w="3280" w:type="dxa"/>
            <w:vAlign w:val="bottom"/>
            <w:vMerge w:val="restart"/>
          </w:tcPr>
          <w:p>
            <w:pPr>
              <w:ind w:left="2480"/>
              <w:spacing w:after="0"/>
              <w:rPr>
                <w:sz w:val="20"/>
                <w:szCs w:val="20"/>
                <w:color w:val="auto"/>
              </w:rPr>
            </w:pPr>
            <w:r>
              <w:rPr>
                <w:rFonts w:ascii="Arial" w:cs="Arial" w:eastAsia="Arial" w:hAnsi="Arial"/>
                <w:sz w:val="16"/>
                <w:szCs w:val="16"/>
                <w:b w:val="1"/>
                <w:bCs w:val="1"/>
                <w:color w:val="auto"/>
                <w:w w:val="88"/>
              </w:rPr>
              <w:t>Description</w:t>
            </w:r>
          </w:p>
        </w:tc>
        <w:tc>
          <w:tcPr>
            <w:tcW w:w="0" w:type="dxa"/>
            <w:vAlign w:val="bottom"/>
          </w:tcPr>
          <w:p>
            <w:pPr>
              <w:spacing w:after="0"/>
              <w:rPr>
                <w:sz w:val="1"/>
                <w:szCs w:val="1"/>
                <w:color w:val="auto"/>
              </w:rPr>
            </w:pPr>
          </w:p>
        </w:tc>
      </w:tr>
      <w:tr>
        <w:trPr>
          <w:trHeight w:val="210"/>
        </w:trPr>
        <w:tc>
          <w:tcPr>
            <w:tcW w:w="3080" w:type="dxa"/>
            <w:vAlign w:val="bottom"/>
          </w:tcPr>
          <w:p>
            <w:pPr>
              <w:jc w:val="center"/>
              <w:ind w:right="2419"/>
              <w:spacing w:after="0"/>
              <w:rPr>
                <w:sz w:val="20"/>
                <w:szCs w:val="20"/>
                <w:color w:val="auto"/>
              </w:rPr>
            </w:pPr>
            <w:r>
              <w:rPr>
                <w:rFonts w:ascii="Arial" w:cs="Arial" w:eastAsia="Arial" w:hAnsi="Arial"/>
                <w:sz w:val="16"/>
                <w:szCs w:val="16"/>
                <w:b w:val="1"/>
                <w:bCs w:val="1"/>
                <w:color w:val="auto"/>
                <w:w w:val="95"/>
              </w:rPr>
              <w:t>Number</w:t>
            </w:r>
          </w:p>
        </w:tc>
        <w:tc>
          <w:tcPr>
            <w:tcW w:w="3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00"/>
        <w:spacing w:after="0"/>
        <w:tabs>
          <w:tab w:leader="none" w:pos="120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dated May 4, 2021</w:t>
        </w:r>
      </w:hyperlink>
    </w:p>
    <w:p>
      <w:pPr>
        <w:spacing w:after="0" w:line="23" w:lineRule="exact"/>
        <w:rPr>
          <w:sz w:val="20"/>
          <w:szCs w:val="20"/>
          <w:color w:val="auto"/>
        </w:rPr>
      </w:pPr>
    </w:p>
    <w:p>
      <w:pPr>
        <w:ind w:left="1220" w:hanging="80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891" w:right="6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64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8260" w:type="dxa"/>
            <w:vAlign w:val="bottom"/>
            <w:gridSpan w:val="3"/>
          </w:tcPr>
          <w:p>
            <w:pPr>
              <w:ind w:left="1580"/>
              <w:spacing w:after="0"/>
              <w:rPr>
                <w:sz w:val="20"/>
                <w:szCs w:val="20"/>
                <w:color w:val="auto"/>
              </w:rPr>
            </w:pPr>
            <w:r>
              <w:rPr>
                <w:rFonts w:ascii="Arial" w:cs="Arial" w:eastAsia="Arial" w:hAnsi="Arial"/>
                <w:sz w:val="18"/>
                <w:szCs w:val="18"/>
                <w:color w:val="auto"/>
              </w:rPr>
              <w:t>PLAINS GP HOLDINGS, L.P.</w:t>
            </w:r>
          </w:p>
        </w:tc>
      </w:tr>
      <w:tr>
        <w:trPr>
          <w:trHeight w:val="500"/>
        </w:trPr>
        <w:tc>
          <w:tcPr>
            <w:tcW w:w="2920" w:type="dxa"/>
            <w:vAlign w:val="bottom"/>
          </w:tcPr>
          <w:p>
            <w:pPr>
              <w:spacing w:after="0"/>
              <w:rPr>
                <w:sz w:val="24"/>
                <w:szCs w:val="24"/>
                <w:color w:val="auto"/>
              </w:rPr>
            </w:pPr>
          </w:p>
        </w:tc>
        <w:tc>
          <w:tcPr>
            <w:tcW w:w="2020" w:type="dxa"/>
            <w:vAlign w:val="bottom"/>
          </w:tcPr>
          <w:p>
            <w:pPr>
              <w:ind w:left="1580"/>
              <w:spacing w:after="0"/>
              <w:rPr>
                <w:sz w:val="20"/>
                <w:szCs w:val="20"/>
                <w:color w:val="auto"/>
              </w:rPr>
            </w:pPr>
            <w:r>
              <w:rPr>
                <w:rFonts w:ascii="Arial" w:cs="Arial" w:eastAsia="Arial" w:hAnsi="Arial"/>
                <w:sz w:val="18"/>
                <w:szCs w:val="18"/>
                <w:color w:val="auto"/>
              </w:rPr>
              <w:t>By:</w:t>
            </w:r>
          </w:p>
        </w:tc>
        <w:tc>
          <w:tcPr>
            <w:tcW w:w="6240" w:type="dxa"/>
            <w:vAlign w:val="bottom"/>
            <w:gridSpan w:val="2"/>
          </w:tcPr>
          <w:p>
            <w:pPr>
              <w:ind w:left="20"/>
              <w:spacing w:after="0"/>
              <w:rPr>
                <w:sz w:val="20"/>
                <w:szCs w:val="20"/>
                <w:color w:val="auto"/>
              </w:rPr>
            </w:pPr>
            <w:r>
              <w:rPr>
                <w:rFonts w:ascii="Arial" w:cs="Arial" w:eastAsia="Arial" w:hAnsi="Arial"/>
                <w:sz w:val="18"/>
                <w:szCs w:val="18"/>
                <w:color w:val="auto"/>
              </w:rPr>
              <w:t>PAA GP Holdings LLC, its general partner</w:t>
            </w:r>
          </w:p>
        </w:tc>
      </w:tr>
      <w:tr>
        <w:trPr>
          <w:trHeight w:val="499"/>
        </w:trPr>
        <w:tc>
          <w:tcPr>
            <w:tcW w:w="2920" w:type="dxa"/>
            <w:vAlign w:val="bottom"/>
          </w:tcPr>
          <w:p>
            <w:pPr>
              <w:spacing w:after="0"/>
              <w:rPr>
                <w:sz w:val="20"/>
                <w:szCs w:val="20"/>
                <w:color w:val="auto"/>
              </w:rPr>
            </w:pPr>
            <w:r>
              <w:rPr>
                <w:rFonts w:ascii="Arial" w:cs="Arial" w:eastAsia="Arial" w:hAnsi="Arial"/>
                <w:sz w:val="18"/>
                <w:szCs w:val="18"/>
                <w:color w:val="auto"/>
              </w:rPr>
              <w:t>Date: May 4, 2021</w:t>
            </w:r>
          </w:p>
        </w:tc>
        <w:tc>
          <w:tcPr>
            <w:tcW w:w="2020" w:type="dxa"/>
            <w:vAlign w:val="bottom"/>
          </w:tcPr>
          <w:p>
            <w:pPr>
              <w:ind w:left="1580"/>
              <w:spacing w:after="0"/>
              <w:rPr>
                <w:sz w:val="20"/>
                <w:szCs w:val="20"/>
                <w:color w:val="auto"/>
              </w:rPr>
            </w:pPr>
            <w:r>
              <w:rPr>
                <w:rFonts w:ascii="Arial" w:cs="Arial" w:eastAsia="Arial" w:hAnsi="Arial"/>
                <w:sz w:val="18"/>
                <w:szCs w:val="18"/>
                <w:color w:val="auto"/>
              </w:rPr>
              <w:t>By:</w:t>
            </w:r>
          </w:p>
        </w:tc>
        <w:tc>
          <w:tcPr>
            <w:tcW w:w="6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2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Name:</w:t>
            </w:r>
          </w:p>
        </w:tc>
        <w:tc>
          <w:tcPr>
            <w:tcW w:w="5560" w:type="dxa"/>
            <w:vAlign w:val="bottom"/>
          </w:tcPr>
          <w:p>
            <w:pPr>
              <w:ind w:left="160"/>
              <w:spacing w:after="0"/>
              <w:rPr>
                <w:sz w:val="20"/>
                <w:szCs w:val="20"/>
                <w:color w:val="auto"/>
              </w:rPr>
            </w:pPr>
            <w:r>
              <w:rPr>
                <w:rFonts w:ascii="Arial" w:cs="Arial" w:eastAsia="Arial" w:hAnsi="Arial"/>
                <w:sz w:val="18"/>
                <w:szCs w:val="18"/>
                <w:color w:val="auto"/>
              </w:rPr>
              <w:t>Al Swanson</w:t>
            </w:r>
          </w:p>
        </w:tc>
      </w:tr>
      <w:tr>
        <w:trPr>
          <w:trHeight w:val="230"/>
        </w:trPr>
        <w:tc>
          <w:tcPr>
            <w:tcW w:w="2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5560" w:type="dxa"/>
            <w:vAlign w:val="bottom"/>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445770</wp:posOffset>
            </wp:positionV>
            <wp:extent cx="5846445"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64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and Plains GP Holdings Report First-Quarter 2021 Results</w:t>
      </w:r>
    </w:p>
    <w:p>
      <w:pPr>
        <w:spacing w:after="0" w:line="256" w:lineRule="exact"/>
        <w:rPr>
          <w:sz w:val="20"/>
          <w:szCs w:val="20"/>
          <w:color w:val="auto"/>
        </w:rPr>
      </w:pPr>
    </w:p>
    <w:p>
      <w:pPr>
        <w:ind w:right="60" w:firstLine="180"/>
        <w:spacing w:after="0" w:line="277" w:lineRule="auto"/>
        <w:rPr>
          <w:sz w:val="20"/>
          <w:szCs w:val="20"/>
          <w:color w:val="auto"/>
        </w:rPr>
      </w:pPr>
      <w:r>
        <w:rPr>
          <w:rFonts w:ascii="Arial" w:cs="Arial" w:eastAsia="Arial" w:hAnsi="Arial"/>
          <w:sz w:val="18"/>
          <w:szCs w:val="18"/>
          <w:color w:val="auto"/>
        </w:rPr>
        <w:t>Houston, May 04, 2021 — Plains All American Pipeline, L.P. (Nasdaq: PAA) and Plains GP Holdings (Nasdaq: PAGP) today reported first-quarter 2021 results and provided an update on other matters.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Highlights</w:t>
      </w:r>
    </w:p>
    <w:p>
      <w:pPr>
        <w:spacing w:after="0" w:line="25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PAA first-quarter 2021 net cash flow from operations of $791 million and net income of $422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first-quarter 2021 Adjusted EBITDA of $546 million</w:t>
      </w:r>
    </w:p>
    <w:p>
      <w:pPr>
        <w:spacing w:after="0" w:line="225" w:lineRule="exact"/>
        <w:rPr>
          <w:rFonts w:ascii="Arial" w:cs="Arial" w:eastAsia="Arial" w:hAnsi="Arial"/>
          <w:sz w:val="18"/>
          <w:szCs w:val="18"/>
          <w:color w:val="auto"/>
        </w:rPr>
      </w:pPr>
    </w:p>
    <w:p>
      <w:pPr>
        <w:ind w:left="660" w:right="36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2021 forecasted Free Cash Flow after Distributions by $100 million to +/- $400 million, or $1.15 billion when including anticipated proceeds from asset sales targeted in 2021</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Lowered total 2021 investment and maintenance capital guidance by $65 million, or 10%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Maintained full-year 2021 Adjusted EBITDA guidance of +/- $2.15 billion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Remain on track to achieve 2021 asset sales target of +/- $750 million</w:t>
      </w:r>
    </w:p>
    <w:p>
      <w:pPr>
        <w:spacing w:after="0" w:line="200" w:lineRule="exact"/>
        <w:rPr>
          <w:sz w:val="20"/>
          <w:szCs w:val="20"/>
          <w:color w:val="auto"/>
        </w:rPr>
      </w:pPr>
    </w:p>
    <w:p>
      <w:pPr>
        <w:spacing w:after="0" w:line="282"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delivered first-quarter results that exceeded our expectations, generated strong free cash flow, maintained full-year 2021 Adjusted EBITDA guidance, increased our expected 2021 Free Cash Flow after Distributions and advanced a number of key objectives,” stated Willie Chiang, Chairman and CEO of Plains. “We are increasingly constructive in our outlook for global energy demand recovery and for a corresponding supply response to build momentum through 2022. Our key execution focus remains maximizing multi-year free cash flow and reducing debt while simultaneously increasing cash returns to equity holders. We believe this disciplined approach will provide meaningful long-term value for our investors.”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200" w:type="dxa"/>
            <w:vAlign w:val="bottom"/>
          </w:tcPr>
          <w:p>
            <w:pPr>
              <w:spacing w:after="0"/>
              <w:rPr>
                <w:sz w:val="15"/>
                <w:szCs w:val="15"/>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ind w:right="23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814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Net income/(loss) attributable to PAA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ind w:right="11"/>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791</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890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117" w:lineRule="exact"/>
        <w:rPr>
          <w:sz w:val="20"/>
          <w:szCs w:val="20"/>
          <w:color w:val="auto"/>
        </w:rPr>
      </w:pPr>
    </w:p>
    <w:p>
      <w:pPr>
        <w:ind w:left="340" w:right="720" w:hanging="332"/>
        <w:spacing w:after="0" w:line="227"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Reported results for the three months ended March 31, 2020 include aggregate non-cash goodwill and asset impairments totaling $3.2 billion, representing a net loss of $4.33 after tax per common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9"/>
                <w:szCs w:val="9"/>
                <w:b w:val="1"/>
                <w:bCs w:val="1"/>
                <w:i w:val="1"/>
                <w:iCs w:val="1"/>
                <w:color w:val="auto"/>
              </w:rPr>
              <w:t>(1)</w:t>
            </w:r>
          </w:p>
        </w:tc>
        <w:tc>
          <w:tcPr>
            <w:tcW w:w="200" w:type="dxa"/>
            <w:vAlign w:val="bottom"/>
          </w:tcPr>
          <w:p>
            <w:pPr>
              <w:spacing w:after="0"/>
              <w:rPr>
                <w:sz w:val="15"/>
                <w:szCs w:val="15"/>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ind w:right="23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63" w:lineRule="exact"/>
        <w:rPr>
          <w:sz w:val="20"/>
          <w:szCs w:val="20"/>
          <w:color w:val="auto"/>
        </w:rPr>
      </w:pPr>
    </w:p>
    <w:p>
      <w:pPr>
        <w:jc w:val="both"/>
        <w:ind w:left="340" w:right="260" w:hanging="332"/>
        <w:spacing w:after="0" w:line="245" w:lineRule="auto"/>
        <w:tabs>
          <w:tab w:leader="none" w:pos="32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1"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6"/>
          </w:tcPr>
          <w:p>
            <w:pPr>
              <w:jc w:val="center"/>
              <w:ind w:left="753"/>
              <w:spacing w:after="0"/>
              <w:rPr>
                <w:sz w:val="20"/>
                <w:szCs w:val="20"/>
                <w:color w:val="auto"/>
              </w:rPr>
            </w:pPr>
            <w:r>
              <w:rPr>
                <w:rFonts w:ascii="Arial" w:cs="Arial" w:eastAsia="Arial" w:hAnsi="Arial"/>
                <w:sz w:val="16"/>
                <w:szCs w:val="16"/>
                <w:b w:val="1"/>
                <w:bCs w:val="1"/>
                <w:color w:val="auto"/>
                <w:w w:val="93"/>
              </w:rPr>
              <w:t>Segment Adjusted EBITDA</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Transportation</w:t>
            </w:r>
          </w:p>
        </w:tc>
        <w:tc>
          <w:tcPr>
            <w:tcW w:w="3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Facilities</w:t>
            </w:r>
          </w:p>
        </w:tc>
        <w:tc>
          <w:tcPr>
            <w:tcW w:w="16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3"/>
              </w:rPr>
              <w:t>Supply and Logistics</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Three Months Ended March 31, 2021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060" w:type="dxa"/>
            <w:vAlign w:val="bottom"/>
            <w:gridSpan w:val="2"/>
          </w:tcPr>
          <w:p>
            <w:pPr>
              <w:spacing w:after="0" w:line="203" w:lineRule="exact"/>
              <w:rPr>
                <w:sz w:val="20"/>
                <w:szCs w:val="20"/>
                <w:color w:val="auto"/>
              </w:rPr>
            </w:pPr>
            <w:r>
              <w:rPr>
                <w:rFonts w:ascii="Arial" w:cs="Arial" w:eastAsia="Arial" w:hAnsi="Arial"/>
                <w:sz w:val="18"/>
                <w:szCs w:val="18"/>
                <w:color w:val="auto"/>
              </w:rPr>
              <w:t>Three Months Ended March 31, 2020</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ind w:left="960"/>
              <w:spacing w:after="0" w:line="203" w:lineRule="exact"/>
              <w:rPr>
                <w:sz w:val="20"/>
                <w:szCs w:val="20"/>
                <w:color w:val="auto"/>
              </w:rPr>
            </w:pPr>
            <w:r>
              <w:rPr>
                <w:rFonts w:ascii="Arial" w:cs="Arial" w:eastAsia="Arial" w:hAnsi="Arial"/>
                <w:sz w:val="18"/>
                <w:szCs w:val="18"/>
                <w:color w:val="auto"/>
              </w:rPr>
              <w:t>442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210</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393"/>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2020 period</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b w:val="1"/>
                <w:bCs w:val="1"/>
                <w:i w:val="1"/>
                <w:iCs w:val="1"/>
                <w:color w:val="auto"/>
                <w:w w:val="95"/>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60" w:type="dxa"/>
            <w:vAlign w:val="bottom"/>
            <w:tcBorders>
              <w:top w:val="single" w:sz="8" w:color="CCEEFF"/>
              <w:bottom w:val="single" w:sz="8" w:color="CCEEFF"/>
            </w:tcBorders>
            <w:gridSpan w:val="2"/>
            <w:vMerge w:val="restart"/>
          </w:tcPr>
          <w:p>
            <w:pPr>
              <w:spacing w:after="0" w:line="163" w:lineRule="exact"/>
              <w:rPr>
                <w:sz w:val="20"/>
                <w:szCs w:val="20"/>
                <w:color w:val="auto"/>
              </w:rPr>
            </w:pPr>
            <w:r>
              <w:rPr>
                <w:rFonts w:ascii="Arial" w:cs="Arial" w:eastAsia="Arial" w:hAnsi="Arial"/>
                <w:sz w:val="18"/>
                <w:szCs w:val="18"/>
                <w:b w:val="1"/>
                <w:bCs w:val="1"/>
                <w:i w:val="1"/>
                <w:iCs w:val="1"/>
                <w:color w:val="auto"/>
                <w:w w:val="92"/>
              </w:rPr>
              <w:t>Percentage change in Segment Adjusted EBITDA versus 2020 period further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tcPr>
          <w:p>
            <w:pPr>
              <w:spacing w:after="0"/>
              <w:rPr>
                <w:sz w:val="10"/>
                <w:szCs w:val="10"/>
                <w:color w:val="auto"/>
              </w:rPr>
            </w:pPr>
          </w:p>
        </w:tc>
        <w:tc>
          <w:tcPr>
            <w:tcW w:w="60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vMerge w:val="restart"/>
          </w:tcPr>
          <w:p>
            <w:pPr>
              <w:ind w:left="980"/>
              <w:spacing w:after="0"/>
              <w:rPr>
                <w:sz w:val="20"/>
                <w:szCs w:val="20"/>
                <w:color w:val="auto"/>
              </w:rPr>
            </w:pPr>
            <w:r>
              <w:rPr>
                <w:rFonts w:ascii="Arial" w:cs="Arial" w:eastAsia="Arial" w:hAnsi="Arial"/>
                <w:sz w:val="18"/>
                <w:szCs w:val="18"/>
                <w:b w:val="1"/>
                <w:bCs w:val="1"/>
                <w:i w:val="1"/>
                <w:iCs w:val="1"/>
                <w:color w:val="auto"/>
                <w:w w:val="95"/>
              </w:rPr>
              <w:t>(12)%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(11)%</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60" w:type="dxa"/>
            <w:vAlign w:val="bottom"/>
            <w:gridSpan w:val="2"/>
          </w:tcPr>
          <w:p>
            <w:pPr>
              <w:ind w:left="160"/>
              <w:spacing w:after="0" w:line="202" w:lineRule="exact"/>
              <w:rPr>
                <w:sz w:val="20"/>
                <w:szCs w:val="20"/>
                <w:color w:val="auto"/>
              </w:rPr>
            </w:pPr>
            <w:r>
              <w:rPr>
                <w:rFonts w:ascii="Arial" w:cs="Arial" w:eastAsia="Arial" w:hAnsi="Arial"/>
                <w:sz w:val="18"/>
                <w:szCs w:val="18"/>
                <w:b w:val="1"/>
                <w:bCs w:val="1"/>
                <w:i w:val="1"/>
                <w:iCs w:val="1"/>
                <w:color w:val="auto"/>
              </w:rPr>
              <w:t xml:space="preserve">adjusted for impact of divested assets </w:t>
            </w:r>
            <w:r>
              <w:rPr>
                <w:rFonts w:ascii="Arial" w:cs="Arial" w:eastAsia="Arial" w:hAnsi="Arial"/>
                <w:sz w:val="23"/>
                <w:szCs w:val="23"/>
                <w:b w:val="1"/>
                <w:bCs w:val="1"/>
                <w:i w:val="1"/>
                <w:i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40" w:right="140" w:hanging="332"/>
        <w:spacing w:after="0" w:line="249" w:lineRule="auto"/>
        <w:tabs>
          <w:tab w:leader="none" w:pos="32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2020 and 2021, assuming an effective date of January 1, 2020. Divested assets primarily included certain NGL storage terminals and Los Angeles Basin crude oil storage terminals that were previously included in our Facilities segment and the sale of a portion of our interest in a joint venture pipeline that was previously reported in our Transportation segment.</w:t>
      </w:r>
    </w:p>
    <w:p>
      <w:pPr>
        <w:spacing w:after="0" w:line="33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First-quarter 2021 Transportation Segment Adjusted EBITDA decreased 12% versus comparable 2020 results due to lower tariff volumes in multiple regions primarily driven by the impact of excess pipeline capacity in most regions of the country, which has been exacerbated by the COVID-related reset to North American production. Additionally, the extreme winter weather event that occurred in February of 2021 (“Winter Storm Uri”) further impacted tariff volumes during the quarter. Partially offsetting these volumetric impacts were lower power costs, including the impact of gains related to hedged power costs resulting from Winter Storm Uri.</w:t>
      </w:r>
    </w:p>
    <w:p>
      <w:pPr>
        <w:spacing w:after="0" w:line="215" w:lineRule="exact"/>
        <w:rPr>
          <w:sz w:val="20"/>
          <w:szCs w:val="20"/>
          <w:color w:val="auto"/>
        </w:rPr>
      </w:pPr>
    </w:p>
    <w:p>
      <w:pPr>
        <w:ind w:right="80" w:firstLine="180"/>
        <w:spacing w:after="0" w:line="259" w:lineRule="auto"/>
        <w:rPr>
          <w:sz w:val="20"/>
          <w:szCs w:val="20"/>
          <w:color w:val="auto"/>
        </w:rPr>
      </w:pPr>
      <w:r>
        <w:rPr>
          <w:rFonts w:ascii="Arial" w:cs="Arial" w:eastAsia="Arial" w:hAnsi="Arial"/>
          <w:sz w:val="18"/>
          <w:szCs w:val="18"/>
          <w:color w:val="auto"/>
        </w:rPr>
        <w:t>First-quarter 2021 Facilities Segment Adjusted EBITDA decreased 19% versus comparable 2020 results primarily due to the impact of asset sales, reduced NGL intersegment fee structure based on market conditions and the collection of a deficiency payment on a multi-year contract in the first-quarter of 2020, partially offset by the favorable impact of operational cost savings and the performance of our natural gas storage business during Winter Storm Uri.</w:t>
      </w:r>
    </w:p>
    <w:p>
      <w:pPr>
        <w:spacing w:after="0" w:line="187" w:lineRule="exact"/>
        <w:rPr>
          <w:sz w:val="20"/>
          <w:szCs w:val="20"/>
          <w:color w:val="auto"/>
        </w:rPr>
      </w:pPr>
    </w:p>
    <w:p>
      <w:pPr>
        <w:ind w:right="820" w:firstLine="180"/>
        <w:spacing w:after="0" w:line="291" w:lineRule="auto"/>
        <w:rPr>
          <w:sz w:val="20"/>
          <w:szCs w:val="20"/>
          <w:color w:val="auto"/>
        </w:rPr>
      </w:pPr>
      <w:r>
        <w:rPr>
          <w:rFonts w:ascii="Arial" w:cs="Arial" w:eastAsia="Arial" w:hAnsi="Arial"/>
          <w:sz w:val="17"/>
          <w:szCs w:val="17"/>
          <w:color w:val="auto"/>
        </w:rPr>
        <w:t>First-quarter 2021 Supply and Logistics Segment Adjusted EBITDA decreased versus comparable 2020 results due to less favorable crude oil differentials in both the Permian Basin and Canada, in addition to lower realized margins on our NGL sales activities.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7"/>
              </w:rPr>
              <w:t>Twelve Months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 (G)</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color w:val="auto"/>
              </w:rPr>
              <w:t>+ / -</w:t>
            </w:r>
          </w:p>
        </w:tc>
        <w:tc>
          <w:tcPr>
            <w:tcW w:w="0" w:type="dxa"/>
            <w:vAlign w:val="bottom"/>
          </w:tcPr>
          <w:p>
            <w:pPr>
              <w:spacing w:after="0"/>
              <w:rPr>
                <w:sz w:val="1"/>
                <w:szCs w:val="1"/>
                <w:color w:val="auto"/>
              </w:rPr>
            </w:pPr>
          </w:p>
        </w:tc>
      </w:tr>
      <w:tr>
        <w:trPr>
          <w:trHeight w:val="23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0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Transportation</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Facilities</w:t>
            </w: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3"/>
        </w:trPr>
        <w:tc>
          <w:tcPr>
            <w:tcW w:w="6200" w:type="dxa"/>
            <w:vAlign w:val="bottom"/>
          </w:tcPr>
          <w:p>
            <w:pPr>
              <w:ind w:left="300"/>
              <w:spacing w:after="0"/>
              <w:rPr>
                <w:sz w:val="20"/>
                <w:szCs w:val="20"/>
                <w:color w:val="auto"/>
              </w:rPr>
            </w:pPr>
            <w:r>
              <w:rPr>
                <w:rFonts w:ascii="Arial" w:cs="Arial" w:eastAsia="Arial" w:hAnsi="Arial"/>
                <w:sz w:val="18"/>
                <w:szCs w:val="18"/>
                <w:b w:val="1"/>
                <w:bCs w:val="1"/>
                <w:color w:val="auto"/>
              </w:rPr>
              <w:t>Fee-Based</w:t>
            </w:r>
          </w:p>
        </w:tc>
        <w:tc>
          <w:tcPr>
            <w:tcW w:w="1040" w:type="dxa"/>
            <w:vAlign w:val="bottom"/>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2,427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2,347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2,125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Supply and Logistics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(2)</w:t>
            </w:r>
          </w:p>
        </w:tc>
        <w:tc>
          <w:tcPr>
            <w:tcW w:w="104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180"/>
              <w:spacing w:after="0" w:line="243"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(407)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(415)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(2)</w:t>
            </w:r>
          </w:p>
        </w:tc>
        <w:tc>
          <w:tcPr>
            <w:tcW w:w="1040" w:type="dxa"/>
            <w:vAlign w:val="bottom"/>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2,376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1,515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(4)</w:t>
            </w: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Implied DCF Available to Common Unitholders</w:t>
            </w:r>
          </w:p>
        </w:tc>
        <w:tc>
          <w:tcPr>
            <w:tcW w:w="104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1,315</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Implied DCF per Common Unit and Common Unit Equivalent </w:t>
            </w:r>
            <w:r>
              <w:rPr>
                <w:rFonts w:ascii="Arial" w:cs="Arial" w:eastAsia="Arial" w:hAnsi="Arial"/>
                <w:sz w:val="23"/>
                <w:szCs w:val="23"/>
                <w:b w:val="1"/>
                <w:bCs w:val="1"/>
                <w:color w:val="auto"/>
                <w:vertAlign w:val="superscript"/>
              </w:rPr>
              <w:t>(2)</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(5)</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Unit Distribution Coverage Ratio</w:t>
            </w: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2.17x</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2.57x</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2.54x</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(2)</w:t>
            </w:r>
          </w:p>
        </w:tc>
        <w:tc>
          <w:tcPr>
            <w:tcW w:w="104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Transportation</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volumes (MBbls/d)</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Facilities</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capacity (MMBbls/Mo)</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Supply and Logistics</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volumes (MBbls/d)</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Investment Capital</w:t>
            </w:r>
          </w:p>
        </w:tc>
        <w:tc>
          <w:tcPr>
            <w:tcW w:w="1040" w:type="dxa"/>
            <w:vAlign w:val="bottom"/>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1,340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921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375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w w:val="95"/>
              </w:rPr>
              <w:t xml:space="preserve">Second and Third-Quarter Adjusted EBITDA as a Percentage of Full Year </w:t>
            </w:r>
            <w:r>
              <w:rPr>
                <w:rFonts w:ascii="Arial" w:cs="Arial" w:eastAsia="Arial" w:hAnsi="Arial"/>
                <w:sz w:val="23"/>
                <w:szCs w:val="23"/>
                <w:b w:val="1"/>
                <w:bCs w:val="1"/>
                <w:color w:val="auto"/>
                <w:w w:val="95"/>
                <w:vertAlign w:val="superscript"/>
              </w:rPr>
              <w:t>(6)</w:t>
            </w:r>
          </w:p>
        </w:tc>
        <w:tc>
          <w:tcPr>
            <w:tcW w:w="10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(G) 2021 Guidance forecasts are intended to be + / - amounts.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0" w:lineRule="exact"/>
        <w:rPr>
          <w:sz w:val="20"/>
          <w:szCs w:val="20"/>
          <w:color w:val="auto"/>
        </w:rPr>
      </w:pPr>
    </w:p>
    <w:p>
      <w:pPr>
        <w:spacing w:after="0" w:line="295" w:lineRule="exact"/>
        <w:rPr>
          <w:sz w:val="20"/>
          <w:szCs w:val="20"/>
          <w:color w:val="auto"/>
        </w:rPr>
      </w:pPr>
    </w:p>
    <w:p>
      <w:pPr>
        <w:ind w:left="340" w:right="360" w:hanging="332"/>
        <w:spacing w:after="0" w:line="234"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 net” as reported on our Condensed Consolidated Statements of Operations, adjusted for selected items impacting comparability of $(17) million and $(36) million for the twelve months ended December 31, 2019 and 2020, respectively. See the “Selected Items Impacting Comparability” table for additional information.</w:t>
      </w:r>
    </w:p>
    <w:p>
      <w:pPr>
        <w:spacing w:after="0" w:line="81" w:lineRule="exact"/>
        <w:rPr>
          <w:rFonts w:ascii="Arial" w:cs="Arial" w:eastAsia="Arial" w:hAnsi="Arial"/>
          <w:sz w:val="23"/>
          <w:szCs w:val="23"/>
          <w:color w:val="auto"/>
          <w:vertAlign w:val="superscript"/>
        </w:rPr>
      </w:pPr>
    </w:p>
    <w:p>
      <w:pPr>
        <w:ind w:left="340" w:right="120" w:hanging="332"/>
        <w:spacing w:after="0" w:line="244"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for information regarding non-GAAP financial measures and, for the historical 2019 and 2020 periods, see the Non-GAAP Reconciliation tables attached hereto for a reconciliation of such non-GAAP financial measures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such items and the periods in which such items may be recognized. Thus, a reconciliation of non-GAAP financial measures to the equivalent GAAP financial measures could result in disclosure that could be imprecise or potentially misleading.</w:t>
      </w:r>
    </w:p>
    <w:p>
      <w:pPr>
        <w:spacing w:after="0" w:line="4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82" w:lineRule="exact"/>
        <w:rPr>
          <w:rFonts w:ascii="Arial" w:cs="Arial" w:eastAsia="Arial" w:hAnsi="Arial"/>
          <w:sz w:val="22"/>
          <w:szCs w:val="22"/>
          <w:color w:val="auto"/>
          <w:vertAlign w:val="superscript"/>
        </w:rPr>
      </w:pPr>
    </w:p>
    <w:p>
      <w:pPr>
        <w:ind w:left="340" w:right="220" w:hanging="332"/>
        <w:spacing w:after="0" w:line="237"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2019 and 2020. 2021(G) reflects the current annualized distribution requirement of $2.10 per Series A preferred unit and the current annualized distribution requirement of $61.25 per Series B preferred unit.</w:t>
      </w:r>
    </w:p>
    <w:p>
      <w:pPr>
        <w:spacing w:after="0" w:line="70"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Cash distributions per common unit paid during 2019 and 2020. 2021(G) reflects the current annualized distribution rate of $0.72 per common unit.</w:t>
      </w:r>
    </w:p>
    <w:p>
      <w:pPr>
        <w:spacing w:after="0" w:line="68" w:lineRule="exact"/>
        <w:rPr>
          <w:rFonts w:ascii="Arial" w:cs="Arial" w:eastAsia="Arial" w:hAnsi="Arial"/>
          <w:sz w:val="21"/>
          <w:szCs w:val="21"/>
          <w:color w:val="auto"/>
          <w:vertAlign w:val="superscript"/>
        </w:rPr>
      </w:pPr>
    </w:p>
    <w:p>
      <w:pPr>
        <w:ind w:left="340" w:right="160" w:hanging="332"/>
        <w:spacing w:after="0" w:line="237"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2021 (G) includes our +/- forecast for the full year based on a certain set of assumptions as of the date of this earnings release and acknowledges that uncertainties under the current market environment could result in timing shifts across individual quarters. As such, we expect the aggregate of the second and third quarter to be approximately 45% as a percentage of full year Adjusted EBITDA with the second quarter expected to range between 20% and 22% and the third quarter to range between 23% and 25%.</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ind w:right="120" w:firstLine="180"/>
        <w:spacing w:after="0" w:line="263" w:lineRule="auto"/>
        <w:rPr>
          <w:sz w:val="20"/>
          <w:szCs w:val="20"/>
          <w:color w:val="auto"/>
        </w:rPr>
      </w:pPr>
      <w:r>
        <w:rPr>
          <w:rFonts w:ascii="Arial" w:cs="Arial" w:eastAsia="Arial" w:hAnsi="Arial"/>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PAA and PAGP will hold a joint conference call at 4:30 p.m. CT on Tuesday, May 4, 2021 to discuss the following items:</w:t>
      </w:r>
    </w:p>
    <w:p>
      <w:pPr>
        <w:spacing w:after="0" w:line="117"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first-quarter 2021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https://edge.media-server.com/mmc/p/zn5w3dqh.</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Alternatively, the webcast can be accessed on our website (www.plainsallamerican.com) under Investor Relations (Navigate to: Investor Relations</w:t>
      </w:r>
    </w:p>
    <w:p>
      <w:pPr>
        <w:spacing w:after="0" w:line="46" w:lineRule="exact"/>
        <w:rPr>
          <w:sz w:val="20"/>
          <w:szCs w:val="20"/>
          <w:color w:val="auto"/>
        </w:rPr>
      </w:pPr>
    </w:p>
    <w:p>
      <w:pPr>
        <w:jc w:val="both"/>
        <w:ind w:right="380" w:firstLine="8"/>
        <w:spacing w:after="0" w:line="255" w:lineRule="auto"/>
        <w:tabs>
          <w:tab w:leader="none" w:pos="95"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17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4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 Our definition and calculation of certain non-GAAP financial measures may not be comparable to similarly-titled measures of other companies. Adjusted EBITDA, Implied DCF and certain other non-GAAP financial performance measures are reconciled to Net Income/(Loss),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 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7"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6"/>
                <w:szCs w:val="16"/>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7,367</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11,042</w:t>
            </w:r>
          </w:p>
        </w:tc>
        <w:tc>
          <w:tcPr>
            <w:tcW w:w="20" w:type="dxa"/>
            <w:vAlign w:val="bottom"/>
            <w:tcBorders>
              <w:top w:val="single" w:sz="8" w:color="auto"/>
            </w:tcBorders>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OPERATING INCOME/(LOSS)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(2,773)</w:t>
            </w:r>
          </w:p>
        </w:tc>
        <w:tc>
          <w:tcPr>
            <w:tcW w:w="20" w:type="dxa"/>
            <w:vAlign w:val="bottom"/>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Gain on/(impairment of) investments in unconsolidated entities, net</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net</w:t>
            </w:r>
          </w:p>
        </w:tc>
        <w:tc>
          <w:tcPr>
            <w:tcW w:w="22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tcPr>
          <w:p>
            <w:pPr>
              <w:spacing w:after="0"/>
              <w:rPr>
                <w:sz w:val="19"/>
                <w:szCs w:val="19"/>
                <w:color w:val="auto"/>
              </w:rPr>
            </w:pPr>
          </w:p>
        </w:tc>
      </w:tr>
      <w:tr>
        <w:trPr>
          <w:trHeight w:val="196"/>
        </w:trPr>
        <w:tc>
          <w:tcPr>
            <w:tcW w:w="2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INCOME/(LOSS) BEFORE TAX</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expense</w:t>
            </w:r>
          </w:p>
        </w:tc>
        <w:tc>
          <w:tcPr>
            <w:tcW w:w="22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r>
      <w:tr>
        <w:trPr>
          <w:trHeight w:val="196"/>
        </w:trPr>
        <w:tc>
          <w:tcPr>
            <w:tcW w:w="2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INCOME/(LOSS)</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2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INCOME/(LOSS) ATTRIBUTABLE TO PAA</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INCOME/(LOSS) PER COMMON UNIT:</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income/(loss) allocated to common unitholders — Basic and Diluted</w:t>
            </w: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w w:val="91"/>
              </w:rPr>
              <w:t>Basic and diluted weighted average common units outstanding</w:t>
            </w:r>
          </w:p>
        </w:tc>
        <w:tc>
          <w:tcPr>
            <w:tcW w:w="2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 net income/(loss) per common unit</w:t>
            </w:r>
          </w:p>
        </w:tc>
        <w:tc>
          <w:tcPr>
            <w:tcW w:w="22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shd w:val="clear" w:color="auto" w:fill="CCEEFF"/>
          </w:tcPr>
          <w:p>
            <w:pPr>
              <w:spacing w:after="0"/>
              <w:rPr>
                <w:sz w:val="19"/>
                <w:szCs w:val="19"/>
                <w:color w:val="auto"/>
              </w:rPr>
            </w:pPr>
          </w:p>
        </w:tc>
      </w:tr>
      <w:tr>
        <w:trPr>
          <w:trHeight w:val="51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260" w:type="dxa"/>
            <w:vAlign w:val="bottom"/>
          </w:tcPr>
          <w:p>
            <w:pPr>
              <w:jc w:val="center"/>
              <w:ind w:right="350"/>
              <w:spacing w:after="0"/>
              <w:rPr>
                <w:sz w:val="20"/>
                <w:szCs w:val="20"/>
                <w:color w:val="auto"/>
              </w:rPr>
            </w:pPr>
            <w:r>
              <w:rPr>
                <w:rFonts w:ascii="Arial" w:cs="Arial" w:eastAsia="Arial" w:hAnsi="Arial"/>
                <w:sz w:val="18"/>
                <w:szCs w:val="18"/>
                <w:color w:val="auto"/>
                <w:w w:val="91"/>
              </w:rPr>
              <w:t>- more -</w:t>
            </w: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Houston, Texas 77002</w:t>
            </w:r>
          </w:p>
        </w:tc>
        <w:tc>
          <w:tcPr>
            <w:tcW w:w="2980" w:type="dxa"/>
            <w:vAlign w:val="bottom"/>
            <w:gridSpan w:val="3"/>
          </w:tcPr>
          <w:p>
            <w:pPr>
              <w:jc w:val="right"/>
              <w:ind w:right="191"/>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Current assets (including Cash and cash equivalents of $30 and $22, respectively)</w:t>
            </w: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4,424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operating lease right-of-use assets, net</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assets, net</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60" w:type="dxa"/>
            <w:vAlign w:val="bottom"/>
          </w:tcPr>
          <w:p>
            <w:pPr>
              <w:spacing w:after="0"/>
              <w:rPr>
                <w:sz w:val="19"/>
                <w:szCs w:val="19"/>
                <w:color w:val="auto"/>
              </w:rPr>
            </w:pP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4,678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 and deferred credits</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Noncontrolling interests</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partners’ capital</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720" w:type="dxa"/>
            <w:vAlign w:val="bottom"/>
            <w:gridSpan w:val="3"/>
            <w:vMerge w:val="continue"/>
          </w:tcPr>
          <w:p>
            <w:pPr>
              <w:spacing w:after="0"/>
              <w:rPr>
                <w:sz w:val="24"/>
                <w:szCs w:val="24"/>
                <w:color w:val="auto"/>
              </w:rPr>
            </w:pPr>
          </w:p>
        </w:tc>
        <w:tc>
          <w:tcPr>
            <w:tcW w:w="2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Partners’ capital</w:t>
            </w:r>
          </w:p>
        </w:tc>
        <w:tc>
          <w:tcPr>
            <w:tcW w:w="2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2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book capitalization, including short-term debt</w:t>
            </w:r>
          </w:p>
        </w:tc>
        <w:tc>
          <w:tcPr>
            <w:tcW w:w="2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19,676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19,951</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jc w:val="center"/>
              <w:ind w:right="350"/>
              <w:spacing w:after="0"/>
              <w:rPr>
                <w:sz w:val="20"/>
                <w:szCs w:val="20"/>
                <w:color w:val="auto"/>
              </w:rPr>
            </w:pPr>
            <w:r>
              <w:rPr>
                <w:rFonts w:ascii="Arial" w:cs="Arial" w:eastAsia="Arial" w:hAnsi="Arial"/>
                <w:sz w:val="18"/>
                <w:szCs w:val="18"/>
                <w:color w:val="auto"/>
                <w:w w:val="91"/>
              </w:rPr>
              <w:t>- more -</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Houston, Texas 77002</w:t>
            </w:r>
          </w:p>
        </w:tc>
        <w:tc>
          <w:tcPr>
            <w:tcW w:w="2780" w:type="dxa"/>
            <w:vAlign w:val="bottom"/>
            <w:gridSpan w:val="3"/>
          </w:tcPr>
          <w:p>
            <w:pPr>
              <w:jc w:val="right"/>
              <w:spacing w:after="0"/>
              <w:rPr>
                <w:sz w:val="20"/>
                <w:szCs w:val="20"/>
                <w:color w:val="auto"/>
              </w:rPr>
            </w:pPr>
            <w:r>
              <w:rPr>
                <w:rFonts w:ascii="Arial" w:cs="Arial" w:eastAsia="Arial" w:hAnsi="Arial"/>
                <w:sz w:val="18"/>
                <w:szCs w:val="18"/>
                <w:b w:val="1"/>
                <w:bCs w:val="1"/>
                <w:color w:val="auto"/>
              </w:rPr>
              <w:t>713-646-4100 / 866-809-1291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Basic and Diluted Net Income/(Loss)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to Series A preferred unitholders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to 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 allocated to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Basic and diluted weighted average common units outstanding </w:t>
      </w:r>
      <w:r>
        <w:rPr>
          <w:rFonts w:ascii="Arial" w:cs="Arial" w:eastAsia="Arial" w:hAnsi="Arial"/>
          <w:sz w:val="20"/>
          <w:szCs w:val="20"/>
          <w:color w:val="auto"/>
          <w:vertAlign w:val="superscript"/>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and diluted net income/(loss)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459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Three Months Ended</w:t>
      </w: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5601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6" w:lineRule="exact"/>
        <w:rPr>
          <w:sz w:val="20"/>
          <w:szCs w:val="20"/>
          <w:color w:val="auto"/>
        </w:rPr>
      </w:pPr>
    </w:p>
    <w:p>
      <w:pPr>
        <w:ind w:left="440"/>
        <w:spacing w:after="0"/>
        <w:tabs>
          <w:tab w:leader="none" w:pos="17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(2,847)</w:t>
            </w:r>
          </w:p>
        </w:tc>
      </w:tr>
      <w:tr>
        <w:trPr>
          <w:trHeight w:val="229"/>
        </w:trPr>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446"/>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60" w:space="720"/>
            <w:col w:w="2460"/>
          </w:cols>
          <w:pgMar w:left="320" w:top="368" w:right="339" w:bottom="1440" w:gutter="0" w:footer="0" w:header="0"/>
          <w:type w:val="continuous"/>
        </w:sectPr>
      </w:pPr>
    </w:p>
    <w:p>
      <w:pPr>
        <w:spacing w:after="0" w:line="84" w:lineRule="exact"/>
        <w:rPr>
          <w:sz w:val="20"/>
          <w:szCs w:val="20"/>
          <w:color w:val="auto"/>
        </w:rPr>
      </w:pPr>
    </w:p>
    <w:p>
      <w:pPr>
        <w:ind w:left="340" w:right="100" w:hanging="332"/>
        <w:spacing w:after="0" w:line="226" w:lineRule="auto"/>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0" w:lineRule="exact"/>
        <w:rPr>
          <w:rFonts w:ascii="Arial" w:cs="Arial" w:eastAsia="Arial" w:hAnsi="Arial"/>
          <w:sz w:val="23"/>
          <w:szCs w:val="23"/>
          <w:color w:val="auto"/>
          <w:vertAlign w:val="superscript"/>
        </w:rPr>
      </w:pPr>
    </w:p>
    <w:p>
      <w:pPr>
        <w:ind w:left="340" w:right="300" w:hanging="332"/>
        <w:spacing w:after="0" w:line="218" w:lineRule="auto"/>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income/(loss) per common unit for the three months ended March 31, 2021 and 2020 as the effect was antidilutive.</w:t>
      </w:r>
    </w:p>
    <w:p>
      <w:pPr>
        <w:spacing w:after="0" w:line="30" w:lineRule="exact"/>
        <w:rPr>
          <w:rFonts w:ascii="Arial" w:cs="Arial" w:eastAsia="Arial" w:hAnsi="Arial"/>
          <w:sz w:val="23"/>
          <w:szCs w:val="23"/>
          <w:color w:val="auto"/>
          <w:vertAlign w:val="superscript"/>
        </w:rPr>
      </w:pPr>
    </w:p>
    <w:p>
      <w:pPr>
        <w:ind w:left="340" w:right="20" w:hanging="332"/>
        <w:spacing w:after="0" w:line="227" w:lineRule="auto"/>
        <w:tabs>
          <w:tab w:leader="none" w:pos="3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March 31, 2021 and 2020, the effect of equity-indexed compensation plan awards was antidilutive.</w:t>
      </w:r>
    </w:p>
    <w:p>
      <w:pPr>
        <w:spacing w:after="0" w:line="180"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r>
      <w:tr>
        <w:trPr>
          <w:trHeight w:val="211"/>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Adjusted Net Income per Common Unit</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(2,847)</w:t>
            </w:r>
          </w:p>
        </w:tc>
      </w:tr>
      <w:tr>
        <w:trPr>
          <w:trHeight w:val="229"/>
        </w:trPr>
        <w:tc>
          <w:tcPr>
            <w:tcW w:w="8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net income attributable to PAA </w:t>
            </w:r>
            <w:r>
              <w:rPr>
                <w:rFonts w:ascii="Arial" w:cs="Arial" w:eastAsia="Arial" w:hAnsi="Arial"/>
                <w:sz w:val="23"/>
                <w:szCs w:val="23"/>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r>
      <w:tr>
        <w:trPr>
          <w:trHeight w:val="22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40" w:type="dxa"/>
            <w:vAlign w:val="bottom"/>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0"/>
        </w:trPr>
        <w:tc>
          <w:tcPr>
            <w:tcW w:w="388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03"/>
        </w:trPr>
        <w:tc>
          <w:tcPr>
            <w:tcW w:w="388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74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0"/>
        </w:trPr>
        <w:tc>
          <w:tcPr>
            <w:tcW w:w="388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Adjusted Net Income per Common Unit</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r>
      <w:tr>
        <w:trPr>
          <w:trHeight w:val="230"/>
        </w:trPr>
        <w:tc>
          <w:tcPr>
            <w:tcW w:w="87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net income attributable to PAA </w:t>
            </w:r>
            <w:r>
              <w:rPr>
                <w:rFonts w:ascii="Arial" w:cs="Arial" w:eastAsia="Arial" w:hAnsi="Arial"/>
                <w:sz w:val="23"/>
                <w:szCs w:val="23"/>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3,303</w:t>
            </w:r>
          </w:p>
        </w:tc>
      </w:tr>
      <w:tr>
        <w:trPr>
          <w:trHeight w:val="22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Effect of dilutive securities:</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(3)</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78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(4)</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55"/>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7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35" w:lineRule="exact"/>
        <w:rPr>
          <w:sz w:val="20"/>
          <w:szCs w:val="20"/>
          <w:color w:val="auto"/>
        </w:rPr>
      </w:pPr>
    </w:p>
    <w:p>
      <w:pPr>
        <w:ind w:left="340" w:right="220" w:hanging="332"/>
        <w:spacing w:after="0" w:line="243" w:lineRule="auto"/>
        <w:tabs>
          <w:tab w:leader="none" w:pos="334"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33" w:lineRule="exact"/>
        <w:rPr>
          <w:rFonts w:ascii="Arial" w:cs="Arial" w:eastAsia="Arial" w:hAnsi="Arial"/>
          <w:sz w:val="19"/>
          <w:szCs w:val="19"/>
          <w:color w:val="auto"/>
          <w:vertAlign w:val="superscript"/>
        </w:rPr>
      </w:pPr>
    </w:p>
    <w:p>
      <w:pPr>
        <w:ind w:left="340" w:right="340" w:hanging="332"/>
        <w:spacing w:after="0" w:line="220" w:lineRule="auto"/>
        <w:tabs>
          <w:tab w:leader="none" w:pos="334"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 See the “Selected Items Impacting Comparability” table for additional information.</w:t>
      </w:r>
    </w:p>
    <w:p>
      <w:pPr>
        <w:spacing w:after="0" w:line="36" w:lineRule="exact"/>
        <w:rPr>
          <w:rFonts w:ascii="Arial" w:cs="Arial" w:eastAsia="Arial" w:hAnsi="Arial"/>
          <w:sz w:val="20"/>
          <w:szCs w:val="20"/>
          <w:color w:val="auto"/>
          <w:vertAlign w:val="superscript"/>
        </w:rPr>
      </w:pPr>
    </w:p>
    <w:p>
      <w:pPr>
        <w:ind w:left="340" w:right="60" w:hanging="332"/>
        <w:spacing w:after="0" w:line="220" w:lineRule="auto"/>
        <w:tabs>
          <w:tab w:leader="none" w:pos="334"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The possible conversion of our Series A preferred units were excluded from the calculation of diluted net income per common unit for the three months ended March 31, 2021 as the effect was antidilutive.</w:t>
      </w:r>
    </w:p>
    <w:p>
      <w:pPr>
        <w:spacing w:after="0" w:line="36" w:lineRule="exact"/>
        <w:rPr>
          <w:rFonts w:ascii="Arial" w:cs="Arial" w:eastAsia="Arial" w:hAnsi="Arial"/>
          <w:sz w:val="20"/>
          <w:szCs w:val="20"/>
          <w:color w:val="auto"/>
          <w:vertAlign w:val="superscript"/>
        </w:rPr>
      </w:pPr>
    </w:p>
    <w:p>
      <w:pPr>
        <w:ind w:left="340" w:right="100" w:hanging="332"/>
        <w:spacing w:after="0" w:line="217" w:lineRule="auto"/>
        <w:tabs>
          <w:tab w:leader="none" w:pos="334"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March 31, 2021, the effect of equity-indexed compensation plan awards was antidilutive.</w:t>
      </w:r>
    </w:p>
    <w:p>
      <w:pPr>
        <w:ind w:left="5440" w:hanging="106"/>
        <w:spacing w:after="0"/>
        <w:tabs>
          <w:tab w:leader="none" w:pos="5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Adjusted Net Income Per Common Unit Reconciliations:</w:t>
      </w:r>
    </w:p>
    <w:p>
      <w:pPr>
        <w:spacing w:after="0" w:line="280"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r>
      <w:tr>
        <w:trPr>
          <w:trHeight w:val="224"/>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85"/>
              </w:rPr>
              <w:t>0.51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(3.98)</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93"/>
              </w:rPr>
              <w:t>(0.26)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4.54</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0.56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9"/>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85"/>
              </w:rPr>
              <w:t>0.51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(3.98)</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93"/>
              </w:rPr>
              <w:t>(0.26)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4.53</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0.55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34" w:lineRule="exact"/>
        <w:rPr>
          <w:sz w:val="20"/>
          <w:szCs w:val="20"/>
          <w:color w:val="auto"/>
        </w:rPr>
      </w:pPr>
    </w:p>
    <w:p>
      <w:pPr>
        <w:ind w:left="340" w:right="360" w:hanging="332"/>
        <w:spacing w:after="0" w:line="227"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359"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Twelve Months Ended</w:t>
      </w:r>
    </w:p>
    <w:p>
      <w:pPr>
        <w:jc w:val="center"/>
        <w:ind w:left="8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4"/>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85"/>
              </w:rPr>
              <w:t>2.70</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5.38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93"/>
              </w:rPr>
              <w:t>(0.14)</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2.56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85"/>
              </w:rPr>
              <w:t>2.65</w:t>
            </w:r>
          </w:p>
        </w:tc>
      </w:tr>
      <w:tr>
        <w:trPr>
          <w:trHeight w:val="229"/>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5.38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color w:val="auto"/>
                <w:w w:val="93"/>
              </w:rPr>
              <w:t>(0.14)</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2.51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87"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table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7"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r>
      <w:tr>
        <w:trPr>
          <w:trHeight w:val="211"/>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to Adjusted EBITDA and Implied DCF Reconciliation</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740" w:type="dxa"/>
            <w:vAlign w:val="bottom"/>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(2,845)</w:t>
            </w:r>
          </w:p>
        </w:tc>
      </w:tr>
      <w:tr>
        <w:trPr>
          <w:trHeight w:val="229"/>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29"/>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30"/>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7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878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Current income tax expense</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Distributions from unconsolidated entities in excess of/(less than) adjusted equity earnings </w:t>
            </w:r>
            <w:r>
              <w:rPr>
                <w:rFonts w:ascii="Arial" w:cs="Arial" w:eastAsia="Arial" w:hAnsi="Arial"/>
                <w:sz w:val="23"/>
                <w:szCs w:val="23"/>
                <w:color w:val="auto"/>
                <w:vertAlign w:val="superscript"/>
              </w:rPr>
              <w:t>(4)</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7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30"/>
        </w:trPr>
        <w:tc>
          <w:tcPr>
            <w:tcW w:w="87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7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Weighted Average Common Units and Common Unit Equivalents</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162"/>
        </w:trPr>
        <w:tc>
          <w:tcPr>
            <w:tcW w:w="388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0"/>
        </w:trPr>
        <w:tc>
          <w:tcPr>
            <w:tcW w:w="8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740" w:type="dxa"/>
            <w:vAlign w:val="bottom"/>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0.51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0.82</w:t>
            </w:r>
          </w:p>
        </w:tc>
      </w:tr>
      <w:tr>
        <w:trPr>
          <w:trHeight w:val="230"/>
        </w:trPr>
        <w:tc>
          <w:tcPr>
            <w:tcW w:w="8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and Common Unit Equivalent </w:t>
            </w:r>
            <w:r>
              <w:rPr>
                <w:rFonts w:ascii="Arial" w:cs="Arial" w:eastAsia="Arial" w:hAnsi="Arial"/>
                <w:sz w:val="23"/>
                <w:szCs w:val="23"/>
                <w:color w:val="auto"/>
                <w:vertAlign w:val="superscript"/>
              </w:rPr>
              <w:t>(8)</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r>
      <w:tr>
        <w:trPr>
          <w:trHeight w:val="162"/>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Distribution Paid per Common Unit</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30"/>
        </w:trPr>
        <w:tc>
          <w:tcPr>
            <w:tcW w:w="8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740" w:type="dxa"/>
            <w:vAlign w:val="bottom"/>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2.85x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2.27x</w:t>
            </w:r>
          </w:p>
        </w:tc>
      </w:tr>
      <w:tr>
        <w:trPr>
          <w:trHeight w:val="162"/>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 Excess</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162"/>
        </w:trPr>
        <w:tc>
          <w:tcPr>
            <w:tcW w:w="3880" w:type="dxa"/>
            <w:vAlign w:val="bottom"/>
            <w:tcBorders>
              <w:bottom w:val="single" w:sz="8" w:color="auto"/>
            </w:tcBorders>
          </w:tcPr>
          <w:p>
            <w:pPr>
              <w:spacing w:after="0"/>
              <w:rPr>
                <w:sz w:val="14"/>
                <w:szCs w:val="14"/>
                <w:color w:val="auto"/>
              </w:rPr>
            </w:pPr>
          </w:p>
        </w:tc>
        <w:tc>
          <w:tcPr>
            <w:tcW w:w="4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94"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Adjustment to exclude our proportionate share of depreciation and amortization expense of unconsolidated entities.</w:t>
      </w:r>
    </w:p>
    <w:p>
      <w:pPr>
        <w:spacing w:after="0" w:line="45"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6"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46" w:lineRule="exact"/>
        <w:rPr>
          <w:rFonts w:ascii="Arial" w:cs="Arial" w:eastAsia="Arial" w:hAnsi="Arial"/>
          <w:sz w:val="19"/>
          <w:szCs w:val="19"/>
          <w:color w:val="auto"/>
          <w:vertAlign w:val="superscript"/>
        </w:rPr>
      </w:pPr>
    </w:p>
    <w:p>
      <w:pPr>
        <w:ind w:left="340" w:right="160" w:hanging="332"/>
        <w:spacing w:after="0" w:line="210" w:lineRule="auto"/>
        <w:tabs>
          <w:tab w:leader="none" w:pos="32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and selected items impacting comparability of unconsolidated entities).</w:t>
      </w:r>
    </w:p>
    <w:p>
      <w:pPr>
        <w:ind w:left="320" w:hanging="312"/>
        <w:spacing w:after="0" w:line="237" w:lineRule="auto"/>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Cash distributions paid during the period presented.</w:t>
      </w:r>
    </w:p>
    <w:p>
      <w:pPr>
        <w:spacing w:after="0" w:line="46" w:lineRule="exact"/>
        <w:rPr>
          <w:rFonts w:ascii="Arial" w:cs="Arial" w:eastAsia="Arial" w:hAnsi="Arial"/>
          <w:sz w:val="19"/>
          <w:szCs w:val="19"/>
          <w:color w:val="auto"/>
          <w:vertAlign w:val="superscript"/>
        </w:rPr>
      </w:pPr>
    </w:p>
    <w:p>
      <w:pPr>
        <w:ind w:left="320" w:hanging="312"/>
        <w:spacing w:after="0" w:line="237" w:lineRule="auto"/>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Cash distributions paid to our preferred unitholders during the period presented.</w:t>
      </w:r>
      <w:r>
        <w:rPr>
          <w:rFonts w:ascii="Arial" w:cs="Arial" w:eastAsia="Arial" w:hAnsi="Arial"/>
          <w:sz w:val="18"/>
          <w:szCs w:val="18"/>
          <w:color w:val="auto"/>
          <w:vertAlign w:val="superscript"/>
        </w:rPr>
        <w:t>.</w:t>
      </w:r>
    </w:p>
    <w:p>
      <w:pPr>
        <w:ind w:left="320" w:hanging="312"/>
        <w:spacing w:after="0" w:line="186" w:lineRule="auto"/>
        <w:tabs>
          <w:tab w:leader="none" w:pos="32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Implied DCF Available to Common Unitholders for the period divided by the weighted average common units outstanding for the period.</w:t>
      </w:r>
    </w:p>
    <w:p>
      <w:pPr>
        <w:spacing w:after="0" w:line="46" w:lineRule="exact"/>
        <w:rPr>
          <w:rFonts w:ascii="Arial" w:cs="Arial" w:eastAsia="Arial" w:hAnsi="Arial"/>
          <w:sz w:val="19"/>
          <w:szCs w:val="19"/>
          <w:color w:val="auto"/>
          <w:vertAlign w:val="superscript"/>
        </w:rPr>
      </w:pPr>
    </w:p>
    <w:p>
      <w:pPr>
        <w:ind w:left="340" w:right="40" w:hanging="332"/>
        <w:spacing w:after="0" w:line="201" w:lineRule="auto"/>
        <w:tabs>
          <w:tab w:leader="none" w:pos="32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 w:lineRule="exact"/>
        <w:rPr>
          <w:rFonts w:ascii="Arial" w:cs="Arial" w:eastAsia="Arial" w:hAnsi="Arial"/>
          <w:sz w:val="19"/>
          <w:szCs w:val="19"/>
          <w:color w:val="auto"/>
          <w:vertAlign w:val="superscript"/>
        </w:rPr>
      </w:pPr>
    </w:p>
    <w:p>
      <w:pPr>
        <w:ind w:left="5440" w:hanging="106"/>
        <w:spacing w:after="0"/>
        <w:tabs>
          <w:tab w:leader="none" w:pos="5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7"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Twelve Months Ended</w:t>
      </w:r>
    </w:p>
    <w:p>
      <w:pPr>
        <w:jc w:val="center"/>
        <w:ind w:left="8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11"/>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to Adjusted EBITDA and Implied DCF Reconciliation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Net Income/(Loss)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2,180</w:t>
            </w:r>
          </w:p>
        </w:tc>
      </w:tr>
      <w:tr>
        <w:trPr>
          <w:trHeight w:val="229"/>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Income tax expense/(benefit)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8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87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r>
      <w:tr>
        <w:trPr>
          <w:trHeight w:val="230"/>
        </w:trPr>
        <w:tc>
          <w:tcPr>
            <w:tcW w:w="878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29"/>
        </w:trPr>
        <w:tc>
          <w:tcPr>
            <w:tcW w:w="8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87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Distributions from unconsolidated entities in excess of/(less than) adjusted equity earnings </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7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r>
      <w:tr>
        <w:trPr>
          <w:trHeight w:val="230"/>
        </w:trPr>
        <w:tc>
          <w:tcPr>
            <w:tcW w:w="878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Weighted Average Common Units and Common Unit Equivalents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162"/>
        </w:trPr>
        <w:tc>
          <w:tcPr>
            <w:tcW w:w="388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0"/>
        </w:trPr>
        <w:tc>
          <w:tcPr>
            <w:tcW w:w="8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8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and Common Unit Equivalent </w:t>
            </w:r>
            <w:r>
              <w:rPr>
                <w:rFonts w:ascii="Arial" w:cs="Arial" w:eastAsia="Arial" w:hAnsi="Arial"/>
                <w:sz w:val="23"/>
                <w:szCs w:val="23"/>
                <w:color w:val="auto"/>
                <w:vertAlign w:val="superscript"/>
              </w:rPr>
              <w:t>(8)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162"/>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Distribution Paid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2.57x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2.17x</w:t>
            </w:r>
          </w:p>
        </w:tc>
      </w:tr>
      <w:tr>
        <w:trPr>
          <w:trHeight w:val="162"/>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 Excess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162"/>
        </w:trPr>
        <w:tc>
          <w:tcPr>
            <w:tcW w:w="3880" w:type="dxa"/>
            <w:vAlign w:val="bottom"/>
            <w:tcBorders>
              <w:bottom w:val="single" w:sz="8" w:color="auto"/>
            </w:tcBorders>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9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Adjustment to exclude our proportionate share of depreciation and amortization expense of unconsolidated entities.</w:t>
      </w:r>
    </w:p>
    <w:p>
      <w:pPr>
        <w:spacing w:after="0" w:line="45"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6"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46" w:lineRule="exact"/>
        <w:rPr>
          <w:rFonts w:ascii="Arial" w:cs="Arial" w:eastAsia="Arial" w:hAnsi="Arial"/>
          <w:sz w:val="19"/>
          <w:szCs w:val="19"/>
          <w:color w:val="auto"/>
          <w:vertAlign w:val="superscript"/>
        </w:rPr>
      </w:pPr>
    </w:p>
    <w:p>
      <w:pPr>
        <w:ind w:left="340" w:right="160" w:hanging="332"/>
        <w:spacing w:after="0" w:line="210" w:lineRule="auto"/>
        <w:tabs>
          <w:tab w:leader="none" w:pos="32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and selected items impacting comparability of unconsolidated entities).</w:t>
      </w:r>
    </w:p>
    <w:p>
      <w:pPr>
        <w:ind w:left="320" w:hanging="312"/>
        <w:spacing w:after="0" w:line="237"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Cash distributions paid during the period presented.</w:t>
      </w:r>
    </w:p>
    <w:p>
      <w:pPr>
        <w:spacing w:after="0" w:line="46"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Cash distributions paid to our preferred unitholders during the period presented.</w:t>
      </w:r>
    </w:p>
    <w:p>
      <w:pPr>
        <w:spacing w:after="0" w:line="46"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Implied DCF Available to Common Unitholders for the period divided by the weighted average common units outstanding for the period.</w:t>
      </w:r>
    </w:p>
    <w:p>
      <w:pPr>
        <w:spacing w:after="0" w:line="46" w:lineRule="exact"/>
        <w:rPr>
          <w:rFonts w:ascii="Arial" w:cs="Arial" w:eastAsia="Arial" w:hAnsi="Arial"/>
          <w:sz w:val="19"/>
          <w:szCs w:val="19"/>
          <w:color w:val="auto"/>
          <w:vertAlign w:val="superscript"/>
        </w:rPr>
      </w:pPr>
    </w:p>
    <w:p>
      <w:pPr>
        <w:ind w:left="340" w:right="40" w:hanging="332"/>
        <w:spacing w:after="0" w:line="219" w:lineRule="auto"/>
        <w:tabs>
          <w:tab w:leader="none" w:pos="32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87" w:lineRule="exact"/>
        <w:rPr>
          <w:rFonts w:ascii="Arial" w:cs="Arial" w:eastAsia="Arial" w:hAnsi="Arial"/>
          <w:sz w:val="19"/>
          <w:szCs w:val="19"/>
          <w:color w:val="auto"/>
          <w:vertAlign w:val="superscript"/>
        </w:rPr>
      </w:pPr>
    </w:p>
    <w:p>
      <w:pPr>
        <w:ind w:left="5440" w:hanging="106"/>
        <w:spacing w:after="0"/>
        <w:tabs>
          <w:tab w:leader="none" w:pos="5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6" w:name="page17"/>
    <w:bookmarkEnd w:id="16"/>
    <w:p>
      <w:pPr>
        <w:ind w:left="100"/>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57150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Net Income/(Loss) Per Common Unit to Implied DCF Per Common Unit and Common Unit Equivalent Reconciliations:</w:t>
      </w:r>
    </w:p>
    <w:p>
      <w:pPr>
        <w:spacing w:after="0" w:line="280"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82"/>
        </w:trPr>
        <w:tc>
          <w:tcPr>
            <w:tcW w:w="10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6"/>
        </w:trPr>
        <w:tc>
          <w:tcPr>
            <w:tcW w:w="6800" w:type="dxa"/>
            <w:vAlign w:val="bottom"/>
            <w:gridSpan w:val="2"/>
          </w:tcPr>
          <w:p>
            <w:pPr>
              <w:spacing w:after="0"/>
              <w:rPr>
                <w:sz w:val="20"/>
                <w:szCs w:val="20"/>
                <w:color w:val="auto"/>
              </w:rPr>
            </w:pPr>
            <w:r>
              <w:rPr>
                <w:rFonts w:ascii="Arial" w:cs="Arial" w:eastAsia="Arial" w:hAnsi="Arial"/>
                <w:sz w:val="18"/>
                <w:szCs w:val="18"/>
                <w:color w:val="auto"/>
              </w:rPr>
              <w:t>Basic net income/(loss) per common unit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9"/>
                <w:szCs w:val="19"/>
                <w:color w:val="auto"/>
              </w:rPr>
            </w:pPr>
          </w:p>
        </w:tc>
        <w:tc>
          <w:tcPr>
            <w:tcW w:w="860" w:type="dxa"/>
            <w:vAlign w:val="bottom"/>
          </w:tcPr>
          <w:p>
            <w:pPr>
              <w:jc w:val="center"/>
              <w:ind w:left="293"/>
              <w:spacing w:after="0"/>
              <w:rPr>
                <w:sz w:val="20"/>
                <w:szCs w:val="20"/>
                <w:color w:val="auto"/>
              </w:rPr>
            </w:pPr>
            <w:r>
              <w:rPr>
                <w:rFonts w:ascii="Arial" w:cs="Arial" w:eastAsia="Arial" w:hAnsi="Arial"/>
                <w:sz w:val="18"/>
                <w:szCs w:val="18"/>
                <w:color w:val="auto"/>
                <w:w w:val="93"/>
              </w:rPr>
              <w:t>(3.98)</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1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center"/>
              <w:ind w:left="313"/>
              <w:spacing w:after="0"/>
              <w:rPr>
                <w:sz w:val="20"/>
                <w:szCs w:val="20"/>
                <w:color w:val="auto"/>
              </w:rPr>
            </w:pPr>
            <w:r>
              <w:rPr>
                <w:rFonts w:ascii="Arial" w:cs="Arial" w:eastAsia="Arial" w:hAnsi="Arial"/>
                <w:sz w:val="18"/>
                <w:szCs w:val="18"/>
                <w:color w:val="auto"/>
                <w:w w:val="85"/>
              </w:rPr>
              <w:t>4.80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700" w:type="dxa"/>
            <w:vAlign w:val="bottom"/>
            <w:shd w:val="clear" w:color="auto" w:fill="CCEEFF"/>
          </w:tcPr>
          <w:p>
            <w:pPr>
              <w:spacing w:after="0" w:line="20" w:lineRule="exact"/>
              <w:rPr>
                <w:sz w:val="1"/>
                <w:szCs w:val="1"/>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mplied DCF per common unit</w:t>
            </w:r>
          </w:p>
        </w:tc>
        <w:tc>
          <w:tcPr>
            <w:tcW w:w="1940" w:type="dxa"/>
            <w:vAlign w:val="bottom"/>
            <w:vMerge w:val="continue"/>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5"/>
              </w:rPr>
              <w:t>0.82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800" w:type="dxa"/>
            <w:vAlign w:val="bottom"/>
            <w:gridSpan w:val="2"/>
          </w:tcPr>
          <w:p>
            <w:pPr>
              <w:spacing w:after="0"/>
              <w:rPr>
                <w:sz w:val="20"/>
                <w:szCs w:val="20"/>
                <w:color w:val="auto"/>
              </w:rPr>
            </w:pPr>
            <w:r>
              <w:rPr>
                <w:rFonts w:ascii="Arial" w:cs="Arial" w:eastAsia="Arial" w:hAnsi="Arial"/>
                <w:sz w:val="18"/>
                <w:szCs w:val="18"/>
                <w:color w:val="auto"/>
              </w:rPr>
              <w:t>Basic net income/(loss) per common unit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24"/>
                <w:szCs w:val="24"/>
                <w:color w:val="auto"/>
              </w:rPr>
            </w:pPr>
          </w:p>
        </w:tc>
        <w:tc>
          <w:tcPr>
            <w:tcW w:w="860" w:type="dxa"/>
            <w:vAlign w:val="bottom"/>
          </w:tcPr>
          <w:p>
            <w:pPr>
              <w:jc w:val="center"/>
              <w:ind w:left="293"/>
              <w:spacing w:after="0"/>
              <w:rPr>
                <w:sz w:val="20"/>
                <w:szCs w:val="20"/>
                <w:color w:val="auto"/>
              </w:rPr>
            </w:pPr>
            <w:r>
              <w:rPr>
                <w:rFonts w:ascii="Arial" w:cs="Arial" w:eastAsia="Arial" w:hAnsi="Arial"/>
                <w:sz w:val="18"/>
                <w:szCs w:val="18"/>
                <w:color w:val="auto"/>
                <w:w w:val="93"/>
              </w:rPr>
              <w:t>(3.98)</w:t>
            </w: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Reconciling items per common unit and common unit equivalent </w:t>
            </w:r>
            <w:r>
              <w:rPr>
                <w:rFonts w:ascii="Arial" w:cs="Arial" w:eastAsia="Arial" w:hAnsi="Arial"/>
                <w:sz w:val="23"/>
                <w:szCs w:val="23"/>
                <w:color w:val="auto"/>
                <w:vertAlign w:val="superscript"/>
              </w:rPr>
              <w:t>(1) (3)</w:t>
            </w:r>
          </w:p>
        </w:tc>
        <w:tc>
          <w:tcPr>
            <w:tcW w:w="1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center"/>
              <w:ind w:left="313"/>
              <w:spacing w:after="0"/>
              <w:rPr>
                <w:sz w:val="20"/>
                <w:szCs w:val="20"/>
                <w:color w:val="auto"/>
              </w:rPr>
            </w:pPr>
            <w:r>
              <w:rPr>
                <w:rFonts w:ascii="Arial" w:cs="Arial" w:eastAsia="Arial" w:hAnsi="Arial"/>
                <w:sz w:val="18"/>
                <w:szCs w:val="18"/>
                <w:color w:val="auto"/>
                <w:w w:val="85"/>
              </w:rPr>
              <w:t>4.77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700" w:type="dxa"/>
            <w:vAlign w:val="bottom"/>
            <w:shd w:val="clear" w:color="auto" w:fill="CCEEFF"/>
          </w:tcPr>
          <w:p>
            <w:pPr>
              <w:spacing w:after="0" w:line="20" w:lineRule="exact"/>
              <w:rPr>
                <w:sz w:val="1"/>
                <w:szCs w:val="1"/>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mplied DCF per common unit and common unit equivalent</w:t>
            </w:r>
          </w:p>
        </w:tc>
        <w:tc>
          <w:tcPr>
            <w:tcW w:w="1940" w:type="dxa"/>
            <w:vAlign w:val="bottom"/>
            <w:vMerge w:val="continue"/>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5"/>
              </w:rPr>
              <w:t>0.79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-1087755</wp:posOffset>
            </wp:positionV>
            <wp:extent cx="702945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945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-479425</wp:posOffset>
            </wp:positionV>
            <wp:extent cx="702945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9450" cy="14541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Twelve Months Ended</w:t>
      </w:r>
    </w:p>
    <w:p>
      <w:pPr>
        <w:jc w:val="center"/>
        <w:ind w:left="87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4"/>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(4)</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6.14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3"/>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87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and common unit equivalent </w:t>
            </w:r>
            <w:r>
              <w:rPr>
                <w:rFonts w:ascii="Arial" w:cs="Arial" w:eastAsia="Arial" w:hAnsi="Arial"/>
                <w:sz w:val="23"/>
                <w:szCs w:val="23"/>
                <w:color w:val="auto"/>
                <w:vertAlign w:val="superscript"/>
              </w:rPr>
              <w:t>(1) (3)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85"/>
              </w:rPr>
              <w:t>6.12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85"/>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134" w:lineRule="exact"/>
        <w:rPr>
          <w:sz w:val="20"/>
          <w:szCs w:val="20"/>
          <w:color w:val="auto"/>
        </w:rPr>
      </w:pPr>
    </w:p>
    <w:p>
      <w:pPr>
        <w:ind w:left="440" w:right="80" w:hanging="332"/>
        <w:spacing w:after="0" w:line="227" w:lineRule="auto"/>
        <w:tabs>
          <w:tab w:leader="none" w:pos="4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Income/(Loss) to Adjusted EBITDA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722 million and 728 million, respectively.</w:t>
      </w:r>
    </w:p>
    <w:p>
      <w:pPr>
        <w:spacing w:after="0" w:line="55" w:lineRule="exact"/>
        <w:rPr>
          <w:rFonts w:ascii="Arial" w:cs="Arial" w:eastAsia="Arial" w:hAnsi="Arial"/>
          <w:sz w:val="23"/>
          <w:szCs w:val="23"/>
          <w:color w:val="auto"/>
          <w:vertAlign w:val="superscript"/>
        </w:rPr>
      </w:pPr>
    </w:p>
    <w:p>
      <w:pPr>
        <w:ind w:left="440" w:right="240" w:hanging="332"/>
        <w:spacing w:after="0" w:line="219" w:lineRule="auto"/>
        <w:tabs>
          <w:tab w:leader="none" w:pos="4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5"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728 million and 727 million, respectively.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100330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60"/>
        <w:spacing w:after="0"/>
        <w:tabs>
          <w:tab w:leader="none" w:pos="4860" w:val="left"/>
          <w:tab w:leader="none" w:pos="75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340"/>
          </w:cols>
          <w:pgMar w:left="220" w:top="3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r>
      <w:tr>
        <w:trPr>
          <w:trHeight w:val="212"/>
        </w:trPr>
        <w:tc>
          <w:tcPr>
            <w:tcW w:w="8780" w:type="dxa"/>
            <w:vAlign w:val="bottom"/>
            <w:gridSpan w:val="2"/>
            <w:shd w:val="clear" w:color="auto" w:fill="CCEEFF"/>
          </w:tcPr>
          <w:p>
            <w:pPr>
              <w:spacing w:after="0" w:line="212" w:lineRule="exact"/>
              <w:rPr>
                <w:sz w:val="20"/>
                <w:szCs w:val="20"/>
                <w:color w:val="auto"/>
              </w:rPr>
            </w:pPr>
            <w:r>
              <w:rPr>
                <w:rFonts w:ascii="Arial" w:cs="Arial" w:eastAsia="Arial" w:hAnsi="Arial"/>
                <w:sz w:val="18"/>
                <w:szCs w:val="18"/>
                <w:b w:val="1"/>
                <w:bCs w:val="1"/>
                <w:color w:val="auto"/>
              </w:rPr>
              <w:t xml:space="preserve">Free Cash Flow and Free Cash Flow after Distributions Reconciliation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tcPr>
          <w:p>
            <w:pPr>
              <w:jc w:val="right"/>
              <w:ind w:right="53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29"/>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cash provided by operating activities to free cash flow:</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78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878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74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134" w:lineRule="exact"/>
        <w:rPr>
          <w:sz w:val="20"/>
          <w:szCs w:val="20"/>
          <w:color w:val="auto"/>
        </w:rPr>
      </w:pPr>
    </w:p>
    <w:p>
      <w:pPr>
        <w:ind w:left="340" w:right="480" w:hanging="332"/>
        <w:spacing w:after="0" w:line="238" w:lineRule="auto"/>
        <w:tabs>
          <w:tab w:leader="none" w:pos="32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w:t>
      </w:r>
    </w:p>
    <w:p>
      <w:pPr>
        <w:spacing w:after="0" w:line="7"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320" w:hanging="312"/>
        <w:spacing w:after="0" w:line="183" w:lineRule="auto"/>
        <w:tabs>
          <w:tab w:leader="none" w:pos="320"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Cash distributions paid to preferred and common unitholders during the period.</w:t>
      </w:r>
    </w:p>
    <w:p>
      <w:pPr>
        <w:ind w:left="5440" w:hanging="106"/>
        <w:spacing w:after="0"/>
        <w:tabs>
          <w:tab w:leader="none" w:pos="5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Three Months Ended</w:t>
      </w:r>
    </w:p>
    <w:p>
      <w:pPr>
        <w:jc w:val="center"/>
        <w:ind w:left="89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r>
      <w:tr>
        <w:trPr>
          <w:trHeight w:val="197"/>
        </w:trPr>
        <w:tc>
          <w:tcPr>
            <w:tcW w:w="900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9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Gains/(losses) from derivative activities and inventory valuation adjustments </w:t>
            </w:r>
            <w:r>
              <w:rPr>
                <w:rFonts w:ascii="Arial" w:cs="Arial" w:eastAsia="Arial" w:hAnsi="Arial"/>
                <w:sz w:val="22"/>
                <w:szCs w:val="22"/>
                <w:color w:val="auto"/>
                <w:vertAlign w:val="superscript"/>
              </w:rPr>
              <w:t>(2)</w:t>
            </w:r>
          </w:p>
        </w:tc>
        <w:tc>
          <w:tcPr>
            <w:tcW w:w="700" w:type="dxa"/>
            <w:vAlign w:val="bottom"/>
          </w:tcPr>
          <w:p>
            <w:pPr>
              <w:jc w:val="right"/>
              <w:ind w:right="518"/>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8"/>
              </w:rPr>
              <w:t>131</w:t>
            </w:r>
          </w:p>
        </w:tc>
        <w:tc>
          <w:tcPr>
            <w:tcW w:w="1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r>
      <w:tr>
        <w:trPr>
          <w:trHeight w:val="216"/>
        </w:trPr>
        <w:tc>
          <w:tcPr>
            <w:tcW w:w="9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9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Net gain/(loss) on foreign currency revaluation </w:t>
            </w:r>
            <w:r>
              <w:rPr>
                <w:rFonts w:ascii="Arial" w:cs="Arial" w:eastAsia="Arial" w:hAnsi="Arial"/>
                <w:sz w:val="22"/>
                <w:szCs w:val="22"/>
                <w:color w:val="auto"/>
                <w:vertAlign w:val="superscript"/>
              </w:rPr>
              <w:t>(6)</w:t>
            </w:r>
          </w:p>
        </w:tc>
        <w:tc>
          <w:tcPr>
            <w:tcW w:w="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9"/>
        </w:trPr>
        <w:tc>
          <w:tcPr>
            <w:tcW w:w="900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Significant acquisition-related expenses </w:t>
            </w:r>
            <w:r>
              <w:rPr>
                <w:rFonts w:ascii="Arial" w:cs="Arial" w:eastAsia="Arial" w:hAnsi="Arial"/>
                <w:sz w:val="22"/>
                <w:szCs w:val="22"/>
                <w:color w:val="auto"/>
                <w:vertAlign w:val="superscript"/>
              </w:rPr>
              <w:t>(7)</w:t>
            </w:r>
          </w:p>
        </w:tc>
        <w:tc>
          <w:tcPr>
            <w:tcW w:w="7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9000" w:type="dxa"/>
            <w:vAlign w:val="bottom"/>
            <w:gridSpan w:val="2"/>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700" w:type="dxa"/>
            <w:vAlign w:val="bottom"/>
            <w:tcBorders>
              <w:top w:val="single" w:sz="8" w:color="auto"/>
            </w:tcBorders>
          </w:tcPr>
          <w:p>
            <w:pPr>
              <w:jc w:val="right"/>
              <w:ind w:right="518"/>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207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(170)</w:t>
            </w:r>
          </w:p>
        </w:tc>
      </w:tr>
      <w:tr>
        <w:trPr>
          <w:trHeight w:val="22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7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2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Goodwill impairment losses</w:t>
            </w:r>
          </w:p>
        </w:tc>
        <w:tc>
          <w:tcPr>
            <w:tcW w:w="7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16"/>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35"/>
        </w:trPr>
        <w:tc>
          <w:tcPr>
            <w:tcW w:w="9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700" w:type="dxa"/>
            <w:vAlign w:val="bottom"/>
            <w:tcBorders>
              <w:bottom w:val="single" w:sz="8" w:color="auto"/>
            </w:tcBorders>
            <w:shd w:val="clear" w:color="auto" w:fill="CCEEFF"/>
          </w:tcPr>
          <w:p>
            <w:pPr>
              <w:jc w:val="right"/>
              <w:ind w:right="518"/>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190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94"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5" w:lineRule="exact"/>
        <w:rPr>
          <w:rFonts w:ascii="Arial" w:cs="Arial" w:eastAsia="Arial" w:hAnsi="Arial"/>
          <w:sz w:val="19"/>
          <w:szCs w:val="19"/>
          <w:color w:val="auto"/>
          <w:vertAlign w:val="superscript"/>
        </w:rPr>
      </w:pPr>
    </w:p>
    <w:p>
      <w:pPr>
        <w:ind w:left="340" w:right="20" w:hanging="332"/>
        <w:spacing w:after="0" w:line="249" w:lineRule="auto"/>
        <w:tabs>
          <w:tab w:leader="none" w:pos="327"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w:t>
      </w:r>
    </w:p>
    <w:p>
      <w:pPr>
        <w:spacing w:after="0" w:line="28" w:lineRule="exact"/>
        <w:rPr>
          <w:rFonts w:ascii="Arial" w:cs="Arial" w:eastAsia="Arial" w:hAnsi="Arial"/>
          <w:sz w:val="17"/>
          <w:szCs w:val="17"/>
          <w:color w:val="auto"/>
          <w:vertAlign w:val="superscript"/>
        </w:rPr>
      </w:pPr>
    </w:p>
    <w:p>
      <w:pPr>
        <w:ind w:left="340" w:right="20" w:hanging="332"/>
        <w:spacing w:after="0" w:line="251" w:lineRule="auto"/>
        <w:tabs>
          <w:tab w:leader="none" w:pos="327"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8" w:lineRule="exact"/>
        <w:rPr>
          <w:rFonts w:ascii="Arial" w:cs="Arial" w:eastAsia="Arial" w:hAnsi="Arial"/>
          <w:sz w:val="17"/>
          <w:szCs w:val="17"/>
          <w:color w:val="auto"/>
          <w:vertAlign w:val="superscript"/>
        </w:rPr>
      </w:pPr>
    </w:p>
    <w:p>
      <w:pPr>
        <w:ind w:left="340" w:right="60" w:hanging="332"/>
        <w:spacing w:after="0" w:line="256" w:lineRule="auto"/>
        <w:tabs>
          <w:tab w:leader="none" w:pos="327"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7" w:lineRule="exact"/>
        <w:rPr>
          <w:rFonts w:ascii="Arial" w:cs="Arial" w:eastAsia="Arial" w:hAnsi="Arial"/>
          <w:sz w:val="17"/>
          <w:szCs w:val="17"/>
          <w:color w:val="auto"/>
          <w:vertAlign w:val="superscript"/>
        </w:rPr>
      </w:pPr>
    </w:p>
    <w:p>
      <w:pPr>
        <w:ind w:left="340" w:right="40" w:hanging="332"/>
        <w:spacing w:after="0" w:line="228" w:lineRule="auto"/>
        <w:tabs>
          <w:tab w:leader="none" w:pos="32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5" w:lineRule="exact"/>
        <w:rPr>
          <w:rFonts w:ascii="Arial" w:cs="Arial" w:eastAsia="Arial" w:hAnsi="Arial"/>
          <w:sz w:val="19"/>
          <w:szCs w:val="19"/>
          <w:color w:val="auto"/>
          <w:vertAlign w:val="superscript"/>
        </w:rPr>
      </w:pPr>
    </w:p>
    <w:p>
      <w:pPr>
        <w:ind w:left="340" w:right="80" w:hanging="332"/>
        <w:spacing w:after="0" w:line="224" w:lineRule="auto"/>
        <w:tabs>
          <w:tab w:leader="none" w:pos="327"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 w:lineRule="exact"/>
        <w:rPr>
          <w:rFonts w:ascii="Arial" w:cs="Arial" w:eastAsia="Arial" w:hAnsi="Arial"/>
          <w:sz w:val="19"/>
          <w:szCs w:val="19"/>
          <w:color w:val="auto"/>
          <w:vertAlign w:val="superscript"/>
        </w:rPr>
      </w:pPr>
    </w:p>
    <w:p>
      <w:pPr>
        <w:ind w:left="320" w:hanging="312"/>
        <w:spacing w:after="0" w:line="237" w:lineRule="auto"/>
        <w:tabs>
          <w:tab w:leader="none" w:pos="3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Includes acquisition-related expenses associated with the acquisition of Felix Midstream LLC in February 2020.</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Twelve Months Ended</w:t>
      </w:r>
    </w:p>
    <w:p>
      <w:pPr>
        <w:jc w:val="center"/>
        <w:ind w:left="898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r>
      <w:tr>
        <w:trPr>
          <w:trHeight w:val="197"/>
        </w:trPr>
        <w:tc>
          <w:tcPr>
            <w:tcW w:w="900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9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Losses from derivative activities and inventory valuation adjustments </w:t>
            </w:r>
            <w:r>
              <w:rPr>
                <w:rFonts w:ascii="Arial" w:cs="Arial" w:eastAsia="Arial" w:hAnsi="Arial"/>
                <w:sz w:val="22"/>
                <w:szCs w:val="22"/>
                <w:color w:val="auto"/>
                <w:vertAlign w:val="superscript"/>
              </w:rPr>
              <w:t>(2)</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9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90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Net gain on foreign currency revaluation </w:t>
            </w:r>
            <w:r>
              <w:rPr>
                <w:rFonts w:ascii="Arial" w:cs="Arial" w:eastAsia="Arial" w:hAnsi="Arial"/>
                <w:sz w:val="22"/>
                <w:szCs w:val="22"/>
                <w:color w:val="auto"/>
                <w:vertAlign w:val="superscript"/>
              </w:rPr>
              <w:t>(6)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9"/>
        </w:trPr>
        <w:tc>
          <w:tcPr>
            <w:tcW w:w="900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Significant acquisition-related expenses </w:t>
            </w:r>
            <w:r>
              <w:rPr>
                <w:rFonts w:ascii="Arial" w:cs="Arial" w:eastAsia="Arial" w:hAnsi="Arial"/>
                <w:sz w:val="22"/>
                <w:szCs w:val="22"/>
                <w:color w:val="auto"/>
                <w:vertAlign w:val="superscript"/>
              </w:rPr>
              <w:t>(8)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0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Net gain on early repayment of senior notes </w:t>
            </w:r>
            <w:r>
              <w:rPr>
                <w:rFonts w:ascii="Arial" w:cs="Arial" w:eastAsia="Arial" w:hAnsi="Arial"/>
                <w:sz w:val="22"/>
                <w:szCs w:val="22"/>
                <w:color w:val="auto"/>
                <w:vertAlign w:val="superscript"/>
              </w:rPr>
              <w:t>(9)</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9000" w:type="dxa"/>
            <w:vAlign w:val="bottom"/>
            <w:gridSpan w:val="2"/>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(581)</w:t>
            </w:r>
          </w:p>
        </w:tc>
        <w:tc>
          <w:tcPr>
            <w:tcW w:w="12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(146)</w:t>
            </w:r>
          </w:p>
        </w:tc>
      </w:tr>
      <w:tr>
        <w:trPr>
          <w:trHeight w:val="216"/>
        </w:trPr>
        <w:tc>
          <w:tcPr>
            <w:tcW w:w="90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Losses from derivative activities </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000" w:type="dxa"/>
            <w:vAlign w:val="bottom"/>
            <w:gridSpan w:val="2"/>
          </w:tcPr>
          <w:p>
            <w:pPr>
              <w:ind w:left="20"/>
              <w:spacing w:after="0"/>
              <w:rPr>
                <w:sz w:val="20"/>
                <w:szCs w:val="20"/>
                <w:color w:val="auto"/>
              </w:rPr>
            </w:pPr>
            <w:r>
              <w:rPr>
                <w:rFonts w:ascii="Arial" w:cs="Arial" w:eastAsia="Arial" w:hAnsi="Arial"/>
                <w:sz w:val="17"/>
                <w:szCs w:val="17"/>
                <w:color w:val="auto"/>
              </w:rPr>
              <w:t>Goodwill impairment losses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09"/>
        </w:trPr>
        <w:tc>
          <w:tcPr>
            <w:tcW w:w="9000" w:type="dxa"/>
            <w:vAlign w:val="bottom"/>
            <w:gridSpan w:val="2"/>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r>
      <w:tr>
        <w:trPr>
          <w:trHeight w:val="21"/>
        </w:trPr>
        <w:tc>
          <w:tcPr>
            <w:tcW w:w="3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bl>
    <w:p>
      <w:pPr>
        <w:spacing w:after="0" w:line="10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49" w:lineRule="exact"/>
        <w:rPr>
          <w:rFonts w:ascii="Arial" w:cs="Arial" w:eastAsia="Arial" w:hAnsi="Arial"/>
          <w:sz w:val="18"/>
          <w:szCs w:val="18"/>
          <w:color w:val="auto"/>
          <w:vertAlign w:val="superscript"/>
        </w:rPr>
      </w:pPr>
    </w:p>
    <w:p>
      <w:pPr>
        <w:ind w:left="340" w:right="20" w:hanging="332"/>
        <w:spacing w:after="0" w:line="243" w:lineRule="auto"/>
        <w:tabs>
          <w:tab w:leader="none" w:pos="334"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w:t>
      </w:r>
    </w:p>
    <w:p>
      <w:pPr>
        <w:spacing w:after="0" w:line="43" w:lineRule="exact"/>
        <w:rPr>
          <w:rFonts w:ascii="Arial" w:cs="Arial" w:eastAsia="Arial" w:hAnsi="Arial"/>
          <w:sz w:val="18"/>
          <w:szCs w:val="18"/>
          <w:color w:val="auto"/>
          <w:vertAlign w:val="superscript"/>
        </w:rPr>
      </w:pPr>
    </w:p>
    <w:p>
      <w:pPr>
        <w:ind w:left="340" w:right="20" w:hanging="332"/>
        <w:spacing w:after="0" w:line="241" w:lineRule="auto"/>
        <w:tabs>
          <w:tab w:leader="none" w:pos="334"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3" w:lineRule="exact"/>
        <w:rPr>
          <w:rFonts w:ascii="Arial" w:cs="Arial" w:eastAsia="Arial" w:hAnsi="Arial"/>
          <w:sz w:val="18"/>
          <w:szCs w:val="18"/>
          <w:color w:val="auto"/>
          <w:vertAlign w:val="superscript"/>
        </w:rPr>
      </w:pPr>
    </w:p>
    <w:p>
      <w:pPr>
        <w:ind w:left="340" w:right="100" w:hanging="332"/>
        <w:spacing w:after="0" w:line="252" w:lineRule="auto"/>
        <w:tabs>
          <w:tab w:leader="none" w:pos="334"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8" w:lineRule="exact"/>
        <w:rPr>
          <w:rFonts w:ascii="Arial" w:cs="Arial" w:eastAsia="Arial" w:hAnsi="Arial"/>
          <w:sz w:val="18"/>
          <w:szCs w:val="18"/>
          <w:color w:val="auto"/>
          <w:vertAlign w:val="superscript"/>
        </w:rPr>
      </w:pPr>
    </w:p>
    <w:p>
      <w:pPr>
        <w:jc w:val="both"/>
        <w:ind w:left="340" w:right="140" w:hanging="332"/>
        <w:spacing w:after="0" w:line="241" w:lineRule="auto"/>
        <w:tabs>
          <w:tab w:leader="none" w:pos="334"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43" w:lineRule="exact"/>
        <w:rPr>
          <w:rFonts w:ascii="Arial" w:cs="Arial" w:eastAsia="Arial" w:hAnsi="Arial"/>
          <w:sz w:val="18"/>
          <w:szCs w:val="18"/>
          <w:color w:val="auto"/>
          <w:vertAlign w:val="superscript"/>
        </w:rPr>
      </w:pPr>
    </w:p>
    <w:p>
      <w:pPr>
        <w:jc w:val="both"/>
        <w:ind w:left="340" w:right="120" w:hanging="332"/>
        <w:spacing w:after="0" w:line="235" w:lineRule="auto"/>
        <w:tabs>
          <w:tab w:leader="none" w:pos="334"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9" w:lineRule="exact"/>
        <w:rPr>
          <w:rFonts w:ascii="Arial" w:cs="Arial" w:eastAsia="Arial" w:hAnsi="Arial"/>
          <w:sz w:val="18"/>
          <w:szCs w:val="18"/>
          <w:color w:val="auto"/>
          <w:vertAlign w:val="superscript"/>
        </w:rPr>
      </w:pPr>
    </w:p>
    <w:p>
      <w:pPr>
        <w:ind w:left="320" w:hanging="312"/>
        <w:spacing w:after="0"/>
        <w:tabs>
          <w:tab w:leader="none" w:pos="320"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Includes acquisition-related expenses associated with the acquisition of Felix Midstream LLC in February 2020.</w:t>
      </w:r>
    </w:p>
    <w:p>
      <w:pPr>
        <w:spacing w:after="0" w:line="49" w:lineRule="exact"/>
        <w:rPr>
          <w:rFonts w:ascii="Arial" w:cs="Arial" w:eastAsia="Arial" w:hAnsi="Arial"/>
          <w:sz w:val="18"/>
          <w:szCs w:val="18"/>
          <w:color w:val="auto"/>
          <w:vertAlign w:val="superscript"/>
        </w:rPr>
      </w:pPr>
    </w:p>
    <w:p>
      <w:pPr>
        <w:ind w:left="320" w:hanging="312"/>
        <w:spacing w:after="0" w:line="193" w:lineRule="auto"/>
        <w:tabs>
          <w:tab w:leader="none" w:pos="320" w:val="left"/>
        </w:tabs>
        <w:numPr>
          <w:ilvl w:val="0"/>
          <w:numId w:val="19"/>
        </w:numPr>
        <w:rPr>
          <w:rFonts w:ascii="Arial" w:cs="Arial" w:eastAsia="Arial" w:hAnsi="Arial"/>
          <w:sz w:val="18"/>
          <w:szCs w:val="18"/>
          <w:color w:val="auto"/>
          <w:vertAlign w:val="superscript"/>
        </w:rPr>
      </w:pPr>
      <w:r>
        <w:rPr>
          <w:rFonts w:ascii="Arial" w:cs="Arial" w:eastAsia="Arial" w:hAnsi="Arial"/>
          <w:sz w:val="13"/>
          <w:szCs w:val="13"/>
          <w:color w:val="auto"/>
        </w:rPr>
        <w:t>Includes net gains recognized in connection with the repurchase of our outstanding senior notes on the open market.</w:t>
      </w:r>
    </w:p>
    <w:p>
      <w:pPr>
        <w:spacing w:after="0" w:line="243" w:lineRule="exact"/>
        <w:rPr>
          <w:rFonts w:ascii="Arial" w:cs="Arial" w:eastAsia="Arial" w:hAnsi="Arial"/>
          <w:sz w:val="18"/>
          <w:szCs w:val="18"/>
          <w:color w:val="auto"/>
          <w:vertAlign w:val="superscript"/>
        </w:rPr>
      </w:pPr>
    </w:p>
    <w:p>
      <w:pPr>
        <w:ind w:left="5440" w:hanging="106"/>
        <w:spacing w:after="0"/>
        <w:tabs>
          <w:tab w:leader="none" w:pos="5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2021</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2020</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Facilities</w:t>
            </w:r>
          </w:p>
        </w:tc>
        <w:tc>
          <w:tcPr>
            <w:tcW w:w="180" w:type="dxa"/>
            <w:vAlign w:val="bottom"/>
          </w:tcPr>
          <w:p>
            <w:pPr>
              <w:spacing w:after="0"/>
              <w:rPr>
                <w:sz w:val="11"/>
                <w:szCs w:val="11"/>
                <w:color w:val="auto"/>
              </w:rPr>
            </w:pPr>
          </w:p>
        </w:tc>
        <w:tc>
          <w:tcPr>
            <w:tcW w:w="1060" w:type="dxa"/>
            <w:vAlign w:val="bottom"/>
          </w:tcPr>
          <w:p>
            <w:pPr>
              <w:jc w:val="center"/>
              <w:ind w:right="112"/>
              <w:spacing w:after="0" w:line="130" w:lineRule="exact"/>
              <w:rPr>
                <w:sz w:val="20"/>
                <w:szCs w:val="20"/>
                <w:color w:val="auto"/>
              </w:rPr>
            </w:pPr>
            <w:r>
              <w:rPr>
                <w:rFonts w:ascii="Arial" w:cs="Arial" w:eastAsia="Arial" w:hAnsi="Arial"/>
                <w:sz w:val="14"/>
                <w:szCs w:val="14"/>
                <w:b w:val="1"/>
                <w:bCs w:val="1"/>
                <w:color w:val="auto"/>
                <w:w w:val="92"/>
              </w:rPr>
              <w:t>Supply and</w:t>
            </w:r>
          </w:p>
        </w:tc>
        <w:tc>
          <w:tcPr>
            <w:tcW w:w="22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80" w:type="dxa"/>
            <w:vAlign w:val="bottom"/>
          </w:tcPr>
          <w:p>
            <w:pPr>
              <w:jc w:val="right"/>
              <w:ind w:right="192"/>
              <w:spacing w:after="0" w:line="130"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Logistics</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activities and inventory valuation</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gain on foreign currency</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Significant acquisition-related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180"/>
          </w:cols>
          <w:pgMar w:left="320" w:top="368" w:right="39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860"/>
          </w:cols>
          <w:pgMar w:left="320" w:top="368" w:right="399" w:bottom="1440" w:gutter="0" w:footer="0" w:header="0"/>
          <w:type w:val="continuous"/>
        </w:sectPr>
      </w:pPr>
    </w:p>
    <w:p>
      <w:pPr>
        <w:ind w:left="340" w:right="40" w:hanging="332"/>
        <w:spacing w:after="0" w:line="267" w:lineRule="auto"/>
        <w:tabs>
          <w:tab w:leader="none" w:pos="32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80" w:hanging="332"/>
        <w:spacing w:after="0" w:line="234"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80"/>
          </w:cols>
          <w:pgMar w:left="320" w:top="368" w:right="3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jc w:val="center"/>
        <w:ind w:left="8760"/>
        <w:spacing w:after="0" w:line="211" w:lineRule="auto"/>
        <w:rPr>
          <w:sz w:val="20"/>
          <w:szCs w:val="20"/>
          <w:color w:val="auto"/>
        </w:rPr>
      </w:pPr>
      <w:r>
        <w:rPr>
          <w:rFonts w:ascii="Arial" w:cs="Arial" w:eastAsia="Arial" w:hAnsi="Arial"/>
          <w:sz w:val="14"/>
          <w:szCs w:val="14"/>
          <w:b w:val="1"/>
          <w:bCs w:val="1"/>
          <w:color w:val="auto"/>
        </w:rPr>
        <w:t>Three Months Ended</w:t>
      </w:r>
    </w:p>
    <w:p>
      <w:pPr>
        <w:jc w:val="center"/>
        <w:ind w:left="87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r>
      <w:tr>
        <w:trPr>
          <w:trHeight w:val="211"/>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(average daily volumes in thousands of barrels per day):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Tariff activities volumes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Crude oil pipelines (by region):</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7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5,165</w:t>
            </w:r>
          </w:p>
        </w:tc>
      </w:tr>
      <w:tr>
        <w:trPr>
          <w:trHeight w:val="230"/>
        </w:trPr>
        <w:tc>
          <w:tcPr>
            <w:tcW w:w="878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29"/>
        </w:trPr>
        <w:tc>
          <w:tcPr>
            <w:tcW w:w="87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Gulf Coast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878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8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Western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87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Canada</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23"/>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Crude oil pipelines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w:t>
            </w:r>
          </w:p>
        </w:tc>
      </w:tr>
      <w:tr>
        <w:trPr>
          <w:trHeight w:val="229"/>
        </w:trPr>
        <w:tc>
          <w:tcPr>
            <w:tcW w:w="8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NGL pipelines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 total volumes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w:t>
            </w:r>
          </w:p>
        </w:tc>
      </w:tr>
      <w:tr>
        <w:trPr>
          <w:trHeight w:val="229"/>
        </w:trPr>
        <w:tc>
          <w:tcPr>
            <w:tcW w:w="8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Trucking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48"/>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segment total volumes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9"/>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(average monthly volumes):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78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8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78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NGL fractionation (average volumes in thousands of barrels per day)</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9"/>
        </w:trPr>
        <w:tc>
          <w:tcPr>
            <w:tcW w:w="87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Facilities segment total volumes (average monthly volumes in millions of barrels) </w:t>
            </w:r>
            <w:r>
              <w:rPr>
                <w:rFonts w:ascii="Arial" w:cs="Arial" w:eastAsia="Arial" w:hAnsi="Arial"/>
                <w:sz w:val="23"/>
                <w:szCs w:val="23"/>
                <w:color w:val="auto"/>
                <w:vertAlign w:val="superscript"/>
              </w:rPr>
              <w:t>(4)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8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segment (average daily volumes in thousands of barrels per 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Crude oil lease gathering purchases</w:t>
            </w:r>
          </w:p>
        </w:tc>
        <w:tc>
          <w:tcPr>
            <w:tcW w:w="118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30"/>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Supply and Logistics segment total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r>
      <w:tr>
        <w:trPr>
          <w:trHeight w:val="20"/>
        </w:trPr>
        <w:tc>
          <w:tcPr>
            <w:tcW w:w="38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6"/>
        </w:trPr>
        <w:tc>
          <w:tcPr>
            <w:tcW w:w="3880" w:type="dxa"/>
            <w:vAlign w:val="bottom"/>
            <w:tcBorders>
              <w:bottom w:val="single" w:sz="8" w:color="auto"/>
            </w:tcBorders>
          </w:tcPr>
          <w:p>
            <w:pPr>
              <w:spacing w:after="0"/>
              <w:rPr>
                <w:sz w:val="13"/>
                <w:szCs w:val="13"/>
                <w:color w:val="auto"/>
              </w:rPr>
            </w:pPr>
          </w:p>
        </w:tc>
        <w:tc>
          <w:tcPr>
            <w:tcW w:w="4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12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55"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56"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56" w:lineRule="exact"/>
        <w:rPr>
          <w:rFonts w:ascii="Arial" w:cs="Arial" w:eastAsia="Arial" w:hAnsi="Arial"/>
          <w:sz w:val="23"/>
          <w:szCs w:val="23"/>
          <w:color w:val="auto"/>
          <w:vertAlign w:val="superscript"/>
        </w:rPr>
      </w:pPr>
    </w:p>
    <w:p>
      <w:pPr>
        <w:ind w:left="340" w:right="260" w:hanging="332"/>
        <w:spacing w:after="0" w:line="241" w:lineRule="auto"/>
        <w:tabs>
          <w:tab w:leader="none" w:pos="328"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2" w:name="page23"/>
    <w:bookmarkEnd w:id="22"/>
    <w:p>
      <w:pPr>
        <w:ind w:left="100"/>
        <w:spacing w:after="0"/>
        <w:rPr>
          <w:sz w:val="20"/>
          <w:szCs w:val="20"/>
          <w:color w:val="auto"/>
        </w:rPr>
      </w:pPr>
      <w:r>
        <w:rPr>
          <w:rFonts w:ascii="Arial" w:cs="Arial" w:eastAsia="Arial" w:hAnsi="Arial"/>
          <w:sz w:val="18"/>
          <w:szCs w:val="18"/>
          <w:u w:val="single" w:color="auto"/>
          <w:color w:val="auto"/>
        </w:rPr>
        <w:t>Page 20</w:t>
      </w:r>
    </w:p>
    <w:p>
      <w:pPr>
        <w:spacing w:after="0" w:line="35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57150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Fee-based Segment Adjusted EBITDA to Adjusted EBITDA Reconciliation:</w:t>
      </w:r>
    </w:p>
    <w:p>
      <w:pPr>
        <w:spacing w:after="0" w:line="280"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82"/>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r>
      <w:tr>
        <w:trPr>
          <w:trHeight w:val="181"/>
        </w:trPr>
        <w:tc>
          <w:tcPr>
            <w:tcW w:w="100" w:type="dxa"/>
            <w:vAlign w:val="bottom"/>
          </w:tcPr>
          <w:p>
            <w:pPr>
              <w:spacing w:after="0"/>
              <w:rPr>
                <w:sz w:val="15"/>
                <w:szCs w:val="15"/>
                <w:color w:val="auto"/>
              </w:rPr>
            </w:pPr>
          </w:p>
        </w:tc>
        <w:tc>
          <w:tcPr>
            <w:tcW w:w="3880" w:type="dxa"/>
            <w:vAlign w:val="bottom"/>
            <w:tcBorders>
              <w:bottom w:val="single" w:sz="8" w:color="CCEEFF"/>
            </w:tcBorders>
          </w:tcPr>
          <w:p>
            <w:pPr>
              <w:spacing w:after="0"/>
              <w:rPr>
                <w:sz w:val="15"/>
                <w:szCs w:val="15"/>
                <w:color w:val="auto"/>
              </w:rPr>
            </w:pPr>
          </w:p>
        </w:tc>
        <w:tc>
          <w:tcPr>
            <w:tcW w:w="47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4"/>
        </w:trPr>
        <w:tc>
          <w:tcPr>
            <w:tcW w:w="10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100" w:type="dxa"/>
            <w:vAlign w:val="bottom"/>
          </w:tcPr>
          <w:p>
            <w:pPr>
              <w:spacing w:after="0"/>
              <w:rPr>
                <w:sz w:val="19"/>
                <w:szCs w:val="19"/>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Facilities Segment Adjusted EBITDA</w:t>
            </w:r>
          </w:p>
        </w:tc>
        <w:tc>
          <w:tcPr>
            <w:tcW w:w="47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10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Fee-based Segment Adjusted EBITDA</w:t>
            </w:r>
          </w:p>
        </w:tc>
        <w:tc>
          <w:tcPr>
            <w:tcW w:w="4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1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9"/>
              </w:rPr>
              <w:t>Supply and Logistics Segment Adjusted EBITDA</w:t>
            </w:r>
          </w:p>
        </w:tc>
        <w:tc>
          <w:tcPr>
            <w:tcW w:w="4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100" w:type="dxa"/>
            <w:vAlign w:val="bottom"/>
          </w:tcPr>
          <w:p>
            <w:pPr>
              <w:spacing w:after="0"/>
              <w:rPr>
                <w:sz w:val="19"/>
                <w:szCs w:val="19"/>
                <w:color w:val="auto"/>
              </w:rPr>
            </w:pPr>
          </w:p>
        </w:tc>
        <w:tc>
          <w:tcPr>
            <w:tcW w:w="388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476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980" w:type="dxa"/>
            <w:vAlign w:val="bottom"/>
            <w:gridSpan w:val="2"/>
          </w:tcPr>
          <w:p>
            <w:pPr>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47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546</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1"/>
        </w:trPr>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4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134" w:lineRule="exact"/>
        <w:rPr>
          <w:sz w:val="20"/>
          <w:szCs w:val="20"/>
          <w:color w:val="auto"/>
        </w:rPr>
      </w:pPr>
    </w:p>
    <w:p>
      <w:pPr>
        <w:ind w:left="440" w:right="240" w:hanging="332"/>
        <w:spacing w:after="0" w:line="234" w:lineRule="auto"/>
        <w:tabs>
          <w:tab w:leader="none" w:pos="4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“Other expense, net” as reported on our Condensed Consolidated Statements of Operations, adjusted for selected items impacting comparability of $60 million and $33 million for the three months ended March 31, 2021 and 2020, respectively. See the “Selected Items Impacting Comparability” table for additional information.</w:t>
      </w:r>
    </w:p>
    <w:p>
      <w:pPr>
        <w:spacing w:after="0" w:line="6"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See the “Net Income/(Loss) to Adjusted EBITDA and Implied DCF Reconciliation” table for reconciliation to Net Income/(Loss).</w:t>
      </w:r>
    </w:p>
    <w:p>
      <w:pPr>
        <w:spacing w:after="0" w:line="3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37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2021</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2020</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Transportation</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3"/>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2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Transportation</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0"/>
              </w:rPr>
              <w:t>Facilities</w:t>
            </w:r>
          </w:p>
        </w:tc>
        <w:tc>
          <w:tcPr>
            <w:tcW w:w="200" w:type="dxa"/>
            <w:vAlign w:val="bottom"/>
          </w:tcPr>
          <w:p>
            <w:pPr>
              <w:spacing w:after="0"/>
              <w:rPr>
                <w:sz w:val="12"/>
                <w:szCs w:val="12"/>
                <w:color w:val="auto"/>
              </w:rPr>
            </w:pPr>
          </w:p>
        </w:tc>
        <w:tc>
          <w:tcPr>
            <w:tcW w:w="1140" w:type="dxa"/>
            <w:vAlign w:val="bottom"/>
          </w:tcPr>
          <w:p>
            <w:pPr>
              <w:jc w:val="right"/>
              <w:ind w:right="218"/>
              <w:spacing w:after="0" w:line="144" w:lineRule="exact"/>
              <w:rPr>
                <w:sz w:val="20"/>
                <w:szCs w:val="20"/>
                <w:color w:val="auto"/>
              </w:rPr>
            </w:pPr>
            <w:r>
              <w:rPr>
                <w:rFonts w:ascii="Arial" w:cs="Arial" w:eastAsia="Arial" w:hAnsi="Arial"/>
                <w:sz w:val="15"/>
                <w:szCs w:val="15"/>
                <w:b w:val="1"/>
                <w:bCs w:val="1"/>
                <w:color w:val="auto"/>
              </w:rPr>
              <w:t>Supply and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w w:val="88"/>
              </w:rPr>
              <w:t>Logistics</w:t>
            </w:r>
          </w:p>
        </w:tc>
        <w:tc>
          <w:tcPr>
            <w:tcW w:w="1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298"/>
              <w:spacing w:after="0"/>
              <w:rPr>
                <w:sz w:val="20"/>
                <w:szCs w:val="20"/>
                <w:color w:val="auto"/>
              </w:rPr>
            </w:pPr>
            <w:r>
              <w:rPr>
                <w:rFonts w:ascii="Arial" w:cs="Arial" w:eastAsia="Arial" w:hAnsi="Arial"/>
                <w:sz w:val="15"/>
                <w:szCs w:val="15"/>
                <w:b w:val="1"/>
                <w:bCs w:val="1"/>
                <w:color w:val="auto"/>
              </w:rPr>
              <w:t>Logistics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center"/>
              <w:ind w:left="698"/>
              <w:spacing w:after="0"/>
              <w:rPr>
                <w:sz w:val="20"/>
                <w:szCs w:val="20"/>
                <w:color w:val="auto"/>
              </w:rPr>
            </w:pPr>
            <w:r>
              <w:rPr>
                <w:rFonts w:ascii="Arial" w:cs="Arial" w:eastAsia="Arial" w:hAnsi="Arial"/>
                <w:sz w:val="17"/>
                <w:szCs w:val="17"/>
                <w:color w:val="auto"/>
                <w:w w:val="92"/>
              </w:rPr>
              <w:t>(13)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rPr>
              <w:t>210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60" w:type="dxa"/>
            <w:vAlign w:val="bottom"/>
            <w:tcBorders>
              <w:right w:val="single" w:sz="8" w:color="auto"/>
            </w:tcBorders>
            <w:gridSpan w:val="2"/>
          </w:tcPr>
          <w:p>
            <w:pPr>
              <w:jc w:val="center"/>
              <w:ind w:left="618"/>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ind w:left="900"/>
              <w:spacing w:after="0"/>
              <w:rPr>
                <w:sz w:val="20"/>
                <w:szCs w:val="20"/>
                <w:color w:val="auto"/>
              </w:rPr>
            </w:pPr>
            <w:r>
              <w:rPr>
                <w:rFonts w:ascii="Arial" w:cs="Arial" w:eastAsia="Arial" w:hAnsi="Arial"/>
                <w:sz w:val="17"/>
                <w:szCs w:val="17"/>
                <w:color w:val="auto"/>
                <w:w w:val="92"/>
              </w:rPr>
              <w:t>(18)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shd w:val="clear" w:color="auto" w:fill="CCEEFF"/>
          </w:tcPr>
          <w:p>
            <w:pPr>
              <w:ind w:left="180"/>
              <w:spacing w:after="0" w:line="162" w:lineRule="exact"/>
              <w:rPr>
                <w:sz w:val="20"/>
                <w:szCs w:val="20"/>
                <w:color w:val="auto"/>
              </w:rPr>
            </w:pPr>
            <w:r>
              <w:rPr>
                <w:rFonts w:ascii="Arial" w:cs="Arial" w:eastAsia="Arial" w:hAnsi="Arial"/>
                <w:sz w:val="17"/>
                <w:szCs w:val="17"/>
                <w:color w:val="auto"/>
              </w:rPr>
              <w:t>further adjusted for impact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center"/>
              <w:ind w:left="698"/>
              <w:spacing w:after="0"/>
              <w:rPr>
                <w:sz w:val="20"/>
                <w:szCs w:val="20"/>
                <w:color w:val="auto"/>
              </w:rPr>
            </w:pPr>
            <w:r>
              <w:rPr>
                <w:rFonts w:ascii="Arial" w:cs="Arial" w:eastAsia="Arial" w:hAnsi="Arial"/>
                <w:sz w:val="17"/>
                <w:szCs w:val="17"/>
                <w:color w:val="auto"/>
                <w:w w:val="92"/>
              </w:rPr>
              <w:t>(13)</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0" w:type="dxa"/>
            <w:vAlign w:val="bottom"/>
            <w:vMerge w:val="restart"/>
            <w:shd w:val="clear" w:color="auto" w:fill="CCEEFF"/>
          </w:tcPr>
          <w:p>
            <w:pPr>
              <w:ind w:left="880"/>
              <w:spacing w:after="0"/>
              <w:rPr>
                <w:sz w:val="20"/>
                <w:szCs w:val="20"/>
                <w:color w:val="auto"/>
              </w:rPr>
            </w:pPr>
            <w:r>
              <w:rPr>
                <w:rFonts w:ascii="Arial" w:cs="Arial" w:eastAsia="Arial" w:hAnsi="Arial"/>
                <w:sz w:val="17"/>
                <w:szCs w:val="17"/>
                <w:color w:val="auto"/>
              </w:rPr>
              <w:t>192</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divested assets</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440" w:right="140" w:hanging="332"/>
        <w:spacing w:after="0" w:line="237" w:lineRule="auto"/>
        <w:tabs>
          <w:tab w:leader="none" w:pos="42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2020 and 2021, assuming an effective date of January 1, 2020. Divested assets primarily included certain NGL storage terminals and Los Angeles Basin crude oil storage terminals that were previously included in our Facilities segment and the sale of a portion of our interest in a joint venture pipeline that was previously reported in our Transportation segment.</w:t>
      </w:r>
    </w:p>
    <w:p>
      <w:pPr>
        <w:spacing w:after="0" w:line="1" w:lineRule="exact"/>
        <w:rPr>
          <w:rFonts w:ascii="Arial" w:cs="Arial" w:eastAsia="Arial" w:hAnsi="Arial"/>
          <w:sz w:val="22"/>
          <w:szCs w:val="22"/>
          <w:color w:val="auto"/>
          <w:vertAlign w:val="superscript"/>
        </w:rPr>
      </w:pPr>
    </w:p>
    <w:p>
      <w:pPr>
        <w:ind w:left="5540" w:hanging="106"/>
        <w:spacing w:after="0"/>
        <w:tabs>
          <w:tab w:leader="none" w:pos="5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90170</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760"/>
        <w:spacing w:after="0"/>
        <w:tabs>
          <w:tab w:leader="none" w:pos="4860" w:val="left"/>
          <w:tab w:leader="none" w:pos="75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320"/>
          </w:cols>
          <w:pgMar w:left="220" w:top="368"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PAA</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PAA</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7,392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7,367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7,857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11,044</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9"/>
              </w:rPr>
              <w:t>Gain on/(impairment of) investments in</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29"/>
        </w:trPr>
        <w:tc>
          <w:tcPr>
            <w:tcW w:w="3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28"/>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60" w:type="dxa"/>
            <w:vAlign w:val="bottom"/>
            <w:gridSpan w:val="8"/>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860" w:type="dxa"/>
            <w:vAlign w:val="bottom"/>
            <w:gridSpan w:val="8"/>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3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ind w:left="5440" w:hanging="106"/>
        <w:spacing w:after="0"/>
        <w:tabs>
          <w:tab w:leader="none" w:pos="5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40"/>
          </w:cols>
          <w:pgMar w:left="320" w:top="368"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ind w:left="160"/>
              <w:spacing w:after="0"/>
              <w:rPr>
                <w:sz w:val="20"/>
                <w:szCs w:val="20"/>
                <w:color w:val="auto"/>
              </w:rPr>
            </w:pPr>
            <w:r>
              <w:rPr>
                <w:rFonts w:ascii="Arial" w:cs="Arial" w:eastAsia="Arial" w:hAnsi="Arial"/>
                <w:sz w:val="14"/>
                <w:szCs w:val="14"/>
                <w:b w:val="1"/>
                <w:bCs w:val="1"/>
                <w:color w:val="auto"/>
              </w:rPr>
              <w:t>PAA</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4,426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Linefill and base gas</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25,331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15,247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4"/>
              </w:rPr>
              <w:t>Partners’ capital excluding noncontrolling</w:t>
            </w:r>
          </w:p>
        </w:tc>
        <w:tc>
          <w:tcPr>
            <w:tcW w:w="280" w:type="dxa"/>
            <w:vAlign w:val="bottom"/>
          </w:tcPr>
          <w:p>
            <w:pPr>
              <w:spacing w:after="0"/>
              <w:rPr>
                <w:sz w:val="15"/>
                <w:szCs w:val="15"/>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9,943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(8,420)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1,523</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9,593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Total liabilities and partners’ capital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CLASS A SHARE</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Borders>
              <w:bottom w:val="single" w:sz="8" w:color="CCEEFF"/>
            </w:tcBorders>
          </w:tcPr>
          <w:p>
            <w:pPr>
              <w:spacing w:after="0"/>
              <w:rPr>
                <w:sz w:val="16"/>
                <w:szCs w:val="16"/>
                <w:color w:val="auto"/>
              </w:rPr>
            </w:pPr>
          </w:p>
        </w:tc>
        <w:tc>
          <w:tcPr>
            <w:tcW w:w="472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11"/>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600" w:type="dxa"/>
            <w:vAlign w:val="bottom"/>
            <w:gridSpan w:val="2"/>
          </w:tcPr>
          <w:p>
            <w:pPr>
              <w:ind w:left="140"/>
              <w:spacing w:after="0"/>
              <w:rPr>
                <w:sz w:val="20"/>
                <w:szCs w:val="20"/>
                <w:color w:val="auto"/>
              </w:rPr>
            </w:pPr>
            <w:r>
              <w:rPr>
                <w:rFonts w:ascii="Arial" w:cs="Arial" w:eastAsia="Arial" w:hAnsi="Arial"/>
                <w:sz w:val="18"/>
                <w:szCs w:val="18"/>
                <w:color w:val="auto"/>
              </w:rPr>
              <w:t>Net income/(loss) attributable to PAGP</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29"/>
        </w:trPr>
        <w:tc>
          <w:tcPr>
            <w:tcW w:w="8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57"/>
        </w:trPr>
        <w:tc>
          <w:tcPr>
            <w:tcW w:w="38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5"/>
        </w:trPr>
        <w:tc>
          <w:tcPr>
            <w:tcW w:w="8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 and diluted net income/(loss) per Class A share</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4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77" w:lineRule="exact"/>
        <w:rPr>
          <w:sz w:val="20"/>
          <w:szCs w:val="20"/>
          <w:color w:val="auto"/>
        </w:rPr>
      </w:pPr>
    </w:p>
    <w:p>
      <w:pPr>
        <w:ind w:left="340" w:right="20" w:hanging="332"/>
        <w:spacing w:after="0" w:line="224" w:lineRule="auto"/>
        <w:tabs>
          <w:tab w:leader="none" w:pos="334"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For the three months ended March 31, 2021 and 2020, the possible exchange of AAP units and AAP Management units would not have had a dilutive effect on basic net income/(loss) per Class A share.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51" w:lineRule="exact"/>
        <w:rPr>
          <w:sz w:val="20"/>
          <w:szCs w:val="20"/>
          <w:color w:val="auto"/>
        </w:rPr>
      </w:pPr>
    </w:p>
    <w:p>
      <w:pPr>
        <w:ind w:left="660" w:right="40" w:hanging="328"/>
        <w:spacing w:after="0" w:line="283" w:lineRule="auto"/>
        <w:tabs>
          <w:tab w:leader="none" w:pos="655" w:val="left"/>
        </w:tabs>
        <w:numPr>
          <w:ilvl w:val="0"/>
          <w:numId w:val="27"/>
        </w:numPr>
        <w:rPr>
          <w:rFonts w:ascii="Arial" w:cs="Arial" w:eastAsia="Arial" w:hAnsi="Arial"/>
          <w:sz w:val="19"/>
          <w:szCs w:val="19"/>
          <w:color w:val="auto"/>
        </w:rPr>
      </w:pPr>
      <w:r>
        <w:rPr>
          <w:rFonts w:ascii="Arial" w:cs="Arial" w:eastAsia="Arial" w:hAnsi="Arial"/>
          <w:sz w:val="16"/>
          <w:szCs w:val="16"/>
          <w:color w:val="auto"/>
        </w:rPr>
        <w:t>declines in global crude oil demand and crude oil prices (whether due to the COVID-19 pandemic, future pandemics or other factors) that correspondingly lead to a significant reduction of North American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02" w:lineRule="exact"/>
        <w:rPr>
          <w:rFonts w:ascii="Arial" w:cs="Arial" w:eastAsia="Arial" w:hAnsi="Arial"/>
          <w:sz w:val="19"/>
          <w:szCs w:val="19"/>
          <w:color w:val="auto"/>
        </w:rPr>
      </w:pPr>
    </w:p>
    <w:p>
      <w:pPr>
        <w:ind w:left="660" w:right="100" w:hanging="328"/>
        <w:spacing w:after="0" w:line="297" w:lineRule="auto"/>
        <w:tabs>
          <w:tab w:leader="none" w:pos="655" w:val="left"/>
        </w:tabs>
        <w:numPr>
          <w:ilvl w:val="0"/>
          <w:numId w:val="27"/>
        </w:numPr>
        <w:rPr>
          <w:rFonts w:ascii="Arial" w:cs="Arial" w:eastAsia="Arial" w:hAnsi="Arial"/>
          <w:sz w:val="19"/>
          <w:szCs w:val="19"/>
          <w:color w:val="auto"/>
        </w:rPr>
      </w:pPr>
      <w:r>
        <w:rPr>
          <w:rFonts w:ascii="Arial" w:cs="Arial" w:eastAsia="Arial" w:hAnsi="Arial"/>
          <w:sz w:val="16"/>
          <w:szCs w:val="16"/>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82" w:lineRule="exact"/>
        <w:rPr>
          <w:rFonts w:ascii="Arial" w:cs="Arial" w:eastAsia="Arial" w:hAnsi="Arial"/>
          <w:sz w:val="19"/>
          <w:szCs w:val="19"/>
          <w:color w:val="auto"/>
        </w:rPr>
      </w:pPr>
    </w:p>
    <w:p>
      <w:pPr>
        <w:ind w:left="660" w:right="180" w:hanging="328"/>
        <w:spacing w:after="0" w:line="251" w:lineRule="auto"/>
        <w:tabs>
          <w:tab w:leader="none" w:pos="655" w:val="left"/>
        </w:tabs>
        <w:numPr>
          <w:ilvl w:val="0"/>
          <w:numId w:val="27"/>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4" w:lineRule="exact"/>
        <w:rPr>
          <w:rFonts w:ascii="Arial" w:cs="Arial" w:eastAsia="Arial" w:hAnsi="Arial"/>
          <w:sz w:val="22"/>
          <w:szCs w:val="22"/>
          <w:color w:val="auto"/>
        </w:rPr>
      </w:pPr>
    </w:p>
    <w:p>
      <w:pPr>
        <w:ind w:left="660" w:right="260" w:hanging="328"/>
        <w:spacing w:after="0" w:line="232" w:lineRule="auto"/>
        <w:tabs>
          <w:tab w:leader="none" w:pos="655" w:val="left"/>
        </w:tabs>
        <w:numPr>
          <w:ilvl w:val="0"/>
          <w:numId w:val="27"/>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4" w:lineRule="exact"/>
        <w:rPr>
          <w:rFonts w:ascii="Arial" w:cs="Arial" w:eastAsia="Arial" w:hAnsi="Arial"/>
          <w:sz w:val="22"/>
          <w:szCs w:val="22"/>
          <w:color w:val="auto"/>
        </w:rPr>
      </w:pPr>
    </w:p>
    <w:p>
      <w:pPr>
        <w:ind w:left="660" w:right="700" w:hanging="328"/>
        <w:spacing w:after="0" w:line="232" w:lineRule="auto"/>
        <w:tabs>
          <w:tab w:leader="none" w:pos="655" w:val="left"/>
        </w:tabs>
        <w:numPr>
          <w:ilvl w:val="0"/>
          <w:numId w:val="27"/>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54" w:lineRule="exact"/>
        <w:rPr>
          <w:rFonts w:ascii="Arial" w:cs="Arial" w:eastAsia="Arial" w:hAnsi="Arial"/>
          <w:sz w:val="22"/>
          <w:szCs w:val="22"/>
          <w:color w:val="auto"/>
        </w:rPr>
      </w:pPr>
    </w:p>
    <w:p>
      <w:pPr>
        <w:ind w:left="5440" w:hanging="106"/>
        <w:spacing w:after="0"/>
        <w:tabs>
          <w:tab w:leader="none" w:pos="54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24</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34" w:lineRule="exact"/>
        <w:rPr>
          <w:rFonts w:ascii="Arial" w:cs="Arial" w:eastAsia="Arial" w:hAnsi="Arial"/>
          <w:sz w:val="22"/>
          <w:szCs w:val="22"/>
          <w:color w:val="auto"/>
        </w:rPr>
      </w:pPr>
    </w:p>
    <w:p>
      <w:pPr>
        <w:ind w:left="660" w:hanging="328"/>
        <w:spacing w:after="0" w:line="284" w:lineRule="auto"/>
        <w:tabs>
          <w:tab w:leader="none" w:pos="655" w:val="left"/>
        </w:tabs>
        <w:numPr>
          <w:ilvl w:val="0"/>
          <w:numId w:val="28"/>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jc w:val="both"/>
        <w:ind w:left="660" w:right="640" w:hanging="328"/>
        <w:spacing w:after="0" w:line="297" w:lineRule="auto"/>
        <w:tabs>
          <w:tab w:leader="none" w:pos="655" w:val="left"/>
        </w:tabs>
        <w:numPr>
          <w:ilvl w:val="0"/>
          <w:numId w:val="28"/>
        </w:numPr>
        <w:rPr>
          <w:rFonts w:ascii="Arial" w:cs="Arial" w:eastAsia="Arial" w:hAnsi="Arial"/>
          <w:sz w:val="19"/>
          <w:szCs w:val="19"/>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59" w:lineRule="exact"/>
        <w:rPr>
          <w:rFonts w:ascii="Arial" w:cs="Arial" w:eastAsia="Arial" w:hAnsi="Arial"/>
          <w:sz w:val="19"/>
          <w:szCs w:val="19"/>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incurrence of costs and expenses related to unexpected or unplanned capital expenditures, third-party claims or other factors;</w:t>
      </w:r>
    </w:p>
    <w:p>
      <w:pPr>
        <w:spacing w:after="0" w:line="134" w:lineRule="exact"/>
        <w:rPr>
          <w:rFonts w:ascii="Arial" w:cs="Arial" w:eastAsia="Arial" w:hAnsi="Arial"/>
          <w:sz w:val="22"/>
          <w:szCs w:val="22"/>
          <w:color w:val="auto"/>
        </w:rPr>
      </w:pPr>
    </w:p>
    <w:p>
      <w:pPr>
        <w:ind w:left="660" w:right="6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35" w:lineRule="exact"/>
        <w:rPr>
          <w:rFonts w:ascii="Arial" w:cs="Arial" w:eastAsia="Arial" w:hAnsi="Arial"/>
          <w:sz w:val="22"/>
          <w:szCs w:val="22"/>
          <w:color w:val="auto"/>
        </w:rPr>
      </w:pPr>
    </w:p>
    <w:p>
      <w:pPr>
        <w:ind w:left="660" w:right="34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135" w:lineRule="exact"/>
        <w:rPr>
          <w:rFonts w:ascii="Arial" w:cs="Arial" w:eastAsia="Arial" w:hAnsi="Arial"/>
          <w:sz w:val="22"/>
          <w:szCs w:val="22"/>
          <w:color w:val="auto"/>
        </w:rPr>
      </w:pPr>
    </w:p>
    <w:p>
      <w:pPr>
        <w:ind w:left="660" w:right="50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34" w:lineRule="exact"/>
        <w:rPr>
          <w:rFonts w:ascii="Arial" w:cs="Arial" w:eastAsia="Arial" w:hAnsi="Arial"/>
          <w:sz w:val="22"/>
          <w:szCs w:val="22"/>
          <w:color w:val="auto"/>
        </w:rPr>
      </w:pPr>
    </w:p>
    <w:p>
      <w:pPr>
        <w:ind w:left="660" w:hanging="328"/>
        <w:spacing w:after="0" w:line="258"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impact of current and future laws, rulings, governmental regulations, trade policies,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or served by our pipelines;</w:t>
      </w:r>
    </w:p>
    <w:p>
      <w:pPr>
        <w:spacing w:after="0" w:line="120" w:lineRule="exact"/>
        <w:rPr>
          <w:rFonts w:ascii="Arial" w:cs="Arial" w:eastAsia="Arial" w:hAnsi="Arial"/>
          <w:sz w:val="22"/>
          <w:szCs w:val="22"/>
          <w:color w:val="auto"/>
        </w:rPr>
      </w:pPr>
    </w:p>
    <w:p>
      <w:pPr>
        <w:ind w:left="660" w:right="20" w:hanging="328"/>
        <w:spacing w:after="0" w:line="297" w:lineRule="auto"/>
        <w:tabs>
          <w:tab w:leader="none" w:pos="655" w:val="left"/>
        </w:tabs>
        <w:numPr>
          <w:ilvl w:val="0"/>
          <w:numId w:val="28"/>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59" w:lineRule="exact"/>
        <w:rPr>
          <w:rFonts w:ascii="Arial" w:cs="Arial" w:eastAsia="Arial" w:hAnsi="Arial"/>
          <w:sz w:val="19"/>
          <w:szCs w:val="19"/>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inability of producers, who have made commitments to our pipelines, to access capital to fund their drilling and completion activities;</w:t>
      </w:r>
    </w:p>
    <w:p>
      <w:pPr>
        <w:spacing w:after="0" w:line="134" w:lineRule="exact"/>
        <w:rPr>
          <w:rFonts w:ascii="Arial" w:cs="Arial" w:eastAsia="Arial" w:hAnsi="Arial"/>
          <w:sz w:val="22"/>
          <w:szCs w:val="22"/>
          <w:color w:val="auto"/>
        </w:rPr>
      </w:pPr>
    </w:p>
    <w:p>
      <w:pPr>
        <w:ind w:left="660" w:right="520" w:hanging="328"/>
        <w:spacing w:after="0" w:line="285" w:lineRule="auto"/>
        <w:tabs>
          <w:tab w:leader="none" w:pos="655" w:val="left"/>
        </w:tabs>
        <w:numPr>
          <w:ilvl w:val="0"/>
          <w:numId w:val="28"/>
        </w:numPr>
        <w:rPr>
          <w:rFonts w:ascii="Arial" w:cs="Arial" w:eastAsia="Arial" w:hAnsi="Arial"/>
          <w:sz w:val="19"/>
          <w:szCs w:val="19"/>
          <w:color w:val="auto"/>
        </w:rPr>
      </w:pPr>
      <w:r>
        <w:rPr>
          <w:rFonts w:ascii="Arial" w:cs="Arial" w:eastAsia="Arial" w:hAnsi="Arial"/>
          <w:sz w:val="16"/>
          <w:szCs w:val="16"/>
          <w:color w:val="auto"/>
        </w:rPr>
        <w:t>general economic, market or business conditions in the United States and elsewhere (including the potential for a recession or significant slowdown in economic activity levels and the timing, pace and extent of economic recovery) that impact demand for crude oil, drilling and production activities and therefore the demand for the midstream services we provide and commercial opportunities available to us;</w:t>
      </w:r>
    </w:p>
    <w:p>
      <w:pPr>
        <w:spacing w:after="0" w:line="77" w:lineRule="exact"/>
        <w:rPr>
          <w:rFonts w:ascii="Arial" w:cs="Arial" w:eastAsia="Arial" w:hAnsi="Arial"/>
          <w:sz w:val="19"/>
          <w:szCs w:val="19"/>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currency exchange rate of the Canadian dollar to the United States dollar;</w:t>
      </w:r>
    </w:p>
    <w:p>
      <w:pPr>
        <w:spacing w:after="0" w:line="53" w:lineRule="exact"/>
        <w:rPr>
          <w:rFonts w:ascii="Arial" w:cs="Arial" w:eastAsia="Arial" w:hAnsi="Arial"/>
          <w:sz w:val="22"/>
          <w:szCs w:val="22"/>
          <w:color w:val="auto"/>
        </w:rPr>
      </w:pPr>
    </w:p>
    <w:p>
      <w:pPr>
        <w:ind w:left="5440" w:hanging="106"/>
        <w:spacing w:after="0"/>
        <w:tabs>
          <w:tab w:leader="none" w:pos="54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80"/>
          </w:cols>
          <w:pgMar w:left="320" w:top="368"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Page 25</w:t>
      </w:r>
    </w:p>
    <w:p>
      <w:pPr>
        <w:spacing w:after="0" w:line="200" w:lineRule="exact"/>
        <w:rPr>
          <w:sz w:val="20"/>
          <w:szCs w:val="20"/>
          <w:color w:val="auto"/>
        </w:rPr>
      </w:pPr>
    </w:p>
    <w:p>
      <w:pPr>
        <w:spacing w:after="0" w:line="282" w:lineRule="exact"/>
        <w:rPr>
          <w:sz w:val="20"/>
          <w:szCs w:val="20"/>
          <w:color w:val="auto"/>
        </w:rPr>
      </w:pPr>
    </w:p>
    <w:p>
      <w:pPr>
        <w:ind w:left="660" w:hanging="328"/>
        <w:spacing w:after="0" w:line="232"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risks related to the development and operation of our assets; and</w:t>
      </w:r>
    </w:p>
    <w:p>
      <w:pPr>
        <w:spacing w:after="0" w:line="134" w:lineRule="exact"/>
        <w:rPr>
          <w:rFonts w:ascii="Arial" w:cs="Arial" w:eastAsia="Arial" w:hAnsi="Arial"/>
          <w:sz w:val="22"/>
          <w:szCs w:val="22"/>
          <w:color w:val="auto"/>
        </w:rPr>
      </w:pPr>
    </w:p>
    <w:p>
      <w:pPr>
        <w:ind w:left="660" w:right="60" w:hanging="328"/>
        <w:spacing w:after="0" w:line="238"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2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 PAA is headquartered in Houston, Texas. More information is available at www.plainsallamerican.com.</w:t>
      </w:r>
    </w:p>
    <w:p>
      <w:pPr>
        <w:spacing w:after="0" w:line="21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 Lamoreaux</w:t>
      </w:r>
    </w:p>
    <w:p>
      <w:pPr>
        <w:spacing w:after="0" w:line="23" w:lineRule="exact"/>
        <w:rPr>
          <w:sz w:val="20"/>
          <w:szCs w:val="20"/>
          <w:color w:val="auto"/>
        </w:rPr>
      </w:pPr>
    </w:p>
    <w:p>
      <w:pPr>
        <w:ind w:left="20" w:right="5320"/>
        <w:spacing w:after="0" w:line="292" w:lineRule="auto"/>
        <w:rPr>
          <w:sz w:val="20"/>
          <w:szCs w:val="20"/>
          <w:color w:val="auto"/>
        </w:rPr>
      </w:pPr>
      <w:r>
        <w:rPr>
          <w:rFonts w:ascii="Arial" w:cs="Arial" w:eastAsia="Arial" w:hAnsi="Arial"/>
          <w:sz w:val="18"/>
          <w:szCs w:val="18"/>
          <w:color w:val="auto"/>
        </w:rPr>
        <w:t>Vice President, Investor Relations, Communications and Government Relations (866) 809-1291</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1080"/>
      </w:cols>
      <w:pgMar w:left="320" w:top="36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lvl w:ilvl="1">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lvl w:ilvl="1">
      <w:lvlJc w:val="left"/>
      <w:lvlText w:val="-"/>
      <w:numFmt w:val="bullet"/>
      <w:start w:val="1"/>
    </w:lvl>
  </w:abstractNum>
  <w:abstractNum w:abstractNumId="10">
    <w:nsid w:val="62BBD95A"/>
    <w:multiLevelType w:val="hybridMultilevel"/>
    <w:lvl w:ilvl="0">
      <w:lvlJc w:val="left"/>
      <w:lvlText w:val="(%1)"/>
      <w:numFmt w:val="decimal"/>
      <w:start w:val="1"/>
    </w:lvl>
    <w:lvl w:ilvl="1">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lvl w:ilvl="1">
      <w:lvlJc w:val="left"/>
      <w:lvlText w:val="-"/>
      <w:numFmt w:val="bullet"/>
      <w:start w:val="1"/>
    </w:lvl>
  </w:abstractNum>
  <w:abstractNum w:abstractNumId="14">
    <w:nsid w:val="721DA317"/>
    <w:multiLevelType w:val="hybridMultilevel"/>
    <w:lvl w:ilvl="0">
      <w:lvlJc w:val="left"/>
      <w:lvlText w:val="(%1)"/>
      <w:numFmt w:val="decimal"/>
      <w:start w:val="1"/>
    </w:lvl>
    <w:lvl w:ilvl="1">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lvl w:ilvl="1">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lvl w:ilvl="1">
      <w:lvlJc w:val="left"/>
      <w:lvlText w:val="-"/>
      <w:numFmt w:val="bullet"/>
      <w:start w:val="1"/>
    </w:lvl>
  </w:abstractNum>
  <w:abstractNum w:abstractNumId="19">
    <w:nsid w:val="8EDBDAB"/>
    <w:multiLevelType w:val="hybridMultilevel"/>
    <w:lvl w:ilvl="0">
      <w:lvlJc w:val="left"/>
      <w:lvlText w:val="(%1)"/>
      <w:numFmt w:val="decimal"/>
      <w:start w:val="3"/>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lvl w:ilvl="1">
      <w:lvlJc w:val="left"/>
      <w:lvlText w:val="-"/>
      <w:numFmt w:val="bullet"/>
      <w:start w:val="1"/>
    </w:lvl>
  </w:abstractNum>
  <w:abstractNum w:abstractNumId="23">
    <w:nsid w:val="189A769B"/>
    <w:multiLevelType w:val="hybridMultilevel"/>
    <w:lvl w:ilvl="0">
      <w:lvlJc w:val="left"/>
      <w:lvlText w:val="(%1)"/>
      <w:numFmt w:val="decimal"/>
      <w:start w:val="1"/>
    </w:lvl>
    <w:lvl w:ilvl="1">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
      <w:numFmt w:val="bullet"/>
      <w:start w:val="1"/>
    </w:lvl>
    <w:lvl w:ilvl="1">
      <w:lvlJc w:val="left"/>
      <w:lvlText w:val="-"/>
      <w:numFmt w:val="bullet"/>
      <w:start w:val="1"/>
    </w:lvl>
  </w:abstractNum>
  <w:abstractNum w:abstractNumId="27">
    <w:nsid w:val="836C40E"/>
    <w:multiLevelType w:val="hybridMultilevel"/>
    <w:lvl w:ilvl="0">
      <w:lvlJc w:val="left"/>
      <w:lvlText w:val="•"/>
      <w:numFmt w:val="bullet"/>
      <w:start w:val="1"/>
    </w:lvl>
    <w:lvl w:ilvl="1">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2021-05-04T15:44:19Z</dcterms:created>
  <dcterms:modified xsi:type="dcterms:W3CDTF">2021-05-04T15:44:19Z</dcterms:modified>
</cp:coreProperties>
</file>