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21, 2006</w:t>
      </w:r>
    </w:p>
    <w:p>
      <w:pPr>
        <w:spacing w:after="0" w:line="220"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179705</wp:posOffset>
            </wp:positionV>
            <wp:extent cx="189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ind w:left="2360"/>
        <w:spacing w:after="0"/>
        <w:tabs>
          <w:tab w:leader="none" w:pos="8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76-0582150</w:t>
      </w:r>
    </w:p>
    <w:p>
      <w:pPr>
        <w:spacing w:after="0" w:line="24" w:lineRule="exact"/>
        <w:rPr>
          <w:sz w:val="20"/>
          <w:szCs w:val="20"/>
          <w:color w:val="auto"/>
        </w:rPr>
      </w:pPr>
    </w:p>
    <w:p>
      <w:pPr>
        <w:ind w:left="1780"/>
        <w:spacing w:after="0"/>
        <w:tabs>
          <w:tab w:leader="none" w:pos="740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6"/>
          <w:szCs w:val="16"/>
          <w:color w:val="auto"/>
        </w:rPr>
        <w:t>(I.R.S. Employer Identification No.)</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of incorporation or organization)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191770</wp:posOffset>
            </wp:positionV>
            <wp:extent cx="189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 Moore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182880</wp:posOffset>
            </wp:positionV>
            <wp:extent cx="189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Copy to</w:t>
      </w:r>
      <w:r>
        <w:rPr>
          <w:rFonts w:ascii="Arial" w:cs="Arial" w:eastAsia="Arial" w:hAnsi="Arial"/>
          <w:sz w:val="18"/>
          <w:szCs w:val="18"/>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Alan Beck, Jr.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P. Oelman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Suite 2300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(713) 758-2222</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36" w:lineRule="exact"/>
        <w:rPr>
          <w:sz w:val="20"/>
          <w:szCs w:val="20"/>
          <w:color w:val="auto"/>
        </w:rPr>
      </w:pPr>
    </w:p>
    <w:p>
      <w:pPr>
        <w:ind w:right="400" w:firstLine="222"/>
        <w:spacing w:after="0" w:line="230" w:lineRule="exact"/>
        <w:rPr>
          <w:sz w:val="20"/>
          <w:szCs w:val="20"/>
          <w:color w:val="auto"/>
        </w:rPr>
      </w:pPr>
      <w:r>
        <w:rPr>
          <w:rFonts w:ascii="Arial" w:cs="Arial" w:eastAsia="Arial" w:hAnsi="Arial"/>
          <w:sz w:val="17"/>
          <w:szCs w:val="17"/>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5" w:lineRule="exact"/>
        <w:rPr>
          <w:sz w:val="20"/>
          <w:szCs w:val="20"/>
          <w:color w:val="auto"/>
        </w:rPr>
      </w:pPr>
    </w:p>
    <w:p>
      <w:pPr>
        <w:ind w:right="400" w:firstLine="222"/>
        <w:spacing w:after="0" w:line="27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620" w:firstLine="222"/>
        <w:spacing w:after="0" w:line="27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8" w:lineRule="exact"/>
        <w:rPr>
          <w:sz w:val="20"/>
          <w:szCs w:val="20"/>
          <w:color w:val="auto"/>
        </w:rPr>
      </w:pPr>
    </w:p>
    <w:p>
      <w:pPr>
        <w:ind w:right="360" w:firstLine="222"/>
        <w:spacing w:after="0" w:line="270"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8" w:lineRule="exact"/>
        <w:rPr>
          <w:sz w:val="20"/>
          <w:szCs w:val="20"/>
          <w:color w:val="auto"/>
        </w:rPr>
      </w:pPr>
    </w:p>
    <w:p>
      <w:pPr>
        <w:ind w:right="520" w:firstLine="222"/>
        <w:spacing w:after="0" w:line="230"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920" w:type="dxa"/>
            <w:vAlign w:val="bottom"/>
            <w:tcBorders>
              <w:top w:val="single" w:sz="8" w:color="auto"/>
              <w:bottom w:val="single" w:sz="8" w:color="auto"/>
            </w:tcBorders>
          </w:tcPr>
          <w:p>
            <w:pPr>
              <w:spacing w:after="0"/>
              <w:rPr>
                <w:sz w:val="3"/>
                <w:szCs w:val="3"/>
                <w:color w:val="auto"/>
              </w:rPr>
            </w:pPr>
          </w:p>
        </w:tc>
        <w:tc>
          <w:tcPr>
            <w:tcW w:w="35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3560" w:type="dxa"/>
            <w:vAlign w:val="bottom"/>
            <w:tcBorders>
              <w:right w:val="single" w:sz="8" w:color="auto"/>
            </w:tcBorders>
            <w:vMerge w:val="restart"/>
          </w:tcPr>
          <w:p>
            <w:pPr>
              <w:ind w:left="1360"/>
              <w:spacing w:after="0"/>
              <w:rPr>
                <w:sz w:val="20"/>
                <w:szCs w:val="20"/>
                <w:color w:val="auto"/>
              </w:rPr>
            </w:pPr>
            <w:r>
              <w:rPr>
                <w:rFonts w:ascii="Arial" w:cs="Arial" w:eastAsia="Arial" w:hAnsi="Arial"/>
                <w:sz w:val="14"/>
                <w:szCs w:val="14"/>
                <w:b w:val="1"/>
                <w:bCs w:val="1"/>
                <w:color w:val="auto"/>
              </w:rPr>
              <w:t>Amount to be</w:t>
            </w:r>
          </w:p>
        </w:tc>
        <w:tc>
          <w:tcPr>
            <w:tcW w:w="15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Proposed maximum</w:t>
            </w:r>
          </w:p>
        </w:tc>
        <w:tc>
          <w:tcPr>
            <w:tcW w:w="13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Proposed maximum</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7"/>
        </w:trPr>
        <w:tc>
          <w:tcPr>
            <w:tcW w:w="3920" w:type="dxa"/>
            <w:vAlign w:val="bottom"/>
            <w:tcBorders>
              <w:right w:val="single" w:sz="8" w:color="auto"/>
            </w:tcBorders>
            <w:vMerge w:val="continue"/>
          </w:tcPr>
          <w:p>
            <w:pPr>
              <w:spacing w:after="0"/>
              <w:rPr>
                <w:sz w:val="12"/>
                <w:szCs w:val="12"/>
                <w:color w:val="auto"/>
              </w:rPr>
            </w:pPr>
          </w:p>
        </w:tc>
        <w:tc>
          <w:tcPr>
            <w:tcW w:w="356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offering price</w:t>
            </w:r>
          </w:p>
        </w:tc>
        <w:tc>
          <w:tcPr>
            <w:tcW w:w="13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aggregate offering</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9"/>
        </w:trPr>
        <w:tc>
          <w:tcPr>
            <w:tcW w:w="392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Common Units representing</w:t>
            </w:r>
          </w:p>
        </w:tc>
        <w:tc>
          <w:tcPr>
            <w:tcW w:w="35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limited partner interests</w:t>
            </w:r>
          </w:p>
        </w:tc>
        <w:tc>
          <w:tcPr>
            <w:tcW w:w="3560" w:type="dxa"/>
            <w:vAlign w:val="bottom"/>
            <w:tcBorders>
              <w:bottom w:val="single" w:sz="8" w:color="auto"/>
              <w:right w:val="single" w:sz="8" w:color="auto"/>
            </w:tcBorders>
          </w:tcPr>
          <w:p>
            <w:pPr>
              <w:jc w:val="right"/>
              <w:ind w:right="1363"/>
              <w:spacing w:after="0"/>
              <w:rPr>
                <w:sz w:val="20"/>
                <w:szCs w:val="20"/>
                <w:color w:val="auto"/>
              </w:rPr>
            </w:pPr>
            <w:r>
              <w:rPr>
                <w:rFonts w:ascii="Arial" w:cs="Arial" w:eastAsia="Arial" w:hAnsi="Arial"/>
                <w:sz w:val="18"/>
                <w:szCs w:val="18"/>
                <w:color w:val="auto"/>
              </w:rPr>
              <w:t>3,117,725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$48.39</w:t>
            </w:r>
          </w:p>
        </w:tc>
        <w:tc>
          <w:tcPr>
            <w:tcW w:w="136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w w:val="91"/>
              </w:rPr>
              <w:t>$150,866,712.75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$16,142.74</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122" w:right="239" w:bottom="0" w:gutter="0" w:footer="0" w:header="0"/>
        </w:sectPr>
      </w:pPr>
    </w:p>
    <w:p>
      <w:pPr>
        <w:spacing w:after="0"/>
        <w:rPr>
          <w:sz w:val="20"/>
          <w:szCs w:val="20"/>
          <w:color w:val="auto"/>
        </w:rPr>
      </w:pPr>
      <w:r>
        <w:rPr>
          <w:rFonts w:ascii="Arial" w:cs="Arial" w:eastAsia="Arial" w:hAnsi="Arial"/>
          <w:sz w:val="16"/>
          <w:szCs w:val="16"/>
          <w:color w:val="auto"/>
        </w:rPr>
        <w:t>(1) Pursuant to Rule 416(a), the number of common units being registered shall be adjusted to include any additional common units that may become issuable</w:t>
      </w:r>
    </w:p>
    <w:p>
      <w:pPr>
        <w:sectPr>
          <w:pgSz w:w="11900" w:h="16838" w:orient="portrait"/>
          <w:cols w:equalWidth="0" w:num="1">
            <w:col w:w="11420"/>
          </w:cols>
          <w:pgMar w:left="240" w:top="122" w:right="239" w:bottom="0" w:gutter="0" w:footer="0" w:header="0"/>
          <w:type w:val="continuous"/>
        </w:sectPr>
      </w:pPr>
    </w:p>
    <w:bookmarkStart w:id="2" w:name="page3"/>
    <w:bookmarkEnd w:id="2"/>
    <w:p>
      <w:pPr>
        <w:ind w:left="320"/>
        <w:spacing w:after="0"/>
        <w:rPr>
          <w:sz w:val="20"/>
          <w:szCs w:val="20"/>
          <w:color w:val="auto"/>
        </w:rPr>
      </w:pPr>
      <w:r>
        <w:rPr>
          <w:rFonts w:ascii="Arial" w:cs="Arial" w:eastAsia="Arial" w:hAnsi="Arial"/>
          <w:sz w:val="18"/>
          <w:szCs w:val="18"/>
          <w:color w:val="auto"/>
        </w:rPr>
        <w:t>as a result of any unit distribution, split, combination or similar transaction.</w:t>
      </w:r>
    </w:p>
    <w:p>
      <w:pPr>
        <w:spacing w:after="0" w:line="113" w:lineRule="exact"/>
        <w:rPr>
          <w:sz w:val="20"/>
          <w:szCs w:val="20"/>
          <w:color w:val="auto"/>
        </w:rPr>
      </w:pPr>
    </w:p>
    <w:p>
      <w:pPr>
        <w:ind w:left="320" w:hanging="313"/>
        <w:spacing w:after="0" w:line="270"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on the basis of the average of the high and low sales prices of the common units reported on the New York Stock Exchange on November 16, 2006.</w:t>
      </w:r>
    </w:p>
    <w:p>
      <w:pPr>
        <w:spacing w:after="0" w:line="68" w:lineRule="exact"/>
        <w:rPr>
          <w:sz w:val="20"/>
          <w:szCs w:val="20"/>
          <w:color w:val="auto"/>
        </w:rPr>
      </w:pPr>
    </w:p>
    <w:p>
      <w:pPr>
        <w:ind w:right="100" w:firstLine="219"/>
        <w:spacing w:after="0" w:line="255"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24789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542290</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313295" cy="504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295" cy="5041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160"/>
        <w:spacing w:after="0" w:line="237" w:lineRule="auto"/>
        <w:rPr>
          <w:sz w:val="20"/>
          <w:szCs w:val="20"/>
          <w:color w:val="auto"/>
        </w:rPr>
      </w:pPr>
      <w:r>
        <w:rPr>
          <w:rFonts w:ascii="Arial" w:cs="Arial" w:eastAsia="Arial" w:hAnsi="Arial"/>
          <w:sz w:val="14"/>
          <w:szCs w:val="14"/>
          <w:b w:val="1"/>
          <w:bCs w:val="1"/>
          <w:color w:val="auto"/>
        </w:rPr>
        <w:t>The information in this prospectus is not complete and may be changed. The selling unitholders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November 21,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3,117,725 Common Units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187325</wp:posOffset>
            </wp:positionV>
            <wp:extent cx="189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Up to 3,117,725 common units may be offered and sold from time to time by the selling unitholders named in this prospectus or in any supplement to this prospectus. The selling unitholders may sell the common units at various times and in various types of transactions, including sales in the open market, sales in negotiated transactions and sales by a combination of these methods. The common units covered by this prospectus may be sold at market prices prevailing at the time or at negotiated prices. We will not receive any proceeds from the sale of the common units by the selling unitholders.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units trade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191135</wp:posOffset>
            </wp:positionV>
            <wp:extent cx="1890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340" w:firstLine="222"/>
        <w:spacing w:after="0" w:line="275" w:lineRule="auto"/>
        <w:rPr>
          <w:sz w:val="20"/>
          <w:szCs w:val="20"/>
          <w:color w:val="auto"/>
        </w:rPr>
      </w:pPr>
      <w:r>
        <w:rPr>
          <w:rFonts w:ascii="Arial" w:cs="Arial" w:eastAsia="Arial" w:hAnsi="Arial"/>
          <w:sz w:val="18"/>
          <w:szCs w:val="18"/>
          <w:b w:val="1"/>
          <w:bCs w:val="1"/>
          <w:color w:val="auto"/>
        </w:rPr>
        <w:t>Limited partnerships are inherently different from corporations. You should carefully consider the risk factors described under “Risk Factors” beginning on page 1 of this prospectus before you make any investment in our securities.</w:t>
      </w:r>
    </w:p>
    <w:p>
      <w:pPr>
        <w:spacing w:after="0" w:line="60" w:lineRule="exact"/>
        <w:rPr>
          <w:sz w:val="20"/>
          <w:szCs w:val="20"/>
          <w:color w:val="auto"/>
        </w:rPr>
      </w:pPr>
    </w:p>
    <w:p>
      <w:pPr>
        <w:ind w:right="880" w:firstLine="222"/>
        <w:spacing w:after="0" w:line="30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145415</wp:posOffset>
            </wp:positionV>
            <wp:extent cx="189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40" w:type="dxa"/>
            <w:vAlign w:val="bottom"/>
          </w:tcPr>
          <w:p>
            <w:pPr>
              <w:ind w:left="400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3911"/>
              <w:spacing w:after="0"/>
              <w:rPr>
                <w:sz w:val="20"/>
                <w:szCs w:val="20"/>
                <w:color w:val="auto"/>
              </w:rPr>
            </w:pPr>
            <w:r>
              <w:rPr>
                <w:rFonts w:ascii="Arial" w:cs="Arial" w:eastAsia="Arial" w:hAnsi="Arial"/>
                <w:sz w:val="18"/>
                <w:szCs w:val="18"/>
                <w:color w:val="auto"/>
              </w:rPr>
              <w:t>, 2006</w:t>
            </w:r>
          </w:p>
        </w:tc>
      </w:tr>
      <w:tr>
        <w:trPr>
          <w:trHeight w:val="626"/>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r>
      <w:tr>
        <w:trPr>
          <w:trHeight w:val="389"/>
        </w:trPr>
        <w:tc>
          <w:tcPr>
            <w:tcW w:w="22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6560" w:type="dxa"/>
            <w:vAlign w:val="bottom"/>
            <w:gridSpan w:val="9"/>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4"/>
        </w:trPr>
        <w:tc>
          <w:tcPr>
            <w:tcW w:w="1160" w:type="dxa"/>
            <w:vAlign w:val="bottom"/>
            <w:tcBorders>
              <w:bottom w:val="single" w:sz="8" w:color="0000EE"/>
            </w:tcBorders>
            <w:gridSpan w:val="3"/>
          </w:tcPr>
          <w:p>
            <w:pPr>
              <w:spacing w:after="0" w:line="194"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WHO WE ARE</w:t>
              </w:r>
            </w:hyperlink>
          </w:p>
        </w:tc>
        <w:tc>
          <w:tcPr>
            <w:tcW w:w="7620" w:type="dxa"/>
            <w:vAlign w:val="bottom"/>
            <w:gridSpan w:val="15"/>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194"/>
        </w:trPr>
        <w:tc>
          <w:tcPr>
            <w:tcW w:w="878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4"/>
        </w:trPr>
        <w:tc>
          <w:tcPr>
            <w:tcW w:w="878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4"/>
        </w:trPr>
        <w:tc>
          <w:tcPr>
            <w:tcW w:w="3260" w:type="dxa"/>
            <w:vAlign w:val="bottom"/>
            <w:tcBorders>
              <w:bottom w:val="single" w:sz="8" w:color="0000EE"/>
            </w:tcBorders>
            <w:gridSpan w:val="12"/>
          </w:tcPr>
          <w:p>
            <w:pPr>
              <w:spacing w:after="0" w:line="194"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DESCRIPTION OF THE COMMON UNITS</w:t>
              </w:r>
            </w:hyperlink>
          </w:p>
        </w:tc>
        <w:tc>
          <w:tcPr>
            <w:tcW w:w="5520" w:type="dxa"/>
            <w:vAlign w:val="bottom"/>
            <w:gridSpan w:val="6"/>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w:t>
            </w:r>
          </w:p>
        </w:tc>
      </w:tr>
      <w:tr>
        <w:trPr>
          <w:trHeight w:val="194"/>
        </w:trPr>
        <w:tc>
          <w:tcPr>
            <w:tcW w:w="2460" w:type="dxa"/>
            <w:vAlign w:val="bottom"/>
            <w:tcBorders>
              <w:bottom w:val="single" w:sz="8" w:color="0000EE"/>
            </w:tcBorders>
            <w:gridSpan w:val="10"/>
          </w:tcPr>
          <w:p>
            <w:pPr>
              <w:spacing w:after="0" w:line="194"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CASH DISTRIBUTION POLICY</w:t>
              </w:r>
            </w:hyperlink>
          </w:p>
        </w:tc>
        <w:tc>
          <w:tcPr>
            <w:tcW w:w="6320" w:type="dxa"/>
            <w:vAlign w:val="bottom"/>
            <w:gridSpan w:val="8"/>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4</w:t>
            </w:r>
          </w:p>
        </w:tc>
      </w:tr>
      <w:tr>
        <w:trPr>
          <w:trHeight w:val="194"/>
        </w:trPr>
        <w:tc>
          <w:tcPr>
            <w:tcW w:w="4220" w:type="dxa"/>
            <w:vAlign w:val="bottom"/>
            <w:tcBorders>
              <w:bottom w:val="single" w:sz="8" w:color="0000EE"/>
            </w:tcBorders>
            <w:gridSpan w:val="15"/>
          </w:tcPr>
          <w:p>
            <w:pPr>
              <w:spacing w:after="0" w:line="194"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DESCRIPTION OF OUR PARTNERSHIP AGREEMENT</w:t>
              </w:r>
            </w:hyperlink>
          </w:p>
        </w:tc>
        <w:tc>
          <w:tcPr>
            <w:tcW w:w="4560" w:type="dxa"/>
            <w:vAlign w:val="bottom"/>
            <w:gridSpan w:val="3"/>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r>
      <w:tr>
        <w:trPr>
          <w:trHeight w:val="194"/>
        </w:trPr>
        <w:tc>
          <w:tcPr>
            <w:tcW w:w="8780" w:type="dxa"/>
            <w:vAlign w:val="bottom"/>
            <w:gridSpan w:val="18"/>
          </w:tcPr>
          <w:p>
            <w:pPr>
              <w:spacing w:after="0" w:line="194" w:lineRule="exact"/>
              <w:rPr>
                <w:rFonts w:ascii="Arial" w:cs="Arial" w:eastAsia="Arial" w:hAnsi="Arial"/>
                <w:sz w:val="18"/>
                <w:szCs w:val="18"/>
                <w:color w:val="0000EE"/>
              </w:rPr>
            </w:pPr>
            <w:hyperlink w:anchor="page16">
              <w:r>
                <w:rPr>
                  <w:rFonts w:ascii="Arial" w:cs="Arial" w:eastAsia="Arial" w:hAnsi="Arial"/>
                  <w:sz w:val="18"/>
                  <w:szCs w:val="18"/>
                  <w:color w:val="0000EE"/>
                </w:rPr>
                <w:t>MATERIAL U.S. FEDERAL INCOME TAX CONSEQUENCES</w:t>
              </w:r>
            </w:hyperlink>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11</w:t>
            </w:r>
          </w:p>
        </w:tc>
      </w:tr>
      <w:tr>
        <w:trPr>
          <w:trHeight w:val="194"/>
        </w:trPr>
        <w:tc>
          <w:tcPr>
            <w:tcW w:w="206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SELLING UNITHOLDERS</w:t>
              </w:r>
            </w:hyperlink>
          </w:p>
        </w:tc>
        <w:tc>
          <w:tcPr>
            <w:tcW w:w="2640" w:type="dxa"/>
            <w:vAlign w:val="bottom"/>
            <w:tcBorders>
              <w:top w:val="single" w:sz="8" w:color="0000EE"/>
            </w:tcBorders>
            <w:gridSpan w:val="8"/>
          </w:tcPr>
          <w:p>
            <w:pPr>
              <w:spacing w:after="0"/>
              <w:rPr>
                <w:sz w:val="16"/>
                <w:szCs w:val="16"/>
                <w:color w:val="auto"/>
              </w:rPr>
            </w:pPr>
          </w:p>
        </w:tc>
        <w:tc>
          <w:tcPr>
            <w:tcW w:w="4080" w:type="dxa"/>
            <w:vAlign w:val="bottom"/>
            <w:gridSpan w:val="2"/>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r>
      <w:tr>
        <w:trPr>
          <w:trHeight w:val="194"/>
        </w:trPr>
        <w:tc>
          <w:tcPr>
            <w:tcW w:w="2040" w:type="dxa"/>
            <w:vAlign w:val="bottom"/>
            <w:tcBorders>
              <w:bottom w:val="single" w:sz="8" w:color="0000EE"/>
            </w:tcBorders>
            <w:gridSpan w:val="7"/>
          </w:tcPr>
          <w:p>
            <w:pPr>
              <w:spacing w:after="0" w:line="194"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PLAN OF DISTRIBUTION</w:t>
              </w:r>
            </w:hyperlink>
          </w:p>
        </w:tc>
        <w:tc>
          <w:tcPr>
            <w:tcW w:w="6740" w:type="dxa"/>
            <w:vAlign w:val="bottom"/>
            <w:gridSpan w:val="11"/>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r>
      <w:tr>
        <w:trPr>
          <w:trHeight w:val="194"/>
        </w:trPr>
        <w:tc>
          <w:tcPr>
            <w:tcW w:w="8780" w:type="dxa"/>
            <w:vAlign w:val="bottom"/>
            <w:gridSpan w:val="18"/>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144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7340" w:type="dxa"/>
            <w:vAlign w:val="bottom"/>
            <w:gridSpan w:val="13"/>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4"/>
        </w:trPr>
        <w:tc>
          <w:tcPr>
            <w:tcW w:w="3780" w:type="dxa"/>
            <w:vAlign w:val="bottom"/>
            <w:tcBorders>
              <w:bottom w:val="single" w:sz="8" w:color="0000EE"/>
            </w:tcBorders>
            <w:gridSpan w:val="13"/>
          </w:tcPr>
          <w:p>
            <w:pPr>
              <w:spacing w:after="0" w:line="194"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WHERE YOU CAN FIND MORE INFORMATION</w:t>
              </w:r>
            </w:hyperlink>
          </w:p>
        </w:tc>
        <w:tc>
          <w:tcPr>
            <w:tcW w:w="5000" w:type="dxa"/>
            <w:vAlign w:val="bottom"/>
            <w:gridSpan w:val="5"/>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8780" w:type="dxa"/>
            <w:vAlign w:val="bottom"/>
            <w:gridSpan w:val="18"/>
          </w:tcPr>
          <w:p>
            <w:pPr>
              <w:spacing w:after="0" w:line="194"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2300" w:type="dxa"/>
            <w:vAlign w:val="bottom"/>
          </w:tcPr>
          <w:p>
            <w:pPr>
              <w:jc w:val="right"/>
              <w:spacing w:after="0" w:line="194" w:lineRule="exact"/>
              <w:rPr>
                <w:sz w:val="20"/>
                <w:szCs w:val="20"/>
                <w:color w:val="auto"/>
              </w:rPr>
            </w:pPr>
            <w:r>
              <w:rPr>
                <w:rFonts w:ascii="Arial" w:cs="Arial" w:eastAsia="Arial" w:hAnsi="Arial"/>
                <w:sz w:val="18"/>
                <w:szCs w:val="18"/>
                <w:color w:val="auto"/>
              </w:rPr>
              <w:t>29</w:t>
            </w:r>
          </w:p>
        </w:tc>
      </w:tr>
      <w:tr>
        <w:trPr>
          <w:trHeight w:val="20"/>
        </w:trPr>
        <w:tc>
          <w:tcPr>
            <w:tcW w:w="60" w:type="dxa"/>
            <w:vAlign w:val="bottom"/>
            <w:shd w:val="clear" w:color="auto" w:fill="0000EE"/>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120" w:type="dxa"/>
            <w:vAlign w:val="bottom"/>
            <w:tcBorders>
              <w:bottom w:val="single" w:sz="8" w:color="0000EE"/>
            </w:tcBorders>
            <w:gridSpan w:val="16"/>
          </w:tcPr>
          <w:p>
            <w:pPr>
              <w:spacing w:after="0" w:line="194"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Opinion of Vinson &amp; Elkins L.L.P. - legality of securities being registered</w:t>
              </w:r>
            </w:hyperlink>
          </w:p>
        </w:tc>
        <w:tc>
          <w:tcPr>
            <w:tcW w:w="36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4080" w:type="dxa"/>
            <w:vAlign w:val="bottom"/>
            <w:tcBorders>
              <w:bottom w:val="single" w:sz="8" w:color="0000EE"/>
            </w:tcBorders>
            <w:gridSpan w:val="13"/>
          </w:tcPr>
          <w:p>
            <w:pPr>
              <w:spacing w:after="0" w:line="194" w:lineRule="exact"/>
              <w:rPr>
                <w:rFonts w:ascii="Arial" w:cs="Arial" w:eastAsia="Arial" w:hAnsi="Arial"/>
                <w:sz w:val="17"/>
                <w:szCs w:val="17"/>
                <w:color w:val="0000EE"/>
                <w:w w:val="94"/>
              </w:rPr>
            </w:pPr>
            <w:hyperlink w:anchor="page45">
              <w:r>
                <w:rPr>
                  <w:rFonts w:ascii="Arial" w:cs="Arial" w:eastAsia="Arial" w:hAnsi="Arial"/>
                  <w:sz w:val="17"/>
                  <w:szCs w:val="17"/>
                  <w:color w:val="0000EE"/>
                  <w:w w:val="94"/>
                </w:rPr>
                <w:t>Opinion of Vinson &amp; Elkins L.L.P. - relating to tax matters</w:t>
              </w:r>
            </w:hyperlink>
          </w:p>
        </w:tc>
        <w:tc>
          <w:tcPr>
            <w:tcW w:w="4640" w:type="dxa"/>
            <w:vAlign w:val="bottom"/>
            <w:gridSpan w:val="4"/>
          </w:tcPr>
          <w:p>
            <w:pPr>
              <w:spacing w:after="0"/>
              <w:rPr>
                <w:sz w:val="16"/>
                <w:szCs w:val="16"/>
                <w:color w:val="auto"/>
              </w:rPr>
            </w:pPr>
          </w:p>
        </w:tc>
        <w:tc>
          <w:tcPr>
            <w:tcW w:w="230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8720" w:type="dxa"/>
            <w:vAlign w:val="bottom"/>
            <w:gridSpan w:val="17"/>
          </w:tcPr>
          <w:p>
            <w:pPr>
              <w:spacing w:after="0" w:line="194" w:lineRule="exact"/>
              <w:rPr>
                <w:rFonts w:ascii="Arial" w:cs="Arial" w:eastAsia="Arial" w:hAnsi="Arial"/>
                <w:sz w:val="17"/>
                <w:szCs w:val="17"/>
                <w:color w:val="0000EE"/>
              </w:rPr>
            </w:pPr>
            <w:hyperlink w:anchor="page46">
              <w:r>
                <w:rPr>
                  <w:rFonts w:ascii="Arial" w:cs="Arial" w:eastAsia="Arial" w:hAnsi="Arial"/>
                  <w:sz w:val="17"/>
                  <w:szCs w:val="17"/>
                  <w:color w:val="0000EE"/>
                </w:rPr>
                <w:t>Consent of PricewaterhouseCoopers LLP</w:t>
              </w:r>
            </w:hyperlink>
          </w:p>
        </w:tc>
        <w:tc>
          <w:tcPr>
            <w:tcW w:w="230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19" w:lineRule="exact"/>
        <w:rPr>
          <w:sz w:val="20"/>
          <w:szCs w:val="20"/>
          <w:color w:val="auto"/>
        </w:rPr>
      </w:pPr>
    </w:p>
    <w:p>
      <w:pPr>
        <w:ind w:right="40" w:firstLine="216"/>
        <w:spacing w:after="0" w:line="252"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Neither we nor the selling unitholders have authorized any other person to give you different information. These securities are not being offered in any state where the offer is not permitted. You should not assume that the information incorporated by reference or provided in this prospectus or any prospectus supplement is accurate as of any date other than the date on the front of those documents. We will disclose any material changes in our affairs in an amendment to this prospectus, a prospectus supplement or a future filing with the Securities and Exchange Commission, or SEC, incorporated by reference in this prospectus.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right="660" w:firstLine="219"/>
        <w:spacing w:after="0" w:line="270" w:lineRule="auto"/>
        <w:rPr>
          <w:sz w:val="20"/>
          <w:szCs w:val="20"/>
          <w:color w:val="auto"/>
        </w:rPr>
      </w:pPr>
      <w:r>
        <w:rPr>
          <w:rFonts w:ascii="Arial" w:cs="Arial" w:eastAsia="Arial" w:hAnsi="Arial"/>
          <w:sz w:val="18"/>
          <w:szCs w:val="18"/>
          <w:color w:val="auto"/>
        </w:rPr>
        <w:t>This prospectus is part of a registration statement on Form S-3 that we have filed with the SEC using a “shelf” registration process. Under this shelf registration process, the selling unitholders may, from time to time, sell up to 3,117,725 common units.</w:t>
      </w:r>
    </w:p>
    <w:p>
      <w:pPr>
        <w:spacing w:after="0" w:line="68" w:lineRule="exact"/>
        <w:rPr>
          <w:sz w:val="20"/>
          <w:szCs w:val="20"/>
          <w:color w:val="auto"/>
        </w:rPr>
      </w:pPr>
    </w:p>
    <w:p>
      <w:pPr>
        <w:ind w:firstLine="219"/>
        <w:spacing w:after="0" w:line="289" w:lineRule="auto"/>
        <w:rPr>
          <w:sz w:val="20"/>
          <w:szCs w:val="20"/>
          <w:color w:val="auto"/>
        </w:rPr>
      </w:pPr>
      <w:r>
        <w:rPr>
          <w:rFonts w:ascii="Arial" w:cs="Arial" w:eastAsia="Arial" w:hAnsi="Arial"/>
          <w:sz w:val="16"/>
          <w:szCs w:val="16"/>
          <w:color w:val="auto"/>
        </w:rPr>
        <w:t>This prospectus provides you with a general description of us and the common units that may be offered by the selling unitholders. In connection with any offer or sale of common units by the selling unitholders under this prospectus, the selling unitholders are required to provide this prospectus and, in certain cases, a prospectus supplement that will contain specific information about the selling unitholders, the terms of the applicable offering and the securities being offered. The prospectus supplement also may add to, update or change information in this prospectus. If there is any inconsistency between the information in this prospectus and any prospectus supplement, you should rely on the information in the prospectus supplement. You should read carefully this prospectus, any prospectus supplement and the additional information described below under the heading “Where You Can Find More Information.”</w:t>
      </w:r>
    </w:p>
    <w:p>
      <w:pPr>
        <w:spacing w:after="0" w:line="59" w:lineRule="exact"/>
        <w:rPr>
          <w:sz w:val="20"/>
          <w:szCs w:val="20"/>
          <w:color w:val="auto"/>
        </w:rPr>
      </w:pPr>
    </w:p>
    <w:p>
      <w:pPr>
        <w:ind w:right="280" w:firstLine="213"/>
        <w:spacing w:after="0" w:line="270" w:lineRule="auto"/>
        <w:rPr>
          <w:sz w:val="20"/>
          <w:szCs w:val="20"/>
          <w:color w:val="auto"/>
        </w:rPr>
      </w:pPr>
      <w:r>
        <w:rPr>
          <w:rFonts w:ascii="Arial" w:cs="Arial" w:eastAsia="Arial" w:hAnsi="Arial"/>
          <w:sz w:val="18"/>
          <w:szCs w:val="18"/>
          <w:color w:val="auto"/>
        </w:rPr>
        <w:t>As used in this prospectus, “we,” “our” and “us” refer to Plains All American Pipeline, L.P. and its subsidiaries, unless otherwise indicated or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WE ARE</w:t>
      </w:r>
    </w:p>
    <w:p>
      <w:pPr>
        <w:spacing w:after="0" w:line="117"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We are a Delaware limited partnership formed in September 1998. Our operations are conducted directly and indirectly through our primary operating subsidiaries, Plains Marketing, L.P., Plains Pipeline, L.P. and Plains Marketing Canada, L.P. Giving effect to the Pacific Merger (defined below), we also operate through Pacific Energy Group LLC and PEG Canada GP LLC. We are engaged in interstate and intrastate crude oil transportation and crude oil gathering, marketing, terminalling and storage, as well as the marketing and storage of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the third quarter of 2006, we completed an acquisition that represented our initial entry in to the refined petroleum product transportation business. A substantial portion of the assets we acquired in the Pacific Merger will also contribute to that aspect of our business. In addition, through our 50% equity ownership in PAA/Vulcan Gas Storage, LLC (“PAA/Vulcan”), we are engaged in the development and operation of natural gas storage facilities.</w:t>
      </w:r>
    </w:p>
    <w:p>
      <w:pPr>
        <w:spacing w:after="0" w:line="72" w:lineRule="exact"/>
        <w:rPr>
          <w:sz w:val="20"/>
          <w:szCs w:val="20"/>
          <w:color w:val="auto"/>
        </w:rPr>
      </w:pPr>
    </w:p>
    <w:p>
      <w:pPr>
        <w:ind w:right="280" w:firstLine="222"/>
        <w:spacing w:after="0" w:line="270" w:lineRule="auto"/>
        <w:rPr>
          <w:sz w:val="20"/>
          <w:szCs w:val="20"/>
          <w:color w:val="auto"/>
        </w:rPr>
      </w:pPr>
      <w:r>
        <w:rPr>
          <w:rFonts w:ascii="Arial" w:cs="Arial" w:eastAsia="Arial" w:hAnsi="Arial"/>
          <w:sz w:val="18"/>
          <w:szCs w:val="18"/>
          <w:color w:val="auto"/>
        </w:rPr>
        <w:t>On November 15, 2006, we completed our acquisition of Pacific Energy Partners, L.P. pursuant to an Agreement and Plan of Merger dated June 11, 2006 (the “Pacific Merger”).</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280" w:firstLine="216"/>
        <w:spacing w:after="0" w:line="297" w:lineRule="auto"/>
        <w:rPr>
          <w:sz w:val="20"/>
          <w:szCs w:val="20"/>
          <w:color w:val="auto"/>
        </w:rPr>
      </w:pPr>
      <w:r>
        <w:rPr>
          <w:rFonts w:ascii="Arial" w:cs="Arial" w:eastAsia="Arial" w:hAnsi="Arial"/>
          <w:sz w:val="16"/>
          <w:szCs w:val="16"/>
          <w:color w:val="auto"/>
        </w:rPr>
        <w:t>You should carefully consider the risk factors discussed in our 2005 annual report on Form 10-K and our quarterly reports on Form 10-Q for the quarters ended June 30, 2006 and September 30, 2006, as amended, together with all of the other information included in this prospectus, any prospectus supplement and the documents we have incorporated by reference into this prospectus in evaluating an investment in our common units. If any of the described risks actually were to occur, our business, financial condition or results of operations could be materially adversely affected.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280" w:firstLine="219"/>
        <w:spacing w:after="0" w:line="270" w:lineRule="auto"/>
        <w:rPr>
          <w:sz w:val="20"/>
          <w:szCs w:val="20"/>
          <w:color w:val="auto"/>
        </w:rPr>
      </w:pPr>
      <w:r>
        <w:rPr>
          <w:rFonts w:ascii="Arial" w:cs="Arial" w:eastAsia="Arial" w:hAnsi="Arial"/>
          <w:sz w:val="18"/>
          <w:szCs w:val="18"/>
          <w:color w:val="auto"/>
        </w:rPr>
        <w:t>The common units to be offered and sold pursuant to this prospectus will be offered and sold by the selling unitholders. We will not receive any proceeds from the sale of the common units by the selling unitholders.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COMMON UNITS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Unlike the holders of common stock in a corporation, our common unitholders have only limited voting rights on matters affecting our business. Our common unitholders have no right to elect our general partner or its directors on an annual or other continuing basis. Our general partner may not be removed except by the vote of the holders of at least 66 2/3% of the outstanding common units, including units owned by the general partner and its affiliates. Each holder of common units is entitled to one vote for each common unit on any matters submitted to a vote of the unitholders.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17" w:lineRule="exact"/>
        <w:rPr>
          <w:sz w:val="20"/>
          <w:szCs w:val="20"/>
          <w:color w:val="auto"/>
        </w:rPr>
      </w:pPr>
    </w:p>
    <w:p>
      <w:pPr>
        <w:ind w:right="100" w:firstLine="222"/>
        <w:spacing w:after="0" w:line="270"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68"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2" w:lineRule="exact"/>
        <w:rPr>
          <w:sz w:val="20"/>
          <w:szCs w:val="20"/>
          <w:color w:val="auto"/>
        </w:rPr>
      </w:pPr>
    </w:p>
    <w:p>
      <w:pPr>
        <w:ind w:right="300" w:firstLine="213"/>
        <w:spacing w:after="0" w:line="253"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17" w:lineRule="exact"/>
        <w:rPr>
          <w:sz w:val="20"/>
          <w:szCs w:val="20"/>
          <w:color w:val="auto"/>
        </w:rPr>
      </w:pPr>
    </w:p>
    <w:p>
      <w:pPr>
        <w:ind w:firstLine="213"/>
        <w:spacing w:after="0" w:line="255"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8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117" w:lineRule="exact"/>
        <w:rPr>
          <w:sz w:val="20"/>
          <w:szCs w:val="20"/>
          <w:color w:val="auto"/>
        </w:rPr>
      </w:pPr>
    </w:p>
    <w:p>
      <w:pPr>
        <w:ind w:right="300" w:firstLine="213"/>
        <w:spacing w:after="0" w:line="292"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w:t>
      </w:r>
    </w:p>
    <w:p>
      <w:pPr>
        <w:spacing w:after="0" w:line="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68" w:lineRule="exact"/>
        <w:rPr>
          <w:sz w:val="20"/>
          <w:szCs w:val="20"/>
          <w:color w:val="auto"/>
        </w:rPr>
      </w:pPr>
    </w:p>
    <w:p>
      <w:pPr>
        <w:ind w:right="60" w:firstLine="213"/>
        <w:spacing w:after="0" w:line="270"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68" w:lineRule="exact"/>
        <w:rPr>
          <w:sz w:val="20"/>
          <w:szCs w:val="20"/>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current list of the name and last known address of each partner;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copy of our tax returns;</w:t>
      </w:r>
    </w:p>
    <w:p>
      <w:pPr>
        <w:spacing w:after="0" w:line="126" w:lineRule="exact"/>
        <w:rPr>
          <w:rFonts w:ascii="Arial" w:cs="Arial" w:eastAsia="Arial" w:hAnsi="Arial"/>
          <w:sz w:val="18"/>
          <w:szCs w:val="18"/>
          <w:b w:val="1"/>
          <w:bCs w:val="1"/>
          <w:color w:val="auto"/>
        </w:rPr>
      </w:pPr>
    </w:p>
    <w:p>
      <w:pPr>
        <w:ind w:left="560" w:right="680" w:hanging="326"/>
        <w:spacing w:after="0" w:line="270"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81" w:lineRule="exact"/>
        <w:rPr>
          <w:rFonts w:ascii="Arial" w:cs="Arial" w:eastAsia="Arial" w:hAnsi="Arial"/>
          <w:sz w:val="18"/>
          <w:szCs w:val="18"/>
          <w:b w:val="1"/>
          <w:bCs w:val="1"/>
          <w:color w:val="auto"/>
        </w:rPr>
      </w:pPr>
    </w:p>
    <w:p>
      <w:pPr>
        <w:ind w:left="560" w:right="480" w:hanging="326"/>
        <w:spacing w:after="0" w:line="270" w:lineRule="auto"/>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information regarding the status of our business and financial condition;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any other information regarding our affairs as is just and reasonable.</w:t>
      </w:r>
    </w:p>
    <w:p>
      <w:pPr>
        <w:spacing w:after="0" w:line="113" w:lineRule="exact"/>
        <w:rPr>
          <w:sz w:val="20"/>
          <w:szCs w:val="20"/>
          <w:color w:val="auto"/>
        </w:rPr>
      </w:pPr>
    </w:p>
    <w:p>
      <w:pPr>
        <w:ind w:right="140" w:firstLine="222"/>
        <w:spacing w:after="0" w:line="334"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13" w:lineRule="exact"/>
        <w:rPr>
          <w:sz w:val="20"/>
          <w:szCs w:val="20"/>
          <w:color w:val="auto"/>
        </w:rPr>
      </w:pPr>
    </w:p>
    <w:p>
      <w:pPr>
        <w:ind w:right="140" w:firstLine="222"/>
        <w:spacing w:after="0" w:line="270"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is necessary or appropriate in the reasonable discretion of the general partner to:</w:t>
      </w:r>
    </w:p>
    <w:p>
      <w:pPr>
        <w:spacing w:after="0" w:line="68" w:lineRule="exact"/>
        <w:rPr>
          <w:sz w:val="20"/>
          <w:szCs w:val="20"/>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for the proper conduct of our business;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comply with applicable law or any partnership debt instrument or other agreement;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Cash distributions to our unitholders will be characterized as either operating surplus or capital surplus. We distribute available cash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differently than available cash from capital surplus. See “—Quarterly Distributions of Available Cash.”</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113" w:lineRule="exact"/>
        <w:rPr>
          <w:sz w:val="20"/>
          <w:szCs w:val="20"/>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cash balances on the closing date of our initial public offering;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$25 million; plus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 of our cash receipts from operations, excluding cash that is capital surplus; less</w:t>
      </w:r>
    </w:p>
    <w:p>
      <w:pPr>
        <w:spacing w:after="0" w:line="126" w:lineRule="exact"/>
        <w:rPr>
          <w:rFonts w:ascii="Arial" w:cs="Arial" w:eastAsia="Arial" w:hAnsi="Arial"/>
          <w:sz w:val="18"/>
          <w:szCs w:val="18"/>
          <w:b w:val="1"/>
          <w:bCs w:val="1"/>
          <w:color w:val="auto"/>
        </w:rPr>
      </w:pPr>
    </w:p>
    <w:p>
      <w:pPr>
        <w:ind w:left="560" w:hanging="326"/>
        <w:spacing w:after="0" w:line="300" w:lineRule="auto"/>
        <w:tabs>
          <w:tab w:leader="none" w:pos="5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113" w:lineRule="exact"/>
        <w:rPr>
          <w:sz w:val="20"/>
          <w:szCs w:val="20"/>
          <w:color w:val="auto"/>
        </w:rPr>
      </w:pPr>
    </w:p>
    <w:p>
      <w:pPr>
        <w:ind w:left="560" w:hanging="326"/>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borrowings other than working capital borrowings;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sales of debt and equity securities;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sales or other dispositions of assets for cash, other than inventory, accounts receivable and other assets in the ordinary course of business.</w:t>
      </w:r>
    </w:p>
    <w:p>
      <w:pPr>
        <w:spacing w:after="0" w:line="125" w:lineRule="exact"/>
        <w:rPr>
          <w:sz w:val="20"/>
          <w:szCs w:val="20"/>
          <w:color w:val="auto"/>
        </w:rPr>
      </w:pPr>
    </w:p>
    <w:p>
      <w:pPr>
        <w:ind w:right="80" w:firstLine="219"/>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7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17" w:lineRule="exact"/>
        <w:rPr>
          <w:sz w:val="20"/>
          <w:szCs w:val="20"/>
          <w:color w:val="auto"/>
        </w:rPr>
      </w:pPr>
    </w:p>
    <w:p>
      <w:pPr>
        <w:ind w:right="60" w:firstLine="219"/>
        <w:spacing w:after="0" w:line="334"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2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17" w:lineRule="exact"/>
        <w:rPr>
          <w:sz w:val="20"/>
          <w:szCs w:val="20"/>
          <w:color w:val="auto"/>
        </w:rPr>
      </w:pPr>
    </w:p>
    <w:p>
      <w:pPr>
        <w:ind w:right="160" w:firstLine="219"/>
        <w:spacing w:after="0" w:line="274" w:lineRule="auto"/>
        <w:rPr>
          <w:sz w:val="20"/>
          <w:szCs w:val="20"/>
          <w:color w:val="auto"/>
        </w:rPr>
      </w:pPr>
      <w:r>
        <w:rPr>
          <w:rFonts w:ascii="Arial" w:cs="Arial" w:eastAsia="Arial" w:hAnsi="Arial"/>
          <w:sz w:val="17"/>
          <w:szCs w:val="17"/>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13" w:lineRule="exact"/>
        <w:rPr>
          <w:sz w:val="20"/>
          <w:szCs w:val="20"/>
          <w:color w:val="auto"/>
        </w:rPr>
      </w:pPr>
    </w:p>
    <w:p>
      <w:pPr>
        <w:ind w:left="560" w:right="620" w:hanging="326"/>
        <w:spacing w:after="0" w:line="270"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Thereafter, in the manner described in “—Incentive Distribution Rights”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we will distribute any additional available cash from operating surplus in that quarter among the unitholders and the general partner in the following manner:</w:t>
      </w:r>
    </w:p>
    <w:p>
      <w:pPr>
        <w:spacing w:after="0" w:line="77" w:lineRule="exact"/>
        <w:rPr>
          <w:sz w:val="20"/>
          <w:szCs w:val="20"/>
          <w:color w:val="auto"/>
        </w:rPr>
      </w:pPr>
    </w:p>
    <w:p>
      <w:pPr>
        <w:ind w:left="560" w:right="820" w:hanging="326"/>
        <w:spacing w:after="0" w:line="270"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81" w:lineRule="exact"/>
        <w:rPr>
          <w:rFonts w:ascii="Arial" w:cs="Arial" w:eastAsia="Arial" w:hAnsi="Arial"/>
          <w:sz w:val="18"/>
          <w:szCs w:val="18"/>
          <w:b w:val="1"/>
          <w:bCs w:val="1"/>
          <w:color w:val="auto"/>
        </w:rPr>
      </w:pPr>
    </w:p>
    <w:p>
      <w:pPr>
        <w:ind w:left="560" w:right="620" w:hanging="326"/>
        <w:spacing w:after="0" w:line="270"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Thereafter, 50% to all unitholders, pro rata, and 50% to the general partner.</w:t>
      </w:r>
    </w:p>
    <w:p>
      <w:pPr>
        <w:spacing w:after="0" w:line="113" w:lineRule="exact"/>
        <w:rPr>
          <w:sz w:val="20"/>
          <w:szCs w:val="20"/>
          <w:color w:val="auto"/>
        </w:rPr>
      </w:pPr>
    </w:p>
    <w:p>
      <w:pPr>
        <w:ind w:right="40" w:firstLine="219"/>
        <w:spacing w:after="0" w:line="297" w:lineRule="auto"/>
        <w:rPr>
          <w:sz w:val="20"/>
          <w:szCs w:val="20"/>
          <w:color w:val="auto"/>
        </w:rPr>
      </w:pPr>
      <w:r>
        <w:rPr>
          <w:rFonts w:ascii="Arial" w:cs="Arial" w:eastAsia="Arial" w:hAnsi="Arial"/>
          <w:sz w:val="16"/>
          <w:szCs w:val="16"/>
          <w:color w:val="auto"/>
        </w:rPr>
        <w:t>The incentive distribution rights represent the right to receive an increasing percentage of quarterly distributions of available cash from operating surplus after the minimum quarterly distribution and the target distribution levels have been achieved. Any distributions to the general partner (other than in its capacity as a holder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50"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Upon closing of the Pacific Merger, our general partner has agreed to reduce the amounts due it as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How Distributions from Capital Surplus Will Be Made</w:t>
      </w:r>
      <w:r>
        <w:rPr>
          <w:rFonts w:ascii="Arial" w:cs="Arial" w:eastAsia="Arial" w:hAnsi="Arial"/>
          <w:sz w:val="17"/>
          <w:szCs w:val="17"/>
          <w:color w:val="auto"/>
        </w:rPr>
        <w:t>. We will make distributions of available cash from capital surplus in the following manner:</w:t>
      </w:r>
    </w:p>
    <w:p>
      <w:pPr>
        <w:spacing w:after="0" w:line="125" w:lineRule="exact"/>
        <w:rPr>
          <w:sz w:val="20"/>
          <w:szCs w:val="20"/>
          <w:color w:val="auto"/>
        </w:rPr>
      </w:pPr>
    </w:p>
    <w:p>
      <w:pPr>
        <w:ind w:left="560" w:right="420" w:hanging="326"/>
        <w:spacing w:after="0" w:line="300" w:lineRule="auto"/>
        <w:tabs>
          <w:tab w:leader="none" w:pos="5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First, 98% to all unitholders, pro rata, and 2% to the general partner, until we distribute, for each common unit issued in our initial public offering, available cash from capital surplus in an aggregate amount per common unit equal to the initial public offering price; and</w:t>
      </w:r>
    </w:p>
    <w:p>
      <w:pPr>
        <w:spacing w:after="0" w:line="58" w:lineRule="exact"/>
        <w:rPr>
          <w:rFonts w:ascii="Arial" w:cs="Arial" w:eastAsia="Arial" w:hAnsi="Arial"/>
          <w:sz w:val="17"/>
          <w:szCs w:val="17"/>
          <w:b w:val="1"/>
          <w:bCs w:val="1"/>
          <w:color w:val="auto"/>
        </w:rPr>
      </w:pPr>
    </w:p>
    <w:p>
      <w:pPr>
        <w:ind w:left="560" w:hanging="326"/>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13" w:lineRule="exact"/>
        <w:rPr>
          <w:sz w:val="20"/>
          <w:szCs w:val="20"/>
          <w:color w:val="auto"/>
        </w:rPr>
      </w:pPr>
    </w:p>
    <w:p>
      <w:pPr>
        <w:ind w:firstLine="222"/>
        <w:spacing w:after="0" w:line="274" w:lineRule="auto"/>
        <w:rPr>
          <w:sz w:val="20"/>
          <w:szCs w:val="20"/>
          <w:color w:val="auto"/>
        </w:rPr>
      </w:pPr>
      <w:r>
        <w:rPr>
          <w:rFonts w:ascii="Arial" w:cs="Arial" w:eastAsia="Arial" w:hAnsi="Arial"/>
          <w:sz w:val="17"/>
          <w:szCs w:val="17"/>
          <w:i w:val="1"/>
          <w:iCs w:val="1"/>
          <w:color w:val="auto"/>
        </w:rPr>
        <w:t>Effect of a Distribution from Capital Surplus</w:t>
      </w:r>
      <w:r>
        <w:rPr>
          <w:rFonts w:ascii="Arial" w:cs="Arial" w:eastAsia="Arial" w:hAnsi="Arial"/>
          <w:sz w:val="17"/>
          <w:szCs w:val="17"/>
          <w:color w:val="auto"/>
        </w:rPr>
        <w:t>. Our partnership agreement treats a distribution of available cash from capital surplus as the repayment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public offering price per unit.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(that is, when the unrecovered capital of the common units is zero)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00" w:lineRule="exact"/>
        <w:rPr>
          <w:sz w:val="20"/>
          <w:szCs w:val="20"/>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all distributions of available cash will be treated as operating surplus; and</w:t>
      </w:r>
    </w:p>
    <w:p>
      <w:pPr>
        <w:spacing w:after="0" w:line="126" w:lineRule="exact"/>
        <w:rPr>
          <w:rFonts w:ascii="Arial" w:cs="Arial" w:eastAsia="Arial" w:hAnsi="Arial"/>
          <w:sz w:val="18"/>
          <w:szCs w:val="18"/>
          <w:b w:val="1"/>
          <w:bCs w:val="1"/>
          <w:color w:val="auto"/>
        </w:rPr>
      </w:pPr>
    </w:p>
    <w:p>
      <w:pPr>
        <w:ind w:left="560" w:right="320" w:hanging="326"/>
        <w:spacing w:after="0" w:line="270" w:lineRule="auto"/>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68" w:lineRule="exact"/>
        <w:rPr>
          <w:sz w:val="20"/>
          <w:szCs w:val="20"/>
          <w:color w:val="auto"/>
        </w:rPr>
      </w:pPr>
    </w:p>
    <w:p>
      <w:pPr>
        <w:ind w:right="180" w:firstLine="222"/>
        <w:spacing w:after="0" w:line="270"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17" w:lineRule="exact"/>
        <w:rPr>
          <w:sz w:val="20"/>
          <w:szCs w:val="20"/>
          <w:color w:val="auto"/>
        </w:rPr>
      </w:pPr>
    </w:p>
    <w:p>
      <w:pPr>
        <w:jc w:val="both"/>
        <w:ind w:right="140" w:firstLine="222"/>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77" w:lineRule="exact"/>
        <w:rPr>
          <w:sz w:val="20"/>
          <w:szCs w:val="20"/>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minimum quarterly distribution;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target distribution levels;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unrecovered capital;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other amounts calculated on a per unit basis.</w:t>
      </w:r>
    </w:p>
    <w:p>
      <w:pPr>
        <w:spacing w:after="0" w:line="113" w:lineRule="exact"/>
        <w:rPr>
          <w:sz w:val="20"/>
          <w:szCs w:val="20"/>
          <w:color w:val="auto"/>
        </w:rPr>
      </w:pPr>
    </w:p>
    <w:p>
      <w:pPr>
        <w:ind w:right="40" w:firstLine="222"/>
        <w:spacing w:after="0" w:line="270"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68" w:lineRule="exact"/>
        <w:rPr>
          <w:sz w:val="20"/>
          <w:szCs w:val="20"/>
          <w:color w:val="auto"/>
        </w:rPr>
      </w:pPr>
    </w:p>
    <w:p>
      <w:pPr>
        <w:ind w:right="360" w:firstLine="222"/>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80" w:hanging="326"/>
        <w:spacing w:after="0" w:line="259" w:lineRule="auto"/>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became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we dissolve and liquidate, we will sell our assets or otherwise dispose of our assets and we will adjust the partners’ capital account balances to</w:t>
      </w:r>
      <w:r>
        <w:rPr>
          <w:rFonts w:ascii="Arial" w:cs="Arial" w:eastAsia="Arial" w:hAnsi="Arial"/>
          <w:sz w:val="18"/>
          <w:szCs w:val="18"/>
          <w:i w:val="1"/>
          <w:iCs w:val="1"/>
          <w:color w:val="auto"/>
        </w:rPr>
        <w:t xml:space="preserve"> </w:t>
      </w:r>
      <w:r>
        <w:rPr>
          <w:rFonts w:ascii="Arial" w:cs="Arial" w:eastAsia="Arial" w:hAnsi="Arial"/>
          <w:sz w:val="18"/>
          <w:szCs w:val="18"/>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113" w:lineRule="exact"/>
        <w:rPr>
          <w:sz w:val="20"/>
          <w:szCs w:val="20"/>
          <w:color w:val="auto"/>
        </w:rPr>
      </w:pPr>
    </w:p>
    <w:p>
      <w:pPr>
        <w:ind w:left="560" w:right="200" w:hanging="326"/>
        <w:spacing w:after="0" w:line="270" w:lineRule="auto"/>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Thereafter, 100% to the general partner.</w:t>
      </w:r>
    </w:p>
    <w:p>
      <w:pPr>
        <w:spacing w:after="0" w:line="11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results, to the extent possible, in the capital account balances of the general partner equaling the amount which would have been the general partner’s capital account balances if no prior positive adjustments to the capital accounts had been made.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17" w:lineRule="exact"/>
        <w:rPr>
          <w:sz w:val="20"/>
          <w:szCs w:val="20"/>
          <w:color w:val="auto"/>
        </w:rPr>
      </w:pPr>
    </w:p>
    <w:p>
      <w:pPr>
        <w:ind w:right="40" w:firstLine="219"/>
        <w:spacing w:after="0" w:line="270"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68" w:lineRule="exact"/>
        <w:rPr>
          <w:sz w:val="20"/>
          <w:szCs w:val="20"/>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distributions of our available cash are described under “Cash Distribution Policy;”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rights of holders of common units are described under “Description of the Common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firstLine="222"/>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7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in our cash distributions equally with the then-existing holders of common units. In addition, the issuance of additional partnership interests may dilute the value of the interests of the then-existing holders of common units in our net assets.</w:t>
      </w:r>
    </w:p>
    <w:p>
      <w:pPr>
        <w:spacing w:after="0" w:line="77" w:lineRule="exact"/>
        <w:rPr>
          <w:sz w:val="20"/>
          <w:szCs w:val="20"/>
          <w:color w:val="auto"/>
        </w:rPr>
      </w:pPr>
    </w:p>
    <w:p>
      <w:pPr>
        <w:ind w:right="600" w:firstLine="222"/>
        <w:spacing w:after="0" w:line="270"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68"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percentage interests in us that existed immediately prior to the issuance. The holders of common units will not have preemptive rights to acquire additional common units or other partnership interests in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17" w:lineRule="exact"/>
        <w:rPr>
          <w:sz w:val="20"/>
          <w:szCs w:val="20"/>
          <w:color w:val="auto"/>
        </w:rPr>
      </w:pPr>
    </w:p>
    <w:p>
      <w:pPr>
        <w:ind w:right="120" w:firstLine="213"/>
        <w:spacing w:after="0" w:line="253"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17" w:lineRule="exact"/>
        <w:rPr>
          <w:sz w:val="20"/>
          <w:szCs w:val="20"/>
          <w:color w:val="auto"/>
        </w:rPr>
      </w:pPr>
    </w:p>
    <w:p>
      <w:pPr>
        <w:ind w:right="120" w:firstLine="222"/>
        <w:spacing w:after="0" w:line="269"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74"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84"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82" w:lineRule="exact"/>
        <w:rPr>
          <w:sz w:val="20"/>
          <w:szCs w:val="20"/>
          <w:color w:val="auto"/>
        </w:rPr>
      </w:pPr>
    </w:p>
    <w:p>
      <w:pPr>
        <w:ind w:firstLine="219"/>
        <w:spacing w:after="0" w:line="300" w:lineRule="auto"/>
        <w:rPr>
          <w:sz w:val="20"/>
          <w:szCs w:val="20"/>
          <w:color w:val="auto"/>
        </w:rPr>
      </w:pPr>
      <w:r>
        <w:rPr>
          <w:rFonts w:ascii="Arial" w:cs="Arial" w:eastAsia="Arial" w:hAnsi="Arial"/>
          <w:sz w:val="17"/>
          <w:szCs w:val="17"/>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45" w:lineRule="exact"/>
        <w:rPr>
          <w:sz w:val="20"/>
          <w:szCs w:val="20"/>
          <w:color w:val="auto"/>
        </w:rPr>
      </w:pPr>
    </w:p>
    <w:p>
      <w:pPr>
        <w:ind w:right="120" w:firstLine="222"/>
        <w:spacing w:after="0" w:line="270"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7" w:lineRule="exact"/>
        <w:rPr>
          <w:sz w:val="20"/>
          <w:szCs w:val="20"/>
          <w:color w:val="auto"/>
        </w:rPr>
      </w:pPr>
    </w:p>
    <w:p>
      <w:pPr>
        <w:ind w:left="560" w:hanging="326"/>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then, to all partners in accordance with the positive balance in the respective capital accounts.</w:t>
      </w:r>
    </w:p>
    <w:p>
      <w:pPr>
        <w:spacing w:after="0" w:line="11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117" w:lineRule="exact"/>
        <w:rPr>
          <w:sz w:val="20"/>
          <w:szCs w:val="20"/>
          <w:color w:val="auto"/>
        </w:rPr>
      </w:pPr>
    </w:p>
    <w:p>
      <w:pPr>
        <w:ind w:right="500" w:firstLine="222"/>
        <w:spacing w:after="0" w:line="270"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68" w:lineRule="exact"/>
        <w:rPr>
          <w:sz w:val="20"/>
          <w:szCs w:val="20"/>
          <w:color w:val="auto"/>
        </w:rPr>
      </w:pPr>
    </w:p>
    <w:p>
      <w:pPr>
        <w:ind w:left="560" w:hanging="326"/>
        <w:spacing w:after="0" w:line="270" w:lineRule="auto"/>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81" w:lineRule="exact"/>
        <w:rPr>
          <w:rFonts w:ascii="Arial" w:cs="Arial" w:eastAsia="Arial" w:hAnsi="Arial"/>
          <w:sz w:val="18"/>
          <w:szCs w:val="18"/>
          <w:b w:val="1"/>
          <w:bCs w:val="1"/>
          <w:color w:val="auto"/>
        </w:rPr>
      </w:pPr>
    </w:p>
    <w:p>
      <w:pPr>
        <w:ind w:left="560" w:right="360" w:hanging="326"/>
        <w:spacing w:after="0" w:line="270" w:lineRule="auto"/>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17" w:lineRule="exact"/>
        <w:rPr>
          <w:sz w:val="20"/>
          <w:szCs w:val="20"/>
          <w:color w:val="auto"/>
        </w:rPr>
      </w:pPr>
    </w:p>
    <w:p>
      <w:pPr>
        <w:ind w:right="80" w:firstLine="222"/>
        <w:spacing w:after="0" w:line="268" w:lineRule="auto"/>
        <w:rPr>
          <w:sz w:val="20"/>
          <w:szCs w:val="20"/>
          <w:color w:val="auto"/>
        </w:rPr>
      </w:pPr>
      <w:r>
        <w:rPr>
          <w:rFonts w:ascii="Arial" w:cs="Arial" w:eastAsia="Arial" w:hAnsi="Arial"/>
          <w:sz w:val="17"/>
          <w:szCs w:val="17"/>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will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17" w:lineRule="exact"/>
        <w:rPr>
          <w:sz w:val="20"/>
          <w:szCs w:val="20"/>
          <w:color w:val="auto"/>
        </w:rPr>
      </w:pPr>
    </w:p>
    <w:p>
      <w:pPr>
        <w:ind w:right="100" w:firstLine="222"/>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17" w:lineRule="exact"/>
        <w:rPr>
          <w:sz w:val="20"/>
          <w:szCs w:val="20"/>
          <w:color w:val="auto"/>
        </w:rPr>
      </w:pPr>
    </w:p>
    <w:p>
      <w:pPr>
        <w:ind w:right="160" w:firstLine="219"/>
        <w:spacing w:after="0" w:line="292" w:lineRule="auto"/>
        <w:rPr>
          <w:sz w:val="20"/>
          <w:szCs w:val="20"/>
          <w:color w:val="auto"/>
        </w:rPr>
      </w:pPr>
      <w:r>
        <w:rPr>
          <w:rFonts w:ascii="Arial" w:cs="Arial" w:eastAsia="Arial" w:hAnsi="Arial"/>
          <w:sz w:val="16"/>
          <w:szCs w:val="16"/>
          <w:color w:val="auto"/>
        </w:rPr>
        <w:t>This section is a summary of the material U.S. federal income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56" w:lineRule="exact"/>
        <w:rPr>
          <w:sz w:val="20"/>
          <w:szCs w:val="20"/>
          <w:color w:val="auto"/>
        </w:rPr>
      </w:pPr>
    </w:p>
    <w:p>
      <w:pPr>
        <w:ind w:right="260" w:firstLine="219"/>
        <w:spacing w:after="0" w:line="271" w:lineRule="auto"/>
        <w:rPr>
          <w:sz w:val="20"/>
          <w:szCs w:val="20"/>
          <w:color w:val="auto"/>
        </w:rPr>
      </w:pPr>
      <w:r>
        <w:rPr>
          <w:rFonts w:ascii="Arial" w:cs="Arial" w:eastAsia="Arial" w:hAnsi="Arial"/>
          <w:sz w:val="17"/>
          <w:szCs w:val="17"/>
          <w:color w:val="auto"/>
        </w:rPr>
        <w:t>The following discussion does not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71" w:lineRule="exact"/>
        <w:rPr>
          <w:sz w:val="20"/>
          <w:szCs w:val="20"/>
          <w:color w:val="auto"/>
        </w:rPr>
      </w:pPr>
    </w:p>
    <w:p>
      <w:pPr>
        <w:ind w:right="240" w:firstLine="213"/>
        <w:spacing w:after="0" w:line="270"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68"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the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directly or indirectly by our unitholders and our general partner. Furthermore, the tax treatment of us, or an investment in us, may be significantly modified by future legislative or administrative changes or court decisions. Any modifications may or may not be retroactively applied.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w:t>
      </w:r>
    </w:p>
    <w:p>
      <w:pPr>
        <w:spacing w:after="0" w:line="125" w:lineRule="exact"/>
        <w:rPr>
          <w:sz w:val="20"/>
          <w:szCs w:val="20"/>
          <w:color w:val="auto"/>
        </w:rPr>
      </w:pPr>
    </w:p>
    <w:p>
      <w:pPr>
        <w:ind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“—Tax Consequences of Unit Ownership—Treatment of Short Sales”);</w:t>
      </w:r>
    </w:p>
    <w:p>
      <w:pPr>
        <w:spacing w:after="0" w:line="68" w:lineRule="exact"/>
        <w:rPr>
          <w:rFonts w:ascii="Arial" w:cs="Arial" w:eastAsia="Arial" w:hAnsi="Arial"/>
          <w:sz w:val="18"/>
          <w:szCs w:val="18"/>
          <w:color w:val="auto"/>
        </w:rPr>
      </w:pPr>
    </w:p>
    <w:p>
      <w:pPr>
        <w:ind w:right="220"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“—Disposition of Common Units—Allocations Between Transferors and Transferees”); and</w:t>
      </w:r>
    </w:p>
    <w:p>
      <w:pPr>
        <w:spacing w:after="0" w:line="68" w:lineRule="exact"/>
        <w:rPr>
          <w:rFonts w:ascii="Arial" w:cs="Arial" w:eastAsia="Arial" w:hAnsi="Arial"/>
          <w:sz w:val="18"/>
          <w:szCs w:val="18"/>
          <w:color w:val="auto"/>
        </w:rPr>
      </w:pPr>
    </w:p>
    <w:p>
      <w:pPr>
        <w:ind w:right="340" w:firstLine="229"/>
        <w:spacing w:after="0" w:line="270"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in certain cases (please read “—Tax Consequences of Unit Ownership— Section 754 Election”).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117" w:lineRule="exact"/>
        <w:rPr>
          <w:sz w:val="20"/>
          <w:szCs w:val="20"/>
          <w:color w:val="auto"/>
        </w:rPr>
      </w:pPr>
    </w:p>
    <w:p>
      <w:pPr>
        <w:ind w:right="60" w:firstLine="213"/>
        <w:spacing w:after="0" w:line="255"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82"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as partnerships for federal income tax purposes, nor as to whether our operations generate “qualifying income” under Section 7704 of the Code. Instead, we will rely on the opinion of Vinson &amp;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Elkins L.L.P. on such matters. Vinson &amp; Elkins L.L.P. is of the opinion that, based upon the Internal Revenue Code, regulations thereunder, published revenue rulings and court decisions and the representations described below, we and the operating partnerships will be classified as a partnership for federal income tax purposes.</w:t>
      </w:r>
    </w:p>
    <w:p>
      <w:pPr>
        <w:spacing w:after="0" w:line="77" w:lineRule="exact"/>
        <w:rPr>
          <w:sz w:val="20"/>
          <w:szCs w:val="20"/>
          <w:color w:val="auto"/>
        </w:rPr>
      </w:pPr>
    </w:p>
    <w:p>
      <w:pPr>
        <w:ind w:right="280" w:firstLine="222"/>
        <w:spacing w:after="0" w:line="270"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the general partner. The representations made by us and our general partner upon which counsel has relied are:</w:t>
      </w:r>
    </w:p>
    <w:p>
      <w:pPr>
        <w:spacing w:after="0" w:line="68" w:lineRule="exact"/>
        <w:rPr>
          <w:sz w:val="20"/>
          <w:szCs w:val="20"/>
          <w:color w:val="auto"/>
        </w:rPr>
      </w:pPr>
    </w:p>
    <w:p>
      <w:pPr>
        <w:ind w:left="480" w:hanging="251"/>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we nor the operating entities will elect to be treated as a corporation;</w:t>
      </w:r>
    </w:p>
    <w:p>
      <w:pPr>
        <w:spacing w:after="0" w:line="113" w:lineRule="exact"/>
        <w:rPr>
          <w:rFonts w:ascii="Arial" w:cs="Arial" w:eastAsia="Arial" w:hAnsi="Arial"/>
          <w:sz w:val="18"/>
          <w:szCs w:val="18"/>
          <w:color w:val="auto"/>
        </w:rPr>
      </w:pPr>
    </w:p>
    <w:p>
      <w:pPr>
        <w:ind w:right="120" w:firstLine="229"/>
        <w:spacing w:after="0" w:line="270" w:lineRule="auto"/>
        <w:tabs>
          <w:tab w:leader="none" w:pos="4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68"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We estimate that less than 4% of our current gross income is not qualifying income; however, this estimate could change from time to time. Based upon and subject to this estimate, the factual representations made by us and our general partner and a review of the applicable legal authorities, Vinson &amp; Elkins L.L.P. is of the opinion that at least 90% of our current gross income constitutes qualifying income.</w:t>
      </w:r>
    </w:p>
    <w:p>
      <w:pPr>
        <w:spacing w:after="0" w:line="76"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71"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If we were treated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discussion below is based on the Vinson &amp; Elkins L.L.P. opinion that we will be classified as a partnership for federal income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117" w:lineRule="exact"/>
        <w:rPr>
          <w:sz w:val="20"/>
          <w:szCs w:val="20"/>
          <w:color w:val="auto"/>
        </w:rPr>
      </w:pPr>
    </w:p>
    <w:p>
      <w:pPr>
        <w:ind w:right="540" w:firstLine="222"/>
        <w:spacing w:after="0" w:line="270"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68" w:lineRule="exact"/>
        <w:rPr>
          <w:sz w:val="20"/>
          <w:szCs w:val="20"/>
          <w:color w:val="auto"/>
        </w:rPr>
      </w:pPr>
    </w:p>
    <w:p>
      <w:pPr>
        <w:ind w:left="560" w:hanging="326"/>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126" w:lineRule="exact"/>
        <w:rPr>
          <w:rFonts w:ascii="Arial" w:cs="Arial" w:eastAsia="Arial" w:hAnsi="Arial"/>
          <w:sz w:val="18"/>
          <w:szCs w:val="18"/>
          <w:b w:val="1"/>
          <w:bCs w:val="1"/>
          <w:color w:val="auto"/>
        </w:rPr>
      </w:pPr>
    </w:p>
    <w:p>
      <w:pPr>
        <w:ind w:left="560" w:right="60" w:hanging="326"/>
        <w:spacing w:after="0" w:line="270" w:lineRule="auto"/>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will be treated as partners of Plains All American Pipeline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84" w:lineRule="exact"/>
        <w:rPr>
          <w:sz w:val="20"/>
          <w:szCs w:val="20"/>
          <w:color w:val="auto"/>
        </w:rPr>
      </w:pPr>
    </w:p>
    <w:p>
      <w:pPr>
        <w:ind w:right="180" w:firstLine="213"/>
        <w:spacing w:after="0" w:line="334"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22" w:lineRule="exact"/>
        <w:rPr>
          <w:sz w:val="20"/>
          <w:szCs w:val="20"/>
          <w:color w:val="auto"/>
        </w:rPr>
      </w:pPr>
    </w:p>
    <w:p>
      <w:pPr>
        <w:ind w:right="40" w:firstLine="222"/>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status as partners in Plains All American Pipeline for federal income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117" w:lineRule="exact"/>
        <w:rPr>
          <w:sz w:val="20"/>
          <w:szCs w:val="20"/>
          <w:color w:val="auto"/>
        </w:rPr>
      </w:pPr>
    </w:p>
    <w:p>
      <w:pPr>
        <w:ind w:right="120" w:firstLine="222"/>
        <w:spacing w:after="0" w:line="274"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 income tax return his</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income, gains, losses and deductions without regard to whether we make cash distributions to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69"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i w:val="1"/>
          <w:iCs w:val="1"/>
          <w:color w:val="auto"/>
        </w:rPr>
        <w:t>Treatment of Distributions</w:t>
      </w:r>
      <w:r>
        <w:rPr>
          <w:rFonts w:ascii="Arial" w:cs="Arial" w:eastAsia="Arial" w:hAnsi="Arial"/>
          <w:sz w:val="18"/>
          <w:szCs w:val="18"/>
          <w:color w:val="auto"/>
        </w:rPr>
        <w:t>. Distributions by us to a unitholder generally will not be taxable to the unitholder for federal income tax purposes except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w:t>
      </w:r>
    </w:p>
    <w:p>
      <w:pPr>
        <w:spacing w:after="0" w:line="87" w:lineRule="exact"/>
        <w:rPr>
          <w:sz w:val="20"/>
          <w:szCs w:val="20"/>
          <w:color w:val="auto"/>
        </w:rPr>
      </w:pPr>
    </w:p>
    <w:p>
      <w:pPr>
        <w:ind w:right="20" w:firstLine="213"/>
        <w:spacing w:after="0" w:line="267" w:lineRule="auto"/>
        <w:rPr>
          <w:sz w:val="20"/>
          <w:szCs w:val="20"/>
          <w:color w:val="auto"/>
        </w:rPr>
      </w:pPr>
      <w:r>
        <w:rPr>
          <w:rFonts w:ascii="Arial" w:cs="Arial" w:eastAsia="Arial" w:hAnsi="Arial"/>
          <w:sz w:val="17"/>
          <w:szCs w:val="17"/>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76"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the common units plus his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unitholderwill have no share of our debt that is recourse to our general partner, but will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have a share, generally based on his share of profits, of our nonrecourse liabilities. Please read “—Disposition of Common Units—Recognition of Gain or Loss.”</w:t>
      </w:r>
    </w:p>
    <w:p>
      <w:pPr>
        <w:spacing w:after="0" w:line="68"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unitholder or a corporate unitholder, if more than 50% of the value of the corporate unitholder’s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62"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50" w:lineRule="exact"/>
        <w:rPr>
          <w:sz w:val="20"/>
          <w:szCs w:val="20"/>
          <w:color w:val="auto"/>
        </w:rPr>
      </w:pPr>
    </w:p>
    <w:p>
      <w:pPr>
        <w:ind w:right="20" w:firstLine="219"/>
        <w:spacing w:after="0" w:line="267" w:lineRule="auto"/>
        <w:rPr>
          <w:sz w:val="20"/>
          <w:szCs w:val="20"/>
          <w:color w:val="auto"/>
        </w:rPr>
      </w:pPr>
      <w:r>
        <w:rPr>
          <w:rFonts w:ascii="Arial" w:cs="Arial" w:eastAsia="Arial" w:hAnsi="Arial"/>
          <w:sz w:val="17"/>
          <w:szCs w:val="17"/>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76" w:lineRule="exact"/>
        <w:rPr>
          <w:sz w:val="20"/>
          <w:szCs w:val="20"/>
          <w:color w:val="auto"/>
        </w:rPr>
      </w:pPr>
    </w:p>
    <w:p>
      <w:pPr>
        <w:ind w:firstLine="213"/>
        <w:spacing w:after="0" w:line="270" w:lineRule="auto"/>
        <w:rPr>
          <w:sz w:val="20"/>
          <w:szCs w:val="20"/>
          <w:color w:val="auto"/>
        </w:rPr>
      </w:pPr>
      <w:r>
        <w:rPr>
          <w:rFonts w:ascii="Arial" w:cs="Arial" w:eastAsia="Arial" w:hAnsi="Arial"/>
          <w:sz w:val="18"/>
          <w:szCs w:val="18"/>
          <w:color w:val="auto"/>
        </w:rPr>
        <w:t>A unitholder’s share of our net income may be offset by any of our suspended passive losses, but it may not be offset by any other current or carryover losses from other passive activities, including those attributable to other publicly-traded partnerships.</w:t>
      </w:r>
    </w:p>
    <w:p>
      <w:pPr>
        <w:spacing w:after="0" w:line="68" w:lineRule="exact"/>
        <w:rPr>
          <w:sz w:val="20"/>
          <w:szCs w:val="20"/>
          <w:color w:val="auto"/>
        </w:rPr>
      </w:pPr>
    </w:p>
    <w:p>
      <w:pPr>
        <w:ind w:right="160" w:firstLine="222"/>
        <w:spacing w:after="0" w:line="270"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68" w:lineRule="exact"/>
        <w:rPr>
          <w:sz w:val="20"/>
          <w:szCs w:val="20"/>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interest on indebtedness properly allocable to property held for investment;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interest expense attributed to portfolio income;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113" w:lineRule="exact"/>
        <w:rPr>
          <w:sz w:val="20"/>
          <w:szCs w:val="20"/>
          <w:color w:val="auto"/>
        </w:rPr>
      </w:pPr>
    </w:p>
    <w:p>
      <w:pPr>
        <w:ind w:right="100" w:firstLine="219"/>
        <w:spacing w:after="0" w:line="292"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publicly-traded partnership will be treated as investment income to its unitholders. In addition, the unitholder’s share of our portfolio income will be treated as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firstLine="222"/>
        <w:spacing w:after="0" w:line="250" w:lineRule="auto"/>
        <w:rPr>
          <w:sz w:val="20"/>
          <w:szCs w:val="20"/>
          <w:color w:val="auto"/>
        </w:rPr>
      </w:pPr>
      <w:r>
        <w:rPr>
          <w:rFonts w:ascii="Arial" w:cs="Arial" w:eastAsia="Arial" w:hAnsi="Arial"/>
          <w:sz w:val="18"/>
          <w:szCs w:val="18"/>
          <w:i w:val="1"/>
          <w:iCs w:val="1"/>
          <w:color w:val="auto"/>
        </w:rPr>
        <w:t xml:space="preserve">Entity-Level Collections. </w:t>
      </w:r>
      <w:r>
        <w:rPr>
          <w:rFonts w:ascii="Arial" w:cs="Arial" w:eastAsia="Arial" w:hAnsi="Arial"/>
          <w:sz w:val="18"/>
          <w:szCs w:val="18"/>
          <w:color w:val="auto"/>
        </w:rPr>
        <w:t>If we are required or elect under applicable law to pay any federal, state, local, or foreign income tax on behalf of any unitholder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91" w:lineRule="exact"/>
        <w:rPr>
          <w:sz w:val="20"/>
          <w:szCs w:val="20"/>
          <w:color w:val="auto"/>
        </w:rPr>
      </w:pPr>
    </w:p>
    <w:p>
      <w:pPr>
        <w:ind w:right="140" w:firstLine="222"/>
        <w:spacing w:after="0" w:line="253"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our general partner.</w:t>
      </w:r>
    </w:p>
    <w:p>
      <w:pPr>
        <w:spacing w:after="0" w:line="84"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Specified items of our income, gain, loss and deduction will be allocated to account for the difference between the tax basis and fair market value of property contributed to us by our general partner and its affiliates, referred to in this discussion as “Contributed Property,” and to account for the difference between the fair market value of our assets and their carrying value on our books at the time of an offering. The effect of these allocations to a unitholder purchasing common units in the offering will be essentially the same as if the tax basis of our assets were equal to their fair market value at the time of the offering.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76" w:lineRule="exact"/>
        <w:rPr>
          <w:sz w:val="20"/>
          <w:szCs w:val="20"/>
          <w:color w:val="auto"/>
        </w:rPr>
      </w:pPr>
    </w:p>
    <w:p>
      <w:pPr>
        <w:ind w:firstLine="213"/>
        <w:spacing w:after="0" w:line="268"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74" w:lineRule="exact"/>
        <w:rPr>
          <w:sz w:val="20"/>
          <w:szCs w:val="20"/>
          <w:color w:val="auto"/>
        </w:rPr>
      </w:pPr>
    </w:p>
    <w:p>
      <w:pPr>
        <w:ind w:right="20" w:firstLine="219"/>
        <w:spacing w:after="0" w:line="281" w:lineRule="auto"/>
        <w:rPr>
          <w:sz w:val="20"/>
          <w:szCs w:val="20"/>
          <w:color w:val="auto"/>
        </w:rPr>
      </w:pPr>
      <w:r>
        <w:rPr>
          <w:rFonts w:ascii="Arial" w:cs="Arial" w:eastAsia="Arial" w:hAnsi="Arial"/>
          <w:sz w:val="17"/>
          <w:szCs w:val="17"/>
          <w:color w:val="auto"/>
        </w:rPr>
        <w:t>Vinson &amp; Elkins L.L.P.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6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units. If so, he would no longer be treated for tax purposes as a partner with respect to those units during the period of the loan and may recognize gain or loss from the disposition. As a result, during this period:</w:t>
      </w:r>
    </w:p>
    <w:p>
      <w:pPr>
        <w:spacing w:after="0" w:line="77" w:lineRule="exact"/>
        <w:rPr>
          <w:sz w:val="20"/>
          <w:szCs w:val="20"/>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cash distributions received by the unitholder as to those units would be fully taxable;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of these distributions would appear to be ordinary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20" w:firstLine="219"/>
        <w:spacing w:after="0" w:line="253" w:lineRule="auto"/>
        <w:rPr>
          <w:sz w:val="20"/>
          <w:szCs w:val="20"/>
          <w:color w:val="auto"/>
        </w:rPr>
      </w:pPr>
      <w:r>
        <w:rPr>
          <w:rFonts w:ascii="Arial" w:cs="Arial" w:eastAsia="Arial" w:hAnsi="Arial"/>
          <w:sz w:val="18"/>
          <w:szCs w:val="18"/>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loaning their units. The IRS has announced that it is actively studying issues relating to the tax treatment of short sales of partnership interests. Please read “—Disposition of Common Units—Recognition of Gain or Loss.”</w:t>
      </w:r>
    </w:p>
    <w:p>
      <w:pPr>
        <w:spacing w:after="0" w:line="84"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 unitholder will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84" w:lineRule="exact"/>
        <w:rPr>
          <w:sz w:val="20"/>
          <w:szCs w:val="20"/>
          <w:color w:val="auto"/>
        </w:rPr>
      </w:pPr>
    </w:p>
    <w:p>
      <w:pPr>
        <w:ind w:right="180" w:firstLine="222"/>
        <w:spacing w:after="0" w:line="334"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United States federal income tax rate for individuals currently is 35% and the maximum United States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net capital gains of an individual currently is 15% if the asset disposed of was held for more than twelve months at the time of disposition.</w:t>
      </w:r>
    </w:p>
    <w:p>
      <w:pPr>
        <w:spacing w:after="0" w:line="22" w:lineRule="exact"/>
        <w:rPr>
          <w:sz w:val="20"/>
          <w:szCs w:val="20"/>
          <w:color w:val="auto"/>
        </w:rPr>
      </w:pPr>
    </w:p>
    <w:p>
      <w:pPr>
        <w:ind w:firstLine="222"/>
        <w:spacing w:after="0" w:line="292"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partner’s inside basis in our assets will be considered to have two components: (1) his share of our tax basis in our assets (“common basis”) and (2) his Section 743(b) adjustment to that basis.</w:t>
      </w:r>
    </w:p>
    <w:p>
      <w:pPr>
        <w:spacing w:after="0" w:line="56" w:lineRule="exact"/>
        <w:rPr>
          <w:sz w:val="20"/>
          <w:szCs w:val="20"/>
          <w:color w:val="auto"/>
        </w:rPr>
      </w:pPr>
    </w:p>
    <w:p>
      <w:pPr>
        <w:ind w:right="80" w:firstLine="219"/>
        <w:spacing w:after="0" w:line="251" w:lineRule="auto"/>
        <w:rPr>
          <w:sz w:val="20"/>
          <w:szCs w:val="20"/>
          <w:color w:val="auto"/>
        </w:rPr>
      </w:pPr>
      <w:r>
        <w:rPr>
          <w:rFonts w:ascii="Arial" w:cs="Arial" w:eastAsia="Arial" w:hAnsi="Arial"/>
          <w:sz w:val="18"/>
          <w:szCs w:val="18"/>
          <w:color w:val="auto"/>
        </w:rPr>
        <w:t>Where the remedial allocation method is adopted (which we have adopted), the Treasury Regulations under Section 743 of the Internal Revenue Code require a portion of the Section 743(b) adjustment that is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Treasury Regulations. Please read “—Tax Treatment of Operations” and “—Uniformity of Units.”</w:t>
      </w:r>
    </w:p>
    <w:p>
      <w:pPr>
        <w:spacing w:after="0" w:line="87" w:lineRule="exact"/>
        <w:rPr>
          <w:sz w:val="20"/>
          <w:szCs w:val="20"/>
          <w:color w:val="auto"/>
        </w:rPr>
      </w:pPr>
    </w:p>
    <w:p>
      <w:pPr>
        <w:ind w:firstLine="213"/>
        <w:spacing w:after="0" w:line="265" w:lineRule="auto"/>
        <w:rPr>
          <w:sz w:val="20"/>
          <w:szCs w:val="20"/>
          <w:color w:val="auto"/>
        </w:rPr>
      </w:pPr>
      <w:r>
        <w:rPr>
          <w:rFonts w:ascii="Arial" w:cs="Arial" w:eastAsia="Arial" w:hAnsi="Arial"/>
          <w:sz w:val="17"/>
          <w:szCs w:val="17"/>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methods employed by other publicly traded partnerships and is consistent with the regulations under Section 743 of the Internal Revenue Code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80" w:lineRule="exact"/>
        <w:rPr>
          <w:sz w:val="20"/>
          <w:szCs w:val="20"/>
          <w:color w:val="auto"/>
        </w:rPr>
      </w:pPr>
    </w:p>
    <w:p>
      <w:pPr>
        <w:ind w:right="320" w:firstLine="213"/>
        <w:spacing w:after="0" w:line="306"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his share of any gain or loss on a sale of our assets would be less. Conversely, a Section 754 election is disadvantageous if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117"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 accounting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w:t>
      </w:r>
    </w:p>
    <w:p>
      <w:pPr>
        <w:spacing w:after="0" w:line="7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 and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 Tax Consequences of Unit Ownership—Allocation of Income, Gain, Loss and Deduction.”</w:t>
      </w:r>
    </w:p>
    <w:p>
      <w:pPr>
        <w:spacing w:after="0" w:line="82" w:lineRule="exact"/>
        <w:rPr>
          <w:sz w:val="20"/>
          <w:szCs w:val="20"/>
          <w:color w:val="auto"/>
        </w:rPr>
      </w:pPr>
    </w:p>
    <w:p>
      <w:pPr>
        <w:ind w:right="160" w:firstLine="219"/>
        <w:spacing w:after="0" w:line="281" w:lineRule="auto"/>
        <w:rPr>
          <w:sz w:val="20"/>
          <w:szCs w:val="20"/>
          <w:color w:val="auto"/>
        </w:rPr>
      </w:pPr>
      <w:r>
        <w:rPr>
          <w:rFonts w:ascii="Arial" w:cs="Arial" w:eastAsia="Arial" w:hAnsi="Arial"/>
          <w:sz w:val="17"/>
          <w:szCs w:val="17"/>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61" w:lineRule="exact"/>
        <w:rPr>
          <w:sz w:val="20"/>
          <w:szCs w:val="20"/>
          <w:color w:val="auto"/>
        </w:rPr>
      </w:pPr>
    </w:p>
    <w:p>
      <w:pPr>
        <w:ind w:right="160" w:firstLine="222"/>
        <w:spacing w:after="0" w:line="271" w:lineRule="auto"/>
        <w:rPr>
          <w:sz w:val="20"/>
          <w:szCs w:val="20"/>
          <w:color w:val="auto"/>
        </w:rPr>
      </w:pPr>
      <w:r>
        <w:rPr>
          <w:rFonts w:ascii="Arial" w:cs="Arial" w:eastAsia="Arial" w:hAnsi="Arial"/>
          <w:sz w:val="17"/>
          <w:szCs w:val="17"/>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71"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61" w:lineRule="exact"/>
        <w:rPr>
          <w:sz w:val="20"/>
          <w:szCs w:val="20"/>
          <w:color w:val="auto"/>
        </w:rPr>
      </w:pPr>
    </w:p>
    <w:p>
      <w:pPr>
        <w:ind w:right="380" w:firstLine="222"/>
        <w:spacing w:after="0" w:line="306" w:lineRule="auto"/>
        <w:rPr>
          <w:sz w:val="20"/>
          <w:szCs w:val="20"/>
          <w:color w:val="auto"/>
        </w:rPr>
      </w:pPr>
      <w:r>
        <w:rPr>
          <w:rFonts w:ascii="Arial" w:cs="Arial" w:eastAsia="Arial" w:hAnsi="Arial"/>
          <w:sz w:val="16"/>
          <w:szCs w:val="16"/>
          <w:i w:val="1"/>
          <w:iCs w:val="1"/>
          <w:color w:val="auto"/>
        </w:rPr>
        <w:t xml:space="preserve">Valuation and Tax Basis of Our Properties. </w:t>
      </w:r>
      <w:r>
        <w:rPr>
          <w:rFonts w:ascii="Arial" w:cs="Arial" w:eastAsia="Arial" w:hAnsi="Arial"/>
          <w:sz w:val="16"/>
          <w:szCs w:val="16"/>
          <w:color w:val="auto"/>
        </w:rPr>
        <w:t>The federal income tax consequences of the ownership and disposition of units will depend in part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Units</w:t>
      </w:r>
    </w:p>
    <w:p>
      <w:pPr>
        <w:spacing w:after="0" w:line="117" w:lineRule="exact"/>
        <w:rPr>
          <w:sz w:val="20"/>
          <w:szCs w:val="20"/>
          <w:color w:val="auto"/>
        </w:rPr>
      </w:pPr>
    </w:p>
    <w:p>
      <w:pPr>
        <w:jc w:val="both"/>
        <w:ind w:right="40" w:firstLine="222"/>
        <w:spacing w:after="0" w:line="255"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8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77" w:lineRule="exact"/>
        <w:rPr>
          <w:sz w:val="20"/>
          <w:szCs w:val="20"/>
          <w:color w:val="auto"/>
        </w:rPr>
      </w:pPr>
    </w:p>
    <w:p>
      <w:pPr>
        <w:ind w:right="80" w:firstLine="222"/>
        <w:spacing w:after="0" w:line="267" w:lineRule="auto"/>
        <w:rPr>
          <w:sz w:val="20"/>
          <w:szCs w:val="20"/>
          <w:color w:val="auto"/>
        </w:rPr>
      </w:pPr>
      <w:r>
        <w:rPr>
          <w:rFonts w:ascii="Arial" w:cs="Arial" w:eastAsia="Arial" w:hAnsi="Arial"/>
          <w:sz w:val="17"/>
          <w:szCs w:val="17"/>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twelve months will generally be taxed at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2" w:lineRule="exact"/>
        <w:rPr>
          <w:sz w:val="20"/>
          <w:szCs w:val="20"/>
          <w:color w:val="auto"/>
        </w:rPr>
      </w:pPr>
    </w:p>
    <w:p>
      <w:pPr>
        <w:ind w:right="20" w:firstLine="219"/>
        <w:spacing w:after="0" w:line="266" w:lineRule="auto"/>
        <w:rPr>
          <w:sz w:val="20"/>
          <w:szCs w:val="20"/>
          <w:color w:val="auto"/>
        </w:rPr>
      </w:pPr>
      <w:r>
        <w:rPr>
          <w:rFonts w:ascii="Arial" w:cs="Arial" w:eastAsia="Arial" w:hAnsi="Arial"/>
          <w:sz w:val="17"/>
          <w:szCs w:val="17"/>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regulations.</w:t>
      </w:r>
    </w:p>
    <w:p>
      <w:pPr>
        <w:spacing w:after="0" w:line="73" w:lineRule="exact"/>
        <w:rPr>
          <w:sz w:val="20"/>
          <w:szCs w:val="20"/>
          <w:color w:val="auto"/>
        </w:rPr>
      </w:pPr>
    </w:p>
    <w:p>
      <w:pPr>
        <w:jc w:val="both"/>
        <w:ind w:right="120" w:firstLine="222"/>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77" w:lineRule="exact"/>
        <w:rPr>
          <w:sz w:val="20"/>
          <w:szCs w:val="20"/>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short sale;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offsetting notional principal contract;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5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i w:val="1"/>
          <w:iCs w:val="1"/>
          <w:color w:val="auto"/>
        </w:rPr>
        <w:t xml:space="preserve">Allocations Between Transferors and Transferees. </w:t>
      </w:r>
      <w:r>
        <w:rPr>
          <w:rFonts w:ascii="Arial" w:cs="Arial" w:eastAsia="Arial" w:hAnsi="Arial"/>
          <w:sz w:val="17"/>
          <w:szCs w:val="17"/>
          <w:color w:val="auto"/>
        </w:rPr>
        <w:t>In general, our taxable income and losses will be determined annually, will be prorated on a monthly basis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1" w:lineRule="exact"/>
        <w:rPr>
          <w:sz w:val="20"/>
          <w:szCs w:val="20"/>
          <w:color w:val="auto"/>
        </w:rPr>
      </w:pPr>
    </w:p>
    <w:p>
      <w:pPr>
        <w:ind w:right="20" w:firstLine="219"/>
        <w:spacing w:after="0" w:line="253" w:lineRule="auto"/>
        <w:rPr>
          <w:sz w:val="20"/>
          <w:szCs w:val="20"/>
          <w:color w:val="auto"/>
        </w:rPr>
      </w:pPr>
      <w:r>
        <w:rPr>
          <w:rFonts w:ascii="Arial" w:cs="Arial" w:eastAsia="Arial" w:hAnsi="Arial"/>
          <w:sz w:val="18"/>
          <w:szCs w:val="18"/>
          <w:color w:val="auto"/>
        </w:rPr>
        <w:t>The use of this method may not be permitted under existing Treasury Regulations. Accordingly, Vinson &amp; Elkins L.L.P. is unable to opine on the validity of this method of allocating income and deductions between transferee and transferor unitholders. If this method is not allowed under the Treasury Regulations, or only applies to transfers of less than all of the unitholder’s interest, our taxable income or losses might be reallocated among the transferee and transferor unitholders as well as unitholders whose interests vary during a taxable year. We are authorized to revise our method of allocation between unitholders to conform to a method permitted under future Treasury Regulations.</w:t>
      </w:r>
    </w:p>
    <w:p>
      <w:pPr>
        <w:spacing w:after="0" w:line="84" w:lineRule="exact"/>
        <w:rPr>
          <w:sz w:val="20"/>
          <w:szCs w:val="20"/>
          <w:color w:val="auto"/>
        </w:rPr>
      </w:pPr>
    </w:p>
    <w:p>
      <w:pPr>
        <w:ind w:right="40" w:firstLine="213"/>
        <w:spacing w:after="0" w:line="300" w:lineRule="auto"/>
        <w:rPr>
          <w:sz w:val="20"/>
          <w:szCs w:val="20"/>
          <w:color w:val="auto"/>
        </w:rPr>
      </w:pPr>
      <w:r>
        <w:rPr>
          <w:rFonts w:ascii="Arial" w:cs="Arial" w:eastAsia="Arial" w:hAnsi="Arial"/>
          <w:sz w:val="17"/>
          <w:szCs w:val="17"/>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45"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 30 days after the sale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84"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is a sale or exchange of 50% or more of the total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capital and profits within a twelve-month period.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117" w:lineRule="exact"/>
        <w:rPr>
          <w:sz w:val="20"/>
          <w:szCs w:val="20"/>
          <w:color w:val="auto"/>
        </w:rPr>
      </w:pPr>
    </w:p>
    <w:p>
      <w:pPr>
        <w:ind w:right="180" w:firstLine="222"/>
        <w:spacing w:after="0" w:line="274" w:lineRule="auto"/>
        <w:rPr>
          <w:sz w:val="20"/>
          <w:szCs w:val="20"/>
          <w:color w:val="auto"/>
        </w:rPr>
      </w:pPr>
      <w:r>
        <w:rPr>
          <w:rFonts w:ascii="Arial" w:cs="Arial" w:eastAsia="Arial" w:hAnsi="Arial"/>
          <w:sz w:val="17"/>
          <w:szCs w:val="17"/>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firstLine="219"/>
        <w:spacing w:after="0" w:line="264"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of the Internal Revenue Code even though that position may arguably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them.</w:t>
      </w:r>
    </w:p>
    <w:p>
      <w:pPr>
        <w:spacing w:after="0" w:line="8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net income, gain, loss or deduction and pay federal income tax at regular rates on their share of our income or gain. Moreover, under rules applicable to publicly traded partnerships, we will withhold at the highest applicable effective tax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A change in applicable law may require us to change these procedures.</w:t>
      </w:r>
    </w:p>
    <w:p>
      <w:pPr>
        <w:spacing w:after="0" w:line="74" w:lineRule="exact"/>
        <w:rPr>
          <w:sz w:val="20"/>
          <w:szCs w:val="20"/>
          <w:color w:val="auto"/>
        </w:rPr>
      </w:pPr>
    </w:p>
    <w:p>
      <w:pPr>
        <w:ind w:right="140" w:firstLine="222"/>
        <w:spacing w:after="0" w:line="292"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56" w:lineRule="exact"/>
        <w:rPr>
          <w:sz w:val="20"/>
          <w:szCs w:val="20"/>
          <w:color w:val="auto"/>
        </w:rPr>
      </w:pPr>
    </w:p>
    <w:p>
      <w:pPr>
        <w:ind w:right="20" w:firstLine="222"/>
        <w:spacing w:after="0" w:line="281" w:lineRule="auto"/>
        <w:rPr>
          <w:sz w:val="20"/>
          <w:szCs w:val="20"/>
          <w:color w:val="auto"/>
        </w:rPr>
      </w:pPr>
      <w:r>
        <w:rPr>
          <w:rFonts w:ascii="Arial" w:cs="Arial" w:eastAsia="Arial" w:hAnsi="Arial"/>
          <w:sz w:val="17"/>
          <w:szCs w:val="17"/>
          <w:color w:val="auto"/>
        </w:rPr>
        <w:t>Under a ruling of the IRS, a foreign unitholder who sells or otherwise disposes of a unit will be subject to federal income tax on gain realized on the sale or disposition of that unit to the extent that this gain is effectively connected with a United States trade or business of the foreign unitholder. Apart from the ruling, a foreign unitholder will not be taxed or subject to withholding upon the sale or disposition of a unit if he has owned less than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5% in value of the units during the five-year period ending on the date of the disposition and if the units are regularly traded on an established securities market at the time of the sale or disposition.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17" w:lineRule="exact"/>
        <w:rPr>
          <w:sz w:val="20"/>
          <w:szCs w:val="20"/>
          <w:color w:val="auto"/>
        </w:rPr>
      </w:pPr>
    </w:p>
    <w:p>
      <w:pPr>
        <w:ind w:right="280" w:firstLine="222"/>
        <w:spacing w:after="0" w:line="251"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 year, specific tax</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87"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77" w:lineRule="exact"/>
        <w:rPr>
          <w:sz w:val="20"/>
          <w:szCs w:val="20"/>
          <w:color w:val="auto"/>
        </w:rPr>
      </w:pPr>
    </w:p>
    <w:p>
      <w:pPr>
        <w:ind w:right="60" w:firstLine="222"/>
        <w:spacing w:after="0" w:line="274" w:lineRule="auto"/>
        <w:rPr>
          <w:sz w:val="20"/>
          <w:szCs w:val="20"/>
          <w:color w:val="auto"/>
        </w:rPr>
      </w:pPr>
      <w:r>
        <w:rPr>
          <w:rFonts w:ascii="Arial" w:cs="Arial" w:eastAsia="Arial" w:hAnsi="Arial"/>
          <w:sz w:val="17"/>
          <w:szCs w:val="17"/>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appoints the general partner as our Tax Matters Partner.</w:t>
      </w:r>
    </w:p>
    <w:p>
      <w:pPr>
        <w:spacing w:after="0" w:line="6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If we elect to be treated as a large partnership, a unitholder will not have the right to participate in settlement conferences with the IRS or to seek a refund.</w:t>
      </w:r>
    </w:p>
    <w:p>
      <w:pPr>
        <w:spacing w:after="0" w:line="76" w:lineRule="exact"/>
        <w:rPr>
          <w:sz w:val="20"/>
          <w:szCs w:val="20"/>
          <w:color w:val="auto"/>
        </w:rPr>
      </w:pPr>
    </w:p>
    <w:p>
      <w:pPr>
        <w:ind w:right="20" w:firstLine="213"/>
        <w:spacing w:after="0" w:line="281" w:lineRule="auto"/>
        <w:rPr>
          <w:sz w:val="20"/>
          <w:szCs w:val="20"/>
          <w:color w:val="auto"/>
        </w:rPr>
      </w:pPr>
      <w:r>
        <w:rPr>
          <w:rFonts w:ascii="Arial" w:cs="Arial" w:eastAsia="Arial" w:hAnsi="Arial"/>
          <w:sz w:val="17"/>
          <w:szCs w:val="17"/>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If we elect to be treated as a large partnership, the unitholders would be required to treat all partnership items in a manner consistent with our return.</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Nominee Reporting. </w:t>
      </w:r>
      <w:r>
        <w:rPr>
          <w:rFonts w:ascii="Arial" w:cs="Arial" w:eastAsia="Arial" w:hAnsi="Arial"/>
          <w:sz w:val="18"/>
          <w:szCs w:val="18"/>
          <w:color w:val="auto"/>
        </w:rPr>
        <w:t>Persons who hold an interest in us as a nominee for another person are required to furnish to us:</w:t>
      </w:r>
    </w:p>
    <w:p>
      <w:pPr>
        <w:spacing w:after="0" w:line="113" w:lineRule="exact"/>
        <w:rPr>
          <w:sz w:val="20"/>
          <w:szCs w:val="20"/>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name, address and taxpayer identification number of the beneficial owner and the nominee;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whether the beneficial owner is a person that is not a United States person,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tax-exempt entity;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amount and description of units held, acquired or transferred for the beneficial owner;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120" w:hanging="326"/>
        <w:spacing w:after="0" w:line="270" w:lineRule="auto"/>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68"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8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8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For individuals, 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77" w:lineRule="exact"/>
        <w:rPr>
          <w:sz w:val="20"/>
          <w:szCs w:val="20"/>
          <w:color w:val="auto"/>
        </w:rPr>
      </w:pPr>
    </w:p>
    <w:p>
      <w:pPr>
        <w:ind w:left="560" w:hanging="326"/>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which there is, or was, “substantial authority,”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1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take other actions as may be appropriate to permit unitholders to avoid liability for this penalty. More stringent rules apply to “tax shelters,” which we do not believe includes us.</w:t>
      </w:r>
    </w:p>
    <w:p>
      <w:pPr>
        <w:spacing w:after="0" w:line="82" w:lineRule="exact"/>
        <w:rPr>
          <w:sz w:val="20"/>
          <w:szCs w:val="20"/>
          <w:color w:val="auto"/>
        </w:rPr>
      </w:pPr>
    </w:p>
    <w:p>
      <w:pPr>
        <w:ind w:right="80" w:firstLine="213"/>
        <w:spacing w:after="0" w:line="255"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82"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84" w:lineRule="exact"/>
        <w:rPr>
          <w:sz w:val="20"/>
          <w:szCs w:val="20"/>
          <w:color w:val="auto"/>
        </w:rPr>
      </w:pPr>
    </w:p>
    <w:p>
      <w:pPr>
        <w:ind w:right="460" w:firstLine="222"/>
        <w:spacing w:after="0" w:line="270"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68" w:lineRule="exact"/>
        <w:rPr>
          <w:sz w:val="20"/>
          <w:szCs w:val="20"/>
          <w:color w:val="auto"/>
        </w:rPr>
      </w:pPr>
    </w:p>
    <w:p>
      <w:pPr>
        <w:ind w:left="560" w:right="660" w:hanging="326"/>
        <w:spacing w:after="0" w:line="270" w:lineRule="auto"/>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for those persons otherwise entitled to deduct interest on federal tax deficiencies, nondeductibility of interest on any resulting tax liability and</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 the case of a listed transaction, an extended statute of limitations.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17" w:lineRule="exact"/>
        <w:rPr>
          <w:sz w:val="20"/>
          <w:szCs w:val="20"/>
          <w:color w:val="auto"/>
        </w:rPr>
      </w:pPr>
    </w:p>
    <w:p>
      <w:pPr>
        <w:ind w:firstLine="222"/>
        <w:spacing w:after="0" w:line="265" w:lineRule="auto"/>
        <w:rPr>
          <w:sz w:val="20"/>
          <w:szCs w:val="20"/>
          <w:color w:val="auto"/>
        </w:rPr>
      </w:pPr>
      <w:r>
        <w:rPr>
          <w:rFonts w:ascii="Arial" w:cs="Arial" w:eastAsia="Arial" w:hAnsi="Arial"/>
          <w:sz w:val="17"/>
          <w:szCs w:val="17"/>
          <w:color w:val="auto"/>
        </w:rPr>
        <w:t>In addition to federal income taxes, you likely will be subject to other taxes, such as state and local and Canadian federal and provincial taxes, unincorporated business taxes, and estate, inheritance or intangible taxes that may be imposed by the various jurisdictions in which we do business or own property or in which you are a resident. Although an analysis of those various taxes is not presented herein, each prospective unitholder should consider their potential impact on his investment in us. We currently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some jurisdictions, tax losses may not produce a tax benefit in the year incurred (if, for example, we have no income from sources within that state)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76"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Vinson &amp; Elkins L.L.P. has not rendered an opinion on the Canadian federal, Canadian provincial, state or local tax consequences of an investment in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117" w:lineRule="exact"/>
        <w:rPr>
          <w:sz w:val="20"/>
          <w:szCs w:val="20"/>
          <w:color w:val="auto"/>
        </w:rPr>
      </w:pPr>
    </w:p>
    <w:p>
      <w:pPr>
        <w:ind w:right="180" w:firstLine="219"/>
        <w:spacing w:after="0" w:line="306" w:lineRule="auto"/>
        <w:rPr>
          <w:sz w:val="20"/>
          <w:szCs w:val="20"/>
          <w:color w:val="auto"/>
        </w:rPr>
      </w:pPr>
      <w:r>
        <w:rPr>
          <w:rFonts w:ascii="Arial" w:cs="Arial" w:eastAsia="Arial" w:hAnsi="Arial"/>
          <w:sz w:val="16"/>
          <w:szCs w:val="16"/>
          <w:color w:val="auto"/>
        </w:rPr>
        <w:t>This prospectus covers the offering for resale of up to 3,117,725 common units by the selling unitholders identified below. No such sales may occur unless this prospectus has been declared effective by the SEC, and remains effective at the time such selling unitholder offers or sells such common units. We are required to update this prospectus to reflect material developments in our business, financial position and results of operations.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relating to the selling unitholders’ beneficial ownership of our common units.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Common Units Owned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 Units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b w:val="1"/>
                <w:bCs w:val="1"/>
                <w:color w:val="auto"/>
                <w:w w:val="96"/>
              </w:rPr>
              <w:t>After Offering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Name of Selling Unitholder</w:t>
            </w:r>
          </w:p>
        </w:tc>
        <w:tc>
          <w:tcPr>
            <w:tcW w:w="520" w:type="dxa"/>
            <w:vAlign w:val="bottom"/>
          </w:tcPr>
          <w:p>
            <w:pPr>
              <w:spacing w:after="0"/>
              <w:rPr>
                <w:sz w:val="10"/>
                <w:szCs w:val="10"/>
                <w:color w:val="auto"/>
              </w:rPr>
            </w:pPr>
          </w:p>
        </w:tc>
        <w:tc>
          <w:tcPr>
            <w:tcW w:w="128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Owned Prior to</w:t>
            </w:r>
          </w:p>
        </w:tc>
        <w:tc>
          <w:tcPr>
            <w:tcW w:w="1840" w:type="dxa"/>
            <w:vAlign w:val="bottom"/>
            <w:gridSpan w:val="3"/>
          </w:tcPr>
          <w:p>
            <w:pPr>
              <w:ind w:left="300"/>
              <w:spacing w:after="0" w:line="118" w:lineRule="exact"/>
              <w:rPr>
                <w:sz w:val="20"/>
                <w:szCs w:val="20"/>
                <w:color w:val="auto"/>
              </w:rPr>
            </w:pPr>
            <w:r>
              <w:rPr>
                <w:rFonts w:ascii="Arial" w:cs="Arial" w:eastAsia="Arial" w:hAnsi="Arial"/>
                <w:sz w:val="13"/>
                <w:szCs w:val="13"/>
                <w:b w:val="1"/>
                <w:bCs w:val="1"/>
                <w:color w:val="auto"/>
              </w:rPr>
              <w:t>Common Units</w:t>
            </w:r>
          </w:p>
        </w:tc>
        <w:tc>
          <w:tcPr>
            <w:tcW w:w="1540" w:type="dxa"/>
            <w:vAlign w:val="bottom"/>
            <w:gridSpan w:val="2"/>
          </w:tcPr>
          <w:p>
            <w:pPr>
              <w:ind w:left="200"/>
              <w:spacing w:after="0" w:line="118" w:lineRule="exact"/>
              <w:rPr>
                <w:sz w:val="20"/>
                <w:szCs w:val="20"/>
                <w:color w:val="auto"/>
              </w:rPr>
            </w:pPr>
            <w:r>
              <w:rPr>
                <w:rFonts w:ascii="Arial" w:cs="Arial" w:eastAsia="Arial" w:hAnsi="Arial"/>
                <w:sz w:val="13"/>
                <w:szCs w:val="13"/>
                <w:b w:val="1"/>
                <w:bCs w:val="1"/>
                <w:color w:val="auto"/>
              </w:rPr>
              <w:t>Number</w:t>
            </w:r>
          </w:p>
        </w:tc>
        <w:tc>
          <w:tcPr>
            <w:tcW w:w="6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Being Offered</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of Units</w:t>
            </w:r>
          </w:p>
        </w:tc>
        <w:tc>
          <w:tcPr>
            <w:tcW w:w="6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Vulcan Capital Private Equity I LLC (1)</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14,386,074</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697,674</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9"/>
              </w:rPr>
              <w:t>13,688,400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Kayne Anderson MLP Investment Company (2)</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8,908,821</w:t>
            </w:r>
          </w:p>
        </w:tc>
        <w:tc>
          <w:tcPr>
            <w:tcW w:w="32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1,821,420</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6,488,770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Energy Total Return Fund, Inc. (2)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8,908,821</w:t>
            </w: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598,631</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6,488,770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305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39" w:lineRule="exact"/>
        <w:rPr>
          <w:sz w:val="20"/>
          <w:szCs w:val="20"/>
          <w:color w:val="auto"/>
        </w:rPr>
      </w:pPr>
    </w:p>
    <w:p>
      <w:pPr>
        <w:ind w:left="440" w:hanging="433"/>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3" w:lineRule="exact"/>
        <w:rPr>
          <w:sz w:val="20"/>
          <w:szCs w:val="20"/>
          <w:color w:val="auto"/>
        </w:rPr>
      </w:pPr>
    </w:p>
    <w:p>
      <w:pPr>
        <w:ind w:left="440" w:right="60" w:hanging="433"/>
        <w:spacing w:after="0" w:line="253"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Paul Allen controls Vulcan Capital Private Equity I LLC, which is the record holder of 1,995,954 common units. In addition, Mr. Allen owns approximately 80.1% of the outstanding shares of common stock of Vulcan Energy Corporation. Vulcan Energy Corporation is the sole stockholder of Vulcan Energy GP Holdings LLC, which owns 54.3% of the equity of our general partner. Mr. Allen disclaims any deemed beneficial ownership, beyond his pecuniary interest, in any of our partner interests held by Vulcan Capital Private Equity I LLC, Vulcan Energy Corporation or Vulcan Energy GP Holdings LLC.</w:t>
      </w:r>
    </w:p>
    <w:p>
      <w:pPr>
        <w:spacing w:after="0" w:line="43" w:lineRule="exact"/>
        <w:rPr>
          <w:rFonts w:ascii="Arial" w:cs="Arial" w:eastAsia="Arial" w:hAnsi="Arial"/>
          <w:sz w:val="18"/>
          <w:szCs w:val="18"/>
          <w:color w:val="auto"/>
        </w:rPr>
      </w:pPr>
    </w:p>
    <w:p>
      <w:pPr>
        <w:ind w:left="440" w:right="100" w:hanging="433"/>
        <w:spacing w:after="0" w:line="271"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Various accounts (including those of the selling unitholders and KAFU Holdings, L.P., which owns a portion of our general partner) under the management and control of Kayne Anderson Capital Advisors, L.P., the general partner of which is Kayne Anderson Investment Management, Inc., own common units. Robert Sinnott, the President of Kayne Anderson Investment Management, Inc., has been designated as one of our directors by KAFU Holdings, L.P. Mr. Sinnott disclaims any deemed beneficial ownership of any units held by Kayne Anderson Investment Management, Inc. or its affiliates, other than through his 4.5% limited partner interest in KAFU Holdings, L.P.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Any prospectus supplement reflecting a sale of common units hereunder will set forth, with respect to the selling unitholders:</w:t>
      </w:r>
    </w:p>
    <w:p>
      <w:pPr>
        <w:spacing w:after="0" w:line="113" w:lineRule="exact"/>
        <w:rPr>
          <w:sz w:val="20"/>
          <w:szCs w:val="20"/>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name of the selling unitholders;</w:t>
      </w:r>
    </w:p>
    <w:p>
      <w:pPr>
        <w:spacing w:after="0" w:line="126" w:lineRule="exact"/>
        <w:rPr>
          <w:rFonts w:ascii="Arial" w:cs="Arial" w:eastAsia="Arial" w:hAnsi="Arial"/>
          <w:sz w:val="18"/>
          <w:szCs w:val="18"/>
          <w:b w:val="1"/>
          <w:bCs w:val="1"/>
          <w:color w:val="auto"/>
        </w:rPr>
      </w:pPr>
    </w:p>
    <w:p>
      <w:pPr>
        <w:ind w:left="560" w:right="120" w:hanging="326"/>
        <w:spacing w:after="0" w:line="270" w:lineRule="auto"/>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number of common units owned by the selling unitholders prior to the offering;</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or number of common units to be offered for the selling unitholders’ account; and</w:t>
      </w:r>
    </w:p>
    <w:p>
      <w:pPr>
        <w:spacing w:after="0" w:line="126" w:lineRule="exact"/>
        <w:rPr>
          <w:rFonts w:ascii="Arial" w:cs="Arial" w:eastAsia="Arial" w:hAnsi="Arial"/>
          <w:sz w:val="18"/>
          <w:szCs w:val="18"/>
          <w:b w:val="1"/>
          <w:bCs w:val="1"/>
          <w:color w:val="auto"/>
        </w:rPr>
      </w:pPr>
    </w:p>
    <w:p>
      <w:pPr>
        <w:ind w:left="220" w:right="340" w:firstLine="14"/>
        <w:spacing w:after="0" w:line="394" w:lineRule="auto"/>
        <w:tabs>
          <w:tab w:leader="none" w:pos="56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 All expenses incurred with the registration of the common units owned by the selling unitholders will be borne by us.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right="380" w:firstLine="219"/>
        <w:spacing w:after="0" w:line="270" w:lineRule="auto"/>
        <w:rPr>
          <w:sz w:val="20"/>
          <w:szCs w:val="20"/>
          <w:color w:val="auto"/>
        </w:rPr>
      </w:pPr>
      <w:r>
        <w:rPr>
          <w:rFonts w:ascii="Arial" w:cs="Arial" w:eastAsia="Arial" w:hAnsi="Arial"/>
          <w:sz w:val="18"/>
          <w:szCs w:val="18"/>
          <w:color w:val="auto"/>
        </w:rPr>
        <w:t>We are registering the common units on behalf of the selling unitholders. As used in this prospectus, “selling unitholders” includes donees and pledgees selling common units received from a named selling unitholder after the date of this prospectus.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this prospectus, the selling unitholders intend to offer our securities to the public:</w:t>
      </w:r>
    </w:p>
    <w:p>
      <w:pPr>
        <w:spacing w:after="0" w:line="113" w:lineRule="exact"/>
        <w:rPr>
          <w:sz w:val="20"/>
          <w:szCs w:val="20"/>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one or more broker-dealers;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through underwriters;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directly to investors.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unitholders may price the common units offered from time to time:</w:t>
      </w:r>
    </w:p>
    <w:p>
      <w:pPr>
        <w:spacing w:after="0" w:line="113" w:lineRule="exact"/>
        <w:rPr>
          <w:sz w:val="20"/>
          <w:szCs w:val="20"/>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any sale under this registration statement;</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prices related to market prices;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3" w:lineRule="exact"/>
        <w:rPr>
          <w:sz w:val="20"/>
          <w:szCs w:val="20"/>
          <w:color w:val="auto"/>
        </w:rPr>
      </w:pPr>
    </w:p>
    <w:p>
      <w:pPr>
        <w:ind w:firstLine="219"/>
        <w:spacing w:after="0" w:line="281" w:lineRule="auto"/>
        <w:rPr>
          <w:sz w:val="20"/>
          <w:szCs w:val="20"/>
          <w:color w:val="auto"/>
        </w:rPr>
      </w:pPr>
      <w:r>
        <w:rPr>
          <w:rFonts w:ascii="Arial" w:cs="Arial" w:eastAsia="Arial" w:hAnsi="Arial"/>
          <w:sz w:val="17"/>
          <w:szCs w:val="17"/>
          <w:color w:val="auto"/>
        </w:rPr>
        <w:t>We will pay the costs and expenses of the registration and offering of the common units offered hereby. We will not pay any underwriting fees, discounts and selling commissions allocable to each selling unitholder’s sale of its respective or common units, which will be paid by the selling unitholders. Broker-dealers may act as agent or may purchase securities as principal and thereafter resell the securities from time to time:</w:t>
      </w:r>
    </w:p>
    <w:p>
      <w:pPr>
        <w:spacing w:after="0" w:line="61" w:lineRule="exact"/>
        <w:rPr>
          <w:sz w:val="20"/>
          <w:szCs w:val="20"/>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on the New York Stock Exchange;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the over-the-counter market; 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private transactions.</w:t>
      </w:r>
    </w:p>
    <w:p>
      <w:pPr>
        <w:spacing w:after="0" w:line="113"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82" w:lineRule="exact"/>
        <w:rPr>
          <w:sz w:val="20"/>
          <w:szCs w:val="20"/>
          <w:color w:val="auto"/>
        </w:rPr>
      </w:pPr>
    </w:p>
    <w:p>
      <w:pPr>
        <w:ind w:right="60" w:firstLine="219"/>
        <w:spacing w:after="0" w:line="253"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w:t>
      </w:r>
    </w:p>
    <w:p>
      <w:pPr>
        <w:spacing w:after="0" w:line="84" w:lineRule="exact"/>
        <w:rPr>
          <w:sz w:val="20"/>
          <w:szCs w:val="20"/>
          <w:color w:val="auto"/>
        </w:rPr>
      </w:pPr>
    </w:p>
    <w:p>
      <w:pPr>
        <w:ind w:right="480" w:firstLine="222"/>
        <w:spacing w:after="0" w:line="300" w:lineRule="auto"/>
        <w:rPr>
          <w:sz w:val="20"/>
          <w:szCs w:val="20"/>
          <w:color w:val="auto"/>
        </w:rPr>
      </w:pPr>
      <w:r>
        <w:rPr>
          <w:rFonts w:ascii="Arial" w:cs="Arial" w:eastAsia="Arial" w:hAnsi="Arial"/>
          <w:sz w:val="17"/>
          <w:szCs w:val="17"/>
          <w:color w:val="auto"/>
        </w:rPr>
        <w:t>In addition, the selling unitholders have advised us that they may sell the common units in compliance with Rule 144, if available, or pursuant to other available exemptions from the registration requirements under the Securities Act, rather than pursuant to this prospectus.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113" w:lineRule="exact"/>
        <w:rPr>
          <w:sz w:val="20"/>
          <w:szCs w:val="20"/>
          <w:color w:val="auto"/>
        </w:rPr>
      </w:pPr>
    </w:p>
    <w:p>
      <w:pPr>
        <w:ind w:right="280" w:firstLine="219"/>
        <w:spacing w:after="0" w:line="270" w:lineRule="auto"/>
        <w:rPr>
          <w:sz w:val="20"/>
          <w:szCs w:val="20"/>
          <w:color w:val="auto"/>
        </w:rPr>
      </w:pPr>
      <w:r>
        <w:rPr>
          <w:rFonts w:ascii="Arial" w:cs="Arial" w:eastAsia="Arial" w:hAnsi="Arial"/>
          <w:sz w:val="18"/>
          <w:szCs w:val="18"/>
          <w:color w:val="auto"/>
        </w:rPr>
        <w:t>We have agreed to indemnify the selling unitholder and each underwriter, selling agent or other securities professional, if any, against certain liabilities to which they may become subject in connection with the sale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common units owned by the selling unitholder and registered under this prospectus, including liabilities arising under the Securities Act of 1933.</w:t>
      </w:r>
    </w:p>
    <w:p>
      <w:pPr>
        <w:spacing w:after="0" w:line="113"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firstLine="219"/>
        <w:spacing w:after="0" w:line="259" w:lineRule="auto"/>
        <w:rPr>
          <w:sz w:val="20"/>
          <w:szCs w:val="20"/>
          <w:color w:val="auto"/>
        </w:rPr>
      </w:pPr>
      <w:r>
        <w:rPr>
          <w:rFonts w:ascii="Arial" w:cs="Arial" w:eastAsia="Arial" w:hAnsi="Arial"/>
          <w:sz w:val="18"/>
          <w:szCs w:val="18"/>
          <w:color w:val="auto"/>
        </w:rPr>
        <w:t>The validity of the common units offered in this prospectus and certain tax matters relating to those common units will be passed upon for us by Vinson &amp; Elkins L.L.P., Houston, Texas. The selling unitholders’ counsel and the underwriter’s own counsel will advise them about other issues relating to any offering in which they participate.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40" w:firstLine="219"/>
        <w:spacing w:after="0" w:line="297"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50" w:lineRule="exact"/>
        <w:rPr>
          <w:sz w:val="20"/>
          <w:szCs w:val="20"/>
          <w:color w:val="auto"/>
        </w:rPr>
      </w:pPr>
    </w:p>
    <w:p>
      <w:pPr>
        <w:jc w:val="both"/>
        <w:ind w:right="100" w:firstLine="219"/>
        <w:spacing w:after="0" w:line="259" w:lineRule="auto"/>
        <w:rPr>
          <w:sz w:val="20"/>
          <w:szCs w:val="20"/>
          <w:color w:val="auto"/>
        </w:rPr>
      </w:pPr>
      <w:r>
        <w:rPr>
          <w:rFonts w:ascii="Arial" w:cs="Arial" w:eastAsia="Arial" w:hAnsi="Arial"/>
          <w:sz w:val="18"/>
          <w:szCs w:val="18"/>
          <w:color w:val="auto"/>
        </w:rPr>
        <w:t>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firstLine="219"/>
        <w:spacing w:after="0" w:line="271" w:lineRule="auto"/>
        <w:rPr>
          <w:sz w:val="20"/>
          <w:szCs w:val="20"/>
          <w:color w:val="auto"/>
        </w:rPr>
      </w:pPr>
      <w:r>
        <w:rPr>
          <w:rFonts w:ascii="Arial" w:cs="Arial" w:eastAsia="Arial" w:hAnsi="Arial"/>
          <w:sz w:val="17"/>
          <w:szCs w:val="17"/>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the offering under this registration statement is completed:</w:t>
      </w:r>
    </w:p>
    <w:p>
      <w:pPr>
        <w:spacing w:after="0" w:line="71" w:lineRule="exact"/>
        <w:rPr>
          <w:sz w:val="20"/>
          <w:szCs w:val="20"/>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Annual Report on Form 10-K for the year ended December 31, 2005;</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March 31,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June 30, 2006, as amended;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September 30, 2006;</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March 16, 2006 (announcement of Andrews acquisition);</w:t>
      </w:r>
    </w:p>
    <w:p>
      <w:pPr>
        <w:spacing w:after="0" w:line="126" w:lineRule="exact"/>
        <w:rPr>
          <w:rFonts w:ascii="Arial" w:cs="Arial" w:eastAsia="Arial" w:hAnsi="Arial"/>
          <w:sz w:val="18"/>
          <w:szCs w:val="18"/>
          <w:b w:val="1"/>
          <w:bCs w:val="1"/>
          <w:color w:val="auto"/>
        </w:rPr>
      </w:pPr>
    </w:p>
    <w:p>
      <w:pPr>
        <w:ind w:left="560" w:right="28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March 21, 2006 (entry into direct placement unit purchase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with the Commission on March 21, 2006 (audited balance sheet of Plains AAP, L.P. as of December 31, 2005);</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9, 2006 (announcement of private placement offering of $250 million notes);</w:t>
      </w:r>
    </w:p>
    <w:p>
      <w:pPr>
        <w:spacing w:after="0" w:line="138" w:lineRule="exact"/>
        <w:rPr>
          <w:rFonts w:ascii="Arial" w:cs="Arial" w:eastAsia="Arial" w:hAnsi="Arial"/>
          <w:sz w:val="17"/>
          <w:szCs w:val="17"/>
          <w:b w:val="1"/>
          <w:bCs w:val="1"/>
          <w:color w:val="auto"/>
        </w:rPr>
      </w:pPr>
    </w:p>
    <w:p>
      <w:pPr>
        <w:ind w:left="560" w:right="620" w:hanging="326"/>
        <w:spacing w:after="0" w:line="270" w:lineRule="auto"/>
        <w:tabs>
          <w:tab w:leader="none" w:pos="5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May 12, 2006 (entry into note purchase agreement, registration rights agreement and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May 15, 2006 (amendment to PAA/Vulcan limited liability company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righ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June 12, 2006 (entry into Pacific merger agreement and purchase agreement with LB Pacific);</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June 30, 2006 (unaudited balance sheet of Plains AAP, L.P. as of March 31, 2006);</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14,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July 20, 2006 (amendment to Pacific merger agreement);</w:t>
      </w:r>
    </w:p>
    <w:p>
      <w:pPr>
        <w:spacing w:after="0" w:line="126" w:lineRule="exact"/>
        <w:rPr>
          <w:rFonts w:ascii="Arial" w:cs="Arial" w:eastAsia="Arial" w:hAnsi="Arial"/>
          <w:sz w:val="18"/>
          <w:szCs w:val="18"/>
          <w:b w:val="1"/>
          <w:bCs w:val="1"/>
          <w:color w:val="auto"/>
        </w:rPr>
      </w:pPr>
    </w:p>
    <w:p>
      <w:pPr>
        <w:ind w:left="560" w:right="1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(other than Item 7.01, which was furnished) with the Commission on July 25, 2006 (entry into direct placement unit purchase agreement);</w:t>
      </w:r>
    </w:p>
    <w:p>
      <w:pPr>
        <w:spacing w:after="0" w:line="81" w:lineRule="exact"/>
        <w:rPr>
          <w:rFonts w:ascii="Arial" w:cs="Arial" w:eastAsia="Arial" w:hAnsi="Arial"/>
          <w:sz w:val="18"/>
          <w:szCs w:val="18"/>
          <w:b w:val="1"/>
          <w:bCs w:val="1"/>
          <w:color w:val="auto"/>
        </w:rPr>
      </w:pPr>
    </w:p>
    <w:p>
      <w:pPr>
        <w:ind w:left="560" w:right="74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4, 2006 (entry into amended and restated credit agreement and bridge loan agreement);</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23, 2006 (LTIP grants to audit committee members);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24, 2006 (pro forma financial statements);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August 25, 2006 (execution of eighth supplemental indenture);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August 28, 2006 (unaudited balance sheet of Plains AAP, L.P. as of June 30, 2006);</w:t>
      </w:r>
    </w:p>
    <w:p>
      <w:pPr>
        <w:spacing w:after="0" w:line="138" w:lineRule="exact"/>
        <w:rPr>
          <w:rFonts w:ascii="Arial" w:cs="Arial" w:eastAsia="Arial" w:hAnsi="Arial"/>
          <w:sz w:val="17"/>
          <w:szCs w:val="17"/>
          <w:b w:val="1"/>
          <w:bCs w:val="1"/>
          <w:color w:val="auto"/>
        </w:rPr>
      </w:pPr>
    </w:p>
    <w:p>
      <w:pPr>
        <w:ind w:left="560" w:right="3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23, 2006 (announcement of private placement offering of $1.0 billion of senior notes);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27, 2006 (entry into note purchase agreement);</w:t>
      </w:r>
    </w:p>
    <w:p>
      <w:pPr>
        <w:spacing w:after="0" w:line="126" w:lineRule="exact"/>
        <w:rPr>
          <w:rFonts w:ascii="Arial" w:cs="Arial" w:eastAsia="Arial" w:hAnsi="Arial"/>
          <w:sz w:val="18"/>
          <w:szCs w:val="18"/>
          <w:b w:val="1"/>
          <w:bCs w:val="1"/>
          <w:color w:val="auto"/>
        </w:rPr>
      </w:pPr>
    </w:p>
    <w:p>
      <w:pPr>
        <w:ind w:left="560" w:hanging="326"/>
        <w:spacing w:after="0" w:line="270" w:lineRule="auto"/>
        <w:tabs>
          <w:tab w:leader="none" w:pos="5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Current Report on Form 8-K filed with the Commission on October 30, 2006 (entry into registration rights agreements and ninth and tenth supplemental indentures);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Current Report on Form 8-K filed with the Commission on November 13, 2006 (announcement of unitholder approval of Pacific merger); and</w:t>
      </w:r>
    </w:p>
    <w:p>
      <w:pPr>
        <w:spacing w:after="0" w:line="138" w:lineRule="exact"/>
        <w:rPr>
          <w:rFonts w:ascii="Arial" w:cs="Arial" w:eastAsia="Arial" w:hAnsi="Arial"/>
          <w:sz w:val="17"/>
          <w:szCs w:val="17"/>
          <w:b w:val="1"/>
          <w:bCs w:val="1"/>
          <w:color w:val="auto"/>
        </w:rPr>
      </w:pPr>
    </w:p>
    <w:p>
      <w:pPr>
        <w:ind w:left="560" w:right="440" w:hanging="326"/>
        <w:spacing w:after="0" w:line="334" w:lineRule="auto"/>
        <w:tabs>
          <w:tab w:leader="none" w:pos="5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Current report on Form 8-K filed (other than Item 7.01, which was furnished) with the Commission on November 21, 2006 (completion of Pacific Merger, entry into supplemental indentures, amendment to partnership agreement and pro forma and historical financial statements.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Tim Moore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00" w:lineRule="exact"/>
        <w:rPr>
          <w:sz w:val="20"/>
          <w:szCs w:val="20"/>
          <w:color w:val="auto"/>
        </w:rPr>
      </w:pPr>
    </w:p>
    <w:p>
      <w:pPr>
        <w:ind w:right="120" w:firstLine="213"/>
        <w:spacing w:after="0" w:line="259" w:lineRule="auto"/>
        <w:rPr>
          <w:sz w:val="20"/>
          <w:szCs w:val="20"/>
          <w:color w:val="auto"/>
        </w:rPr>
      </w:pPr>
      <w:r>
        <w:rPr>
          <w:rFonts w:ascii="Arial" w:cs="Arial" w:eastAsia="Arial" w:hAnsi="Arial"/>
          <w:sz w:val="18"/>
          <w:szCs w:val="18"/>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3" w:lineRule="exact"/>
        <w:rPr>
          <w:sz w:val="20"/>
          <w:szCs w:val="20"/>
          <w:color w:val="auto"/>
        </w:rPr>
      </w:pPr>
    </w:p>
    <w:p>
      <w:pPr>
        <w:jc w:val="both"/>
        <w:ind w:right="120" w:firstLine="216"/>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74" w:lineRule="exact"/>
        <w:rPr>
          <w:sz w:val="20"/>
          <w:szCs w:val="20"/>
          <w:color w:val="auto"/>
        </w:rPr>
      </w:pPr>
    </w:p>
    <w:p>
      <w:pPr>
        <w:ind w:left="560" w:right="2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failure to successfully integrate the respective business operations upon completion of the merger with Pacific Energy or our failure to successfully integrate any future acquisitions;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failure to realize the anticipated cost savings, synergies and other benefits of the merger with Pacific Energy;</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9" w:lineRule="exact"/>
        <w:rPr>
          <w:rFonts w:ascii="Arial" w:cs="Arial" w:eastAsia="Arial" w:hAnsi="Arial"/>
          <w:sz w:val="16"/>
          <w:szCs w:val="16"/>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38" w:lineRule="exact"/>
        <w:rPr>
          <w:rFonts w:ascii="Arial" w:cs="Arial" w:eastAsia="Arial" w:hAnsi="Arial"/>
          <w:sz w:val="17"/>
          <w:szCs w:val="17"/>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main 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26" w:lineRule="exact"/>
        <w:rPr>
          <w:rFonts w:ascii="Arial" w:cs="Arial" w:eastAsia="Arial" w:hAnsi="Arial"/>
          <w:sz w:val="18"/>
          <w:szCs w:val="18"/>
          <w:b w:val="1"/>
          <w:bCs w:val="1"/>
          <w:color w:val="auto"/>
        </w:rPr>
      </w:pPr>
    </w:p>
    <w:p>
      <w:pPr>
        <w:ind w:left="560" w:right="440" w:hanging="326"/>
        <w:spacing w:after="0" w:line="270" w:lineRule="auto"/>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81"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unanticipated changes in crude oil market structure and volatility (or lack thereof);</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our counterparties;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tariffs or volumes on third party pipelines;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increased costs or lack of availability of insurance;</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risks related to the development and operation of natural gas storage facilities; and</w:t>
      </w:r>
    </w:p>
    <w:p>
      <w:pPr>
        <w:spacing w:after="0" w:line="126" w:lineRule="exact"/>
        <w:rPr>
          <w:rFonts w:ascii="Arial" w:cs="Arial" w:eastAsia="Arial" w:hAnsi="Arial"/>
          <w:sz w:val="18"/>
          <w:szCs w:val="18"/>
          <w:b w:val="1"/>
          <w:bCs w:val="1"/>
          <w:color w:val="auto"/>
        </w:rPr>
      </w:pPr>
    </w:p>
    <w:p>
      <w:pPr>
        <w:ind w:left="560" w:hanging="326"/>
        <w:spacing w:after="0"/>
        <w:tabs>
          <w:tab w:leader="none" w:pos="56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36"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1 of this prospectus, in Item 1A. “Risk Factors” in our annual report on Form 10-K for the year ended December 31, 2005 and in Item 1A. “Risk Factors” in our quarterly reports on Form 10-Q for the quarters ended June 30, 2006 and September 30, 2006, as amended. Except as required by securities laws applicable to the documents incorporated by reference, we do not intend to update these forward-looking statements and information.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1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 With the exception of the Securities and Exchange Commission, or SEC, registration fee, the amounts set forth below are estimates: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16,143</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85,000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4"/>
        </w:trPr>
        <w:tc>
          <w:tcPr>
            <w:tcW w:w="1062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r>
      <w:tr>
        <w:trPr>
          <w:trHeight w:val="214"/>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20"/>
        </w:trPr>
        <w:tc>
          <w:tcPr>
            <w:tcW w:w="106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191,143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17" w:lineRule="exact"/>
        <w:rPr>
          <w:sz w:val="20"/>
          <w:szCs w:val="20"/>
          <w:color w:val="auto"/>
        </w:rPr>
      </w:pPr>
    </w:p>
    <w:p>
      <w:pPr>
        <w:ind w:right="60" w:firstLine="222"/>
        <w:spacing w:after="0" w:line="282" w:lineRule="auto"/>
        <w:rPr>
          <w:sz w:val="20"/>
          <w:szCs w:val="20"/>
          <w:color w:val="auto"/>
        </w:rPr>
      </w:pPr>
      <w:r>
        <w:rPr>
          <w:rFonts w:ascii="Arial" w:cs="Arial" w:eastAsia="Arial" w:hAnsi="Arial"/>
          <w:sz w:val="16"/>
          <w:szCs w:val="16"/>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279" w:lineRule="exact"/>
        <w:rPr>
          <w:sz w:val="20"/>
          <w:szCs w:val="20"/>
          <w:color w:val="auto"/>
        </w:rPr>
      </w:pPr>
    </w:p>
    <w:p>
      <w:pPr>
        <w:ind w:right="40" w:firstLine="222"/>
        <w:spacing w:after="0" w:line="266" w:lineRule="auto"/>
        <w:rPr>
          <w:sz w:val="20"/>
          <w:szCs w:val="20"/>
          <w:color w:val="auto"/>
        </w:rPr>
      </w:pPr>
      <w:r>
        <w:rPr>
          <w:rFonts w:ascii="Arial" w:cs="Arial" w:eastAsia="Arial" w:hAnsi="Arial"/>
          <w:sz w:val="17"/>
          <w:szCs w:val="17"/>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17" w:lineRule="exact"/>
        <w:rPr>
          <w:sz w:val="20"/>
          <w:szCs w:val="20"/>
          <w:color w:val="auto"/>
        </w:rPr>
      </w:pPr>
    </w:p>
    <w:p>
      <w:pPr>
        <w:ind w:left="240" w:right="4800" w:hanging="11"/>
        <w:spacing w:after="0" w:line="495"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documents are filed as exhibits to this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1.1+ — Form of Underwriting Agreement</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Third Amended and Restated Agreement of Limited Partnership of Plains All American Pipeline, L.P., dated as of June 27, 2001 (incorporated</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5"/>
              </w:rPr>
              <w:t>by reference to Exhibit 3.1 to Form 8-K filed August 27, 2001), as amended by Amendment No. 1 to the Third Amended and Restated</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Agreement of Limited Partnership of Plains All American Pipeline, L.P., dated as of April 15, 2004 (incorporated by reference to Exhibit 3.1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Plains’ Quarterly Report on Form 10-Q for the quarter ended March 31, 2004)</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10740" w:type="dxa"/>
            <w:vAlign w:val="bottom"/>
          </w:tcPr>
          <w:p>
            <w:pPr>
              <w:ind w:left="120"/>
              <w:spacing w:after="0"/>
              <w:rPr>
                <w:sz w:val="20"/>
                <w:szCs w:val="20"/>
                <w:color w:val="auto"/>
              </w:rPr>
            </w:pPr>
            <w:r>
              <w:rPr>
                <w:rFonts w:ascii="Arial" w:cs="Arial" w:eastAsia="Arial" w:hAnsi="Arial"/>
                <w:sz w:val="18"/>
                <w:szCs w:val="18"/>
                <w:color w:val="auto"/>
                <w:w w:val="95"/>
              </w:rPr>
              <w:t>—   Amendment No. 2 dated November 15, 2006 to Third Amended and Restated Agreement of Limited Partnership of Plains All American</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Pipeline L.P. (incorporated by reference to Exhibit 3.1 to Plains’ Current Report on Form 8-K filed November 21, 2006.</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4.3</w:t>
            </w:r>
          </w:p>
        </w:tc>
        <w:tc>
          <w:tcPr>
            <w:tcW w:w="10740" w:type="dxa"/>
            <w:vAlign w:val="bottom"/>
          </w:tcPr>
          <w:p>
            <w:pPr>
              <w:ind w:left="120"/>
              <w:spacing w:after="0"/>
              <w:rPr>
                <w:sz w:val="20"/>
                <w:szCs w:val="20"/>
                <w:color w:val="auto"/>
              </w:rPr>
            </w:pPr>
            <w:r>
              <w:rPr>
                <w:rFonts w:ascii="Arial" w:cs="Arial" w:eastAsia="Arial" w:hAnsi="Arial"/>
                <w:sz w:val="18"/>
                <w:szCs w:val="18"/>
                <w:color w:val="auto"/>
                <w:w w:val="99"/>
              </w:rPr>
              <w:t>—   Second Amended and Restated Limited Liability Company Agreement of Plains All American GP LLC, dated September 12, 2005</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Second Amended and Restated Limited Partnership Agreement of Plains AAP, L.P., dated September 12, 2005 (incorporated by reference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Registration Rights Agreement, dated as of July 26, 2006, among Plains All American Pipeline, L.P., Vulcan Capital Private Equity I LLC,</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Kayne Anderson MLP Investment Company and Kayne Anderson Energy Total Return Fund, Inc. (incorporated by reference to Exhibit 4.13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Quarterly Report on Form 10-Q for the Quarter ended September 30, 2006)</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relating to tax matters</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23.1*</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PricewaterhouseCoopers LLP</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23.2*</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Vinson &amp; Elkins L.L.P. (contained in Exhibits 5.1 and 8.1)</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24.1*</w:t>
            </w:r>
          </w:p>
        </w:tc>
        <w:tc>
          <w:tcPr>
            <w:tcW w:w="10740" w:type="dxa"/>
            <w:vAlign w:val="bottom"/>
          </w:tcPr>
          <w:p>
            <w:pPr>
              <w:ind w:left="120"/>
              <w:spacing w:after="0"/>
              <w:rPr>
                <w:sz w:val="20"/>
                <w:szCs w:val="20"/>
                <w:color w:val="auto"/>
              </w:rPr>
            </w:pPr>
            <w:r>
              <w:rPr>
                <w:rFonts w:ascii="Arial" w:cs="Arial" w:eastAsia="Arial" w:hAnsi="Arial"/>
                <w:sz w:val="18"/>
                <w:szCs w:val="18"/>
                <w:color w:val="auto"/>
              </w:rPr>
              <w:t>—   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5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41" w:lineRule="exact"/>
        <w:rPr>
          <w:sz w:val="20"/>
          <w:szCs w:val="20"/>
          <w:color w:val="auto"/>
        </w:rPr>
      </w:pPr>
    </w:p>
    <w:p>
      <w:pPr>
        <w:ind w:left="440" w:hanging="433"/>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3" w:lineRule="exact"/>
        <w:rPr>
          <w:sz w:val="20"/>
          <w:szCs w:val="20"/>
          <w:color w:val="auto"/>
        </w:rPr>
      </w:pPr>
    </w:p>
    <w:p>
      <w:pPr>
        <w:ind w:left="5580" w:right="2360" w:hanging="5573"/>
        <w:spacing w:after="0" w:line="719" w:lineRule="auto"/>
        <w:tabs>
          <w:tab w:leader="none" w:pos="4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in a post effective amendment to this registration statement.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The undersigned registrant hereby undertakes:</w:t>
      </w:r>
    </w:p>
    <w:p>
      <w:pPr>
        <w:spacing w:after="0" w:line="113" w:lineRule="exact"/>
        <w:rPr>
          <w:sz w:val="20"/>
          <w:szCs w:val="20"/>
          <w:color w:val="auto"/>
        </w:rPr>
      </w:pPr>
    </w:p>
    <w:p>
      <w:pPr>
        <w:ind w:left="700" w:hanging="24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3" w:lineRule="exact"/>
        <w:rPr>
          <w:rFonts w:ascii="Arial" w:cs="Arial" w:eastAsia="Arial" w:hAnsi="Arial"/>
          <w:sz w:val="18"/>
          <w:szCs w:val="18"/>
          <w:color w:val="auto"/>
        </w:rPr>
      </w:pPr>
    </w:p>
    <w:p>
      <w:pPr>
        <w:ind w:left="460" w:right="80" w:firstLine="226"/>
        <w:spacing w:after="0" w:line="289" w:lineRule="auto"/>
        <w:tabs>
          <w:tab w:leader="none" w:pos="944"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9" w:lineRule="exact"/>
        <w:rPr>
          <w:rFonts w:ascii="Arial" w:cs="Arial" w:eastAsia="Arial" w:hAnsi="Arial"/>
          <w:sz w:val="16"/>
          <w:szCs w:val="16"/>
          <w:color w:val="auto"/>
        </w:rPr>
      </w:pPr>
    </w:p>
    <w:p>
      <w:pPr>
        <w:ind w:left="460" w:right="140" w:firstLine="226"/>
        <w:spacing w:after="0" w:line="270" w:lineRule="auto"/>
        <w:tabs>
          <w:tab w:leader="none" w:pos="9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2" w:lineRule="exact"/>
        <w:rPr>
          <w:sz w:val="20"/>
          <w:szCs w:val="20"/>
          <w:color w:val="auto"/>
        </w:rPr>
      </w:pPr>
    </w:p>
    <w:p>
      <w:pPr>
        <w:ind w:left="240" w:right="60" w:firstLine="217"/>
        <w:spacing w:after="0" w:line="259" w:lineRule="auto"/>
        <w:tabs>
          <w:tab w:leader="none" w:pos="7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8"/>
          <w:szCs w:val="18"/>
          <w:color w:val="auto"/>
        </w:rPr>
      </w:pPr>
    </w:p>
    <w:p>
      <w:pPr>
        <w:ind w:left="240" w:firstLine="217"/>
        <w:spacing w:after="0" w:line="270" w:lineRule="auto"/>
        <w:tabs>
          <w:tab w:leader="none" w:pos="7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8" w:lineRule="exact"/>
        <w:rPr>
          <w:rFonts w:ascii="Arial" w:cs="Arial" w:eastAsia="Arial" w:hAnsi="Arial"/>
          <w:sz w:val="18"/>
          <w:szCs w:val="18"/>
          <w:color w:val="auto"/>
        </w:rPr>
      </w:pPr>
    </w:p>
    <w:p>
      <w:pPr>
        <w:ind w:left="700" w:hanging="243"/>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3" w:lineRule="exact"/>
        <w:rPr>
          <w:rFonts w:ascii="Arial" w:cs="Arial" w:eastAsia="Arial" w:hAnsi="Arial"/>
          <w:sz w:val="18"/>
          <w:szCs w:val="18"/>
          <w:color w:val="auto"/>
        </w:rPr>
      </w:pPr>
    </w:p>
    <w:p>
      <w:pPr>
        <w:ind w:left="900" w:hanging="214"/>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3" w:lineRule="exact"/>
        <w:rPr>
          <w:rFonts w:ascii="Arial" w:cs="Arial" w:eastAsia="Arial" w:hAnsi="Arial"/>
          <w:sz w:val="18"/>
          <w:szCs w:val="18"/>
          <w:color w:val="auto"/>
        </w:rPr>
      </w:pPr>
    </w:p>
    <w:p>
      <w:pPr>
        <w:ind w:left="700" w:right="220" w:firstLine="214"/>
        <w:spacing w:after="0" w:line="270" w:lineRule="auto"/>
        <w:tabs>
          <w:tab w:leader="none" w:pos="1214" w:val="left"/>
        </w:tabs>
        <w:numPr>
          <w:ilvl w:val="2"/>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 (b)(3) shall be deemed to be part of the registration statement as of the date the filed prospectus was deemed part of and included in the registration statement; and</w:t>
      </w:r>
    </w:p>
    <w:p>
      <w:pPr>
        <w:spacing w:after="0" w:line="68" w:lineRule="exact"/>
        <w:rPr>
          <w:rFonts w:ascii="Arial" w:cs="Arial" w:eastAsia="Arial" w:hAnsi="Arial"/>
          <w:sz w:val="18"/>
          <w:szCs w:val="18"/>
          <w:color w:val="auto"/>
        </w:rPr>
      </w:pPr>
    </w:p>
    <w:p>
      <w:pPr>
        <w:ind w:left="700" w:firstLine="214"/>
        <w:spacing w:after="0" w:line="286" w:lineRule="auto"/>
        <w:tabs>
          <w:tab w:leader="none" w:pos="1204" w:val="left"/>
        </w:tabs>
        <w:numPr>
          <w:ilvl w:val="2"/>
          <w:numId w:val="4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700" w:right="400"/>
        <w:spacing w:after="0" w:line="259" w:lineRule="auto"/>
        <w:rPr>
          <w:sz w:val="20"/>
          <w:szCs w:val="20"/>
          <w:color w:val="auto"/>
        </w:rPr>
      </w:pPr>
      <w:r>
        <w:rPr>
          <w:rFonts w:ascii="Arial" w:cs="Arial" w:eastAsia="Arial" w:hAnsi="Arial"/>
          <w:sz w:val="18"/>
          <w:szCs w:val="18"/>
          <w:color w:val="auto"/>
        </w:rPr>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ind w:left="440" w:hanging="211"/>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3" w:lineRule="exact"/>
        <w:rPr>
          <w:rFonts w:ascii="Arial" w:cs="Arial" w:eastAsia="Arial" w:hAnsi="Arial"/>
          <w:sz w:val="18"/>
          <w:szCs w:val="18"/>
          <w:color w:val="auto"/>
        </w:rPr>
      </w:pPr>
    </w:p>
    <w:p>
      <w:pPr>
        <w:jc w:val="both"/>
        <w:ind w:left="240" w:right="200" w:firstLine="217"/>
        <w:spacing w:after="0" w:line="281" w:lineRule="auto"/>
        <w:tabs>
          <w:tab w:leader="none" w:pos="7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1" w:lineRule="exact"/>
        <w:rPr>
          <w:rFonts w:ascii="Arial" w:cs="Arial" w:eastAsia="Arial" w:hAnsi="Arial"/>
          <w:sz w:val="17"/>
          <w:szCs w:val="17"/>
          <w:color w:val="auto"/>
        </w:rPr>
      </w:pPr>
    </w:p>
    <w:p>
      <w:pPr>
        <w:ind w:left="240" w:right="80" w:firstLine="217"/>
        <w:spacing w:after="0" w:line="259" w:lineRule="auto"/>
        <w:tabs>
          <w:tab w:leader="none" w:pos="714"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right="20" w:firstLine="229"/>
        <w:spacing w:after="0" w:line="253" w:lineRule="auto"/>
        <w:tabs>
          <w:tab w:leader="none" w:pos="4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firstLine="222"/>
        <w:spacing w:after="0" w:line="250" w:lineRule="auto"/>
        <w:rPr>
          <w:sz w:val="20"/>
          <w:szCs w:val="20"/>
          <w:color w:val="auto"/>
        </w:rPr>
      </w:pPr>
      <w:r>
        <w:rPr>
          <w:rFonts w:ascii="Arial" w:cs="Arial" w:eastAsia="Arial" w:hAnsi="Arial"/>
          <w:sz w:val="18"/>
          <w:szCs w:val="18"/>
          <w:color w:val="auto"/>
        </w:rPr>
        <w:t>IV. Insofar as indemnification for liabilities arising under the Securities Act of 1933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November 21, 2006.</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PLAINS ALL AMERICAN PIPELINE, L.P.</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AAP, L.P., its general partner</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Plains All American GP LLC,</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Greg L. Armstrong</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-130175</wp:posOffset>
            </wp:positionV>
            <wp:extent cx="2772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ind w:left="5460"/>
        <w:spacing w:after="0"/>
        <w:tabs>
          <w:tab w:leader="none" w:pos="6000" w:val="left"/>
        </w:tabs>
        <w:rPr>
          <w:sz w:val="20"/>
          <w:szCs w:val="20"/>
          <w:color w:val="auto"/>
        </w:rPr>
      </w:pPr>
      <w:r>
        <w:rPr>
          <w:rFonts w:ascii="Arial" w:cs="Arial" w:eastAsia="Arial" w:hAnsi="Arial"/>
          <w:sz w:val="18"/>
          <w:szCs w:val="18"/>
          <w:color w:val="auto"/>
        </w:rPr>
        <w:t>Title:</w:t>
        <w:tab/>
        <w:t>Chairman of the Board and Chief Executive Officer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Phil Kramer and Tim Moore, and each of them, any of whom may act without the joinder of the other, as his lawful attorneys-in-fact and agents, with full power or substitution and resubstitution for him in any and all capacities, to sign any or all amendments or post-effective amendments to this registration statement, or any registration statement for the same offering that is to be effective upon filing pursuant to Rule 462(b) under the Securities Act of 1933, as amended, and to file the same, with exhibits hereto and other documents in connection therewith or in connection with the registration of the securities under the Securities Act of 1934, as amended, with the Securities and Exchange Commission, granting unto such attorneys-in-fact and agents full power and authority to do and perform each and every act and thing requisite and necessary in connection with such matters and hereby ratifying and confirming all that such attorneys-in-fact and agents or his substitutes may do or cause to be done by virtue hereof.</w:t>
      </w:r>
    </w:p>
    <w:p>
      <w:pPr>
        <w:spacing w:after="0" w:line="62" w:lineRule="exact"/>
        <w:rPr>
          <w:sz w:val="20"/>
          <w:szCs w:val="20"/>
          <w:color w:val="auto"/>
        </w:rPr>
      </w:pPr>
    </w:p>
    <w:p>
      <w:pPr>
        <w:ind w:right="220" w:firstLine="222"/>
        <w:spacing w:after="0" w:line="270"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/s/ Greg L. Armstrong</w:t>
            </w:r>
          </w:p>
        </w:tc>
        <w:tc>
          <w:tcPr>
            <w:tcW w:w="360" w:type="dxa"/>
            <w:vAlign w:val="bottom"/>
          </w:tcPr>
          <w:p>
            <w:pPr>
              <w:spacing w:after="0"/>
              <w:rPr>
                <w:sz w:val="16"/>
                <w:szCs w:val="16"/>
                <w:color w:val="auto"/>
              </w:rPr>
            </w:pPr>
          </w:p>
        </w:tc>
        <w:tc>
          <w:tcPr>
            <w:tcW w:w="4560" w:type="dxa"/>
            <w:vAlign w:val="bottom"/>
          </w:tcPr>
          <w:p>
            <w:pPr>
              <w:jc w:val="center"/>
              <w:spacing w:after="0" w:line="193" w:lineRule="exact"/>
              <w:rPr>
                <w:sz w:val="20"/>
                <w:szCs w:val="20"/>
                <w:color w:val="auto"/>
              </w:rPr>
            </w:pPr>
            <w:r>
              <w:rPr>
                <w:rFonts w:ascii="Arial" w:cs="Arial" w:eastAsia="Arial" w:hAnsi="Arial"/>
                <w:sz w:val="18"/>
                <w:szCs w:val="18"/>
                <w:color w:val="auto"/>
                <w:w w:val="91"/>
              </w:rPr>
              <w:t>Chairman of the Board, Chief Executive Officer and Director</w:t>
            </w:r>
          </w:p>
        </w:tc>
        <w:tc>
          <w:tcPr>
            <w:tcW w:w="34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8"/>
                <w:szCs w:val="18"/>
                <w:color w:val="auto"/>
                <w:w w:val="89"/>
              </w:rPr>
              <w:t>November 21,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1"/>
              </w:rPr>
              <w:t>Greg L. Armstrong</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/s/ Phil Kramer</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 (Principal</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Financial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3"/>
              </w:rPr>
              <w:t>Phil Kramer</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/s/ Tina L. Val</w:t>
            </w:r>
          </w:p>
        </w:tc>
        <w:tc>
          <w:tcPr>
            <w:tcW w:w="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Vice President — Accounting and Chief Accounting Officer</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92"/>
              </w:rPr>
              <w:t>Tina L. Val</w:t>
            </w:r>
          </w:p>
        </w:tc>
        <w:tc>
          <w:tcPr>
            <w:tcW w:w="36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N. Capobianco</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c>
          <w:tcPr>
            <w:tcW w:w="0" w:type="dxa"/>
            <w:vAlign w:val="bottom"/>
          </w:tcPr>
          <w:p>
            <w:pPr>
              <w:spacing w:after="0"/>
              <w:rPr>
                <w:sz w:val="1"/>
                <w:szCs w:val="1"/>
                <w:color w:val="auto"/>
              </w:rPr>
            </w:pPr>
          </w:p>
        </w:tc>
      </w:tr>
      <w:tr>
        <w:trPr>
          <w:trHeight w:val="199"/>
        </w:trPr>
        <w:tc>
          <w:tcPr>
            <w:tcW w:w="4580" w:type="dxa"/>
            <w:vAlign w:val="bottom"/>
          </w:tcPr>
          <w:p>
            <w:pPr>
              <w:jc w:val="center"/>
              <w:spacing w:after="0" w:line="200" w:lineRule="exact"/>
              <w:rPr>
                <w:sz w:val="20"/>
                <w:szCs w:val="20"/>
                <w:color w:val="auto"/>
              </w:rPr>
            </w:pPr>
            <w:r>
              <w:rPr>
                <w:rFonts w:ascii="Arial" w:cs="Arial" w:eastAsia="Arial" w:hAnsi="Arial"/>
                <w:sz w:val="18"/>
                <w:szCs w:val="18"/>
                <w:color w:val="auto"/>
                <w:w w:val="90"/>
              </w:rPr>
              <w:t>David N. Capobianco</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Everardo Goyanes</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c>
          <w:tcPr>
            <w:tcW w:w="0" w:type="dxa"/>
            <w:vAlign w:val="bottom"/>
          </w:tcPr>
          <w:p>
            <w:pPr>
              <w:spacing w:after="0"/>
              <w:rPr>
                <w:sz w:val="1"/>
                <w:szCs w:val="1"/>
                <w:color w:val="auto"/>
              </w:rPr>
            </w:pPr>
          </w:p>
        </w:tc>
      </w:tr>
      <w:tr>
        <w:trPr>
          <w:trHeight w:val="227"/>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Everardo Goyanes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II-5</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2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Gary R. Petersen</w:t>
            </w:r>
          </w:p>
        </w:tc>
        <w:tc>
          <w:tcPr>
            <w:tcW w:w="36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r>
      <w:tr>
        <w:trPr>
          <w:trHeight w:val="193"/>
        </w:trPr>
        <w:tc>
          <w:tcPr>
            <w:tcW w:w="4580" w:type="dxa"/>
            <w:vAlign w:val="bottom"/>
          </w:tcPr>
          <w:p>
            <w:pPr>
              <w:jc w:val="center"/>
              <w:spacing w:after="0" w:line="193" w:lineRule="exact"/>
              <w:rPr>
                <w:sz w:val="20"/>
                <w:szCs w:val="20"/>
                <w:color w:val="auto"/>
              </w:rPr>
            </w:pPr>
            <w:r>
              <w:rPr>
                <w:rFonts w:ascii="Arial" w:cs="Arial" w:eastAsia="Arial" w:hAnsi="Arial"/>
                <w:sz w:val="18"/>
                <w:szCs w:val="18"/>
                <w:color w:val="auto"/>
                <w:w w:val="86"/>
              </w:rPr>
              <w:t>Gary R. Petersen</w:t>
            </w: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V. Sinnott</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r>
      <w:tr>
        <w:trPr>
          <w:trHeight w:val="199"/>
        </w:trPr>
        <w:tc>
          <w:tcPr>
            <w:tcW w:w="4580" w:type="dxa"/>
            <w:vAlign w:val="bottom"/>
          </w:tcPr>
          <w:p>
            <w:pPr>
              <w:jc w:val="center"/>
              <w:spacing w:after="0" w:line="200" w:lineRule="exact"/>
              <w:rPr>
                <w:sz w:val="20"/>
                <w:szCs w:val="20"/>
                <w:color w:val="auto"/>
              </w:rPr>
            </w:pPr>
            <w:r>
              <w:rPr>
                <w:rFonts w:ascii="Arial" w:cs="Arial" w:eastAsia="Arial" w:hAnsi="Arial"/>
                <w:sz w:val="18"/>
                <w:szCs w:val="18"/>
                <w:color w:val="auto"/>
                <w:w w:val="90"/>
              </w:rPr>
              <w:t>Robert V. Sinnott</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L. Smith</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r>
      <w:tr>
        <w:trPr>
          <w:trHeight w:val="199"/>
        </w:trPr>
        <w:tc>
          <w:tcPr>
            <w:tcW w:w="4580" w:type="dxa"/>
            <w:vAlign w:val="bottom"/>
          </w:tcPr>
          <w:p>
            <w:pPr>
              <w:jc w:val="center"/>
              <w:spacing w:after="0" w:line="200" w:lineRule="exact"/>
              <w:rPr>
                <w:sz w:val="20"/>
                <w:szCs w:val="20"/>
                <w:color w:val="auto"/>
              </w:rPr>
            </w:pPr>
            <w:r>
              <w:rPr>
                <w:rFonts w:ascii="Arial" w:cs="Arial" w:eastAsia="Arial" w:hAnsi="Arial"/>
                <w:sz w:val="18"/>
                <w:szCs w:val="18"/>
                <w:color w:val="auto"/>
                <w:w w:val="94"/>
              </w:rPr>
              <w:t>Arthur L. Smith</w:t>
            </w:r>
          </w:p>
        </w:tc>
        <w:tc>
          <w:tcPr>
            <w:tcW w:w="3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 Taft Symonds</w:t>
            </w:r>
          </w:p>
        </w:tc>
        <w:tc>
          <w:tcPr>
            <w:tcW w:w="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November 21, 2006</w:t>
            </w:r>
          </w:p>
        </w:tc>
      </w:tr>
      <w:tr>
        <w:trPr>
          <w:trHeight w:val="227"/>
        </w:trPr>
        <w:tc>
          <w:tcPr>
            <w:tcW w:w="458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6"/>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II-6</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5"/>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10740" w:type="dxa"/>
            <w:vAlign w:val="bottom"/>
          </w:tcPr>
          <w:p>
            <w:pPr>
              <w:ind w:left="4160"/>
              <w:spacing w:after="0"/>
              <w:rPr>
                <w:sz w:val="20"/>
                <w:szCs w:val="20"/>
                <w:color w:val="auto"/>
              </w:rPr>
            </w:pPr>
            <w:r>
              <w:rPr>
                <w:rFonts w:ascii="Arial" w:cs="Arial" w:eastAsia="Arial" w:hAnsi="Arial"/>
                <w:sz w:val="18"/>
                <w:szCs w:val="18"/>
                <w:b w:val="1"/>
                <w:bCs w:val="1"/>
                <w:color w:val="auto"/>
              </w:rPr>
              <w:t>INDEX TO EXHIBITS</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740" w:type="dxa"/>
            <w:vAlign w:val="bottom"/>
          </w:tcPr>
          <w:p>
            <w:pPr>
              <w:ind w:left="120"/>
              <w:spacing w:after="0"/>
              <w:rPr>
                <w:sz w:val="20"/>
                <w:szCs w:val="20"/>
                <w:color w:val="auto"/>
              </w:rPr>
            </w:pPr>
            <w:r>
              <w:rPr>
                <w:rFonts w:ascii="Arial" w:cs="Arial" w:eastAsia="Arial" w:hAnsi="Arial"/>
                <w:sz w:val="18"/>
                <w:szCs w:val="18"/>
                <w:color w:val="auto"/>
              </w:rPr>
              <w:t>—   Form of Underwriting Agreement</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Third Amended and Restated Agreement of Limited Partnership of Plains All American Pipeline, L.P., dated as of June 27, 2001 (incorporated</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5"/>
              </w:rPr>
              <w:t>by reference to Exhibit 3.1 to Form 8-K filed August 27, 2001), as amended by Amendment No. 1 to the Third Amended and Restated</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Agreement of Limited Partnership of Plains All American Pipeline, L.P., dated as of April 15, 2004 (incorporated by reference to Exhibit 3.1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Plains’ Quarterly Report on Form 10-Q for the quarter ended March 31, 2004)</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10740" w:type="dxa"/>
            <w:vAlign w:val="bottom"/>
          </w:tcPr>
          <w:p>
            <w:pPr>
              <w:ind w:left="120"/>
              <w:spacing w:after="0"/>
              <w:rPr>
                <w:sz w:val="20"/>
                <w:szCs w:val="20"/>
                <w:color w:val="auto"/>
              </w:rPr>
            </w:pPr>
            <w:r>
              <w:rPr>
                <w:rFonts w:ascii="Arial" w:cs="Arial" w:eastAsia="Arial" w:hAnsi="Arial"/>
                <w:sz w:val="18"/>
                <w:szCs w:val="18"/>
                <w:color w:val="auto"/>
                <w:w w:val="95"/>
              </w:rPr>
              <w:t>—   Amendment No. 2 dated November 15, 2006 to Third Amended and Restated Agreement of Limited Partnership of Plains All American</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Pipeline L.P. (incorporated by reference to Exhibit 3.1 to Plains’ Current Report on Form 8-K filed November 21, 2006.</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4.3</w:t>
            </w:r>
          </w:p>
        </w:tc>
        <w:tc>
          <w:tcPr>
            <w:tcW w:w="10740" w:type="dxa"/>
            <w:vAlign w:val="bottom"/>
          </w:tcPr>
          <w:p>
            <w:pPr>
              <w:ind w:left="120"/>
              <w:spacing w:after="0"/>
              <w:rPr>
                <w:sz w:val="20"/>
                <w:szCs w:val="20"/>
                <w:color w:val="auto"/>
              </w:rPr>
            </w:pPr>
            <w:r>
              <w:rPr>
                <w:rFonts w:ascii="Arial" w:cs="Arial" w:eastAsia="Arial" w:hAnsi="Arial"/>
                <w:sz w:val="18"/>
                <w:szCs w:val="18"/>
                <w:color w:val="auto"/>
                <w:w w:val="99"/>
              </w:rPr>
              <w:t>—   Second Amended and Restated Limited Liability Company Agreement of Plains All American GP LLC, dated September 12, 2005</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10740" w:type="dxa"/>
            <w:vAlign w:val="bottom"/>
          </w:tcPr>
          <w:p>
            <w:pPr>
              <w:ind w:left="120"/>
              <w:spacing w:after="0"/>
              <w:rPr>
                <w:sz w:val="20"/>
                <w:szCs w:val="20"/>
                <w:color w:val="auto"/>
              </w:rPr>
            </w:pPr>
            <w:r>
              <w:rPr>
                <w:rFonts w:ascii="Arial" w:cs="Arial" w:eastAsia="Arial" w:hAnsi="Arial"/>
                <w:sz w:val="18"/>
                <w:szCs w:val="18"/>
                <w:color w:val="auto"/>
                <w:w w:val="91"/>
              </w:rPr>
              <w:t>—   Second Amended and Restated Limited Partnership Agreement of Plains AAP, L.P., dated September 12, 2005 (incorporated by reference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414"/>
        </w:trPr>
        <w:tc>
          <w:tcPr>
            <w:tcW w:w="50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0740" w:type="dxa"/>
            <w:vAlign w:val="bottom"/>
          </w:tcPr>
          <w:p>
            <w:pPr>
              <w:ind w:left="120"/>
              <w:spacing w:after="0"/>
              <w:rPr>
                <w:sz w:val="20"/>
                <w:szCs w:val="20"/>
                <w:color w:val="auto"/>
              </w:rPr>
            </w:pPr>
            <w:r>
              <w:rPr>
                <w:rFonts w:ascii="Arial" w:cs="Arial" w:eastAsia="Arial" w:hAnsi="Arial"/>
                <w:sz w:val="18"/>
                <w:szCs w:val="18"/>
                <w:color w:val="auto"/>
                <w:w w:val="94"/>
              </w:rPr>
              <w:t>—   Registration Rights Agreement, dated as of July 26, 2006, among Plains All American Pipeline, L.P., Vulcan Capital Private Equity I LLC,</w:t>
            </w:r>
          </w:p>
        </w:tc>
      </w:tr>
      <w:tr>
        <w:trPr>
          <w:trHeight w:val="214"/>
        </w:trPr>
        <w:tc>
          <w:tcPr>
            <w:tcW w:w="500" w:type="dxa"/>
            <w:vAlign w:val="bottom"/>
          </w:tcPr>
          <w:p>
            <w:pPr>
              <w:spacing w:after="0"/>
              <w:rPr>
                <w:sz w:val="18"/>
                <w:szCs w:val="18"/>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w w:val="90"/>
              </w:rPr>
              <w:t>Kayne Anderson MLP Investment Company and Kayne Anderson Energy Total Return Fund, Inc. (incorporated by reference to Exhibit 4.13 to</w:t>
            </w:r>
          </w:p>
        </w:tc>
      </w:tr>
      <w:tr>
        <w:trPr>
          <w:trHeight w:val="227"/>
        </w:trPr>
        <w:tc>
          <w:tcPr>
            <w:tcW w:w="500" w:type="dxa"/>
            <w:vAlign w:val="bottom"/>
          </w:tcPr>
          <w:p>
            <w:pPr>
              <w:spacing w:after="0"/>
              <w:rPr>
                <w:sz w:val="19"/>
                <w:szCs w:val="19"/>
                <w:color w:val="auto"/>
              </w:rPr>
            </w:pPr>
          </w:p>
        </w:tc>
        <w:tc>
          <w:tcPr>
            <w:tcW w:w="10740" w:type="dxa"/>
            <w:vAlign w:val="bottom"/>
          </w:tcPr>
          <w:p>
            <w:pPr>
              <w:ind w:left="540"/>
              <w:spacing w:after="0"/>
              <w:rPr>
                <w:sz w:val="20"/>
                <w:szCs w:val="20"/>
                <w:color w:val="auto"/>
              </w:rPr>
            </w:pPr>
            <w:r>
              <w:rPr>
                <w:rFonts w:ascii="Arial" w:cs="Arial" w:eastAsia="Arial" w:hAnsi="Arial"/>
                <w:sz w:val="18"/>
                <w:szCs w:val="18"/>
                <w:color w:val="auto"/>
              </w:rPr>
              <w:t>Quarterly Report on Form 10-Q for the Quarter ended September 30, 2006)</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740" w:type="dxa"/>
            <w:vAlign w:val="bottom"/>
          </w:tcPr>
          <w:p>
            <w:pPr>
              <w:ind w:left="120"/>
              <w:spacing w:after="0"/>
              <w:rPr>
                <w:sz w:val="20"/>
                <w:szCs w:val="20"/>
                <w:color w:val="auto"/>
              </w:rPr>
            </w:pPr>
            <w:r>
              <w:rPr>
                <w:rFonts w:ascii="Arial" w:cs="Arial" w:eastAsia="Arial" w:hAnsi="Arial"/>
                <w:sz w:val="18"/>
                <w:szCs w:val="18"/>
                <w:color w:val="auto"/>
              </w:rPr>
              <w:t>—   Opinion of Vinson &amp; Elkins L.L.P. relating to tax matters</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23.1*</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PricewaterhouseCoopers LLP</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23.2*</w:t>
            </w:r>
          </w:p>
        </w:tc>
        <w:tc>
          <w:tcPr>
            <w:tcW w:w="10740" w:type="dxa"/>
            <w:vAlign w:val="bottom"/>
          </w:tcPr>
          <w:p>
            <w:pPr>
              <w:ind w:left="120"/>
              <w:spacing w:after="0"/>
              <w:rPr>
                <w:sz w:val="20"/>
                <w:szCs w:val="20"/>
                <w:color w:val="auto"/>
              </w:rPr>
            </w:pPr>
            <w:r>
              <w:rPr>
                <w:rFonts w:ascii="Arial" w:cs="Arial" w:eastAsia="Arial" w:hAnsi="Arial"/>
                <w:sz w:val="18"/>
                <w:szCs w:val="18"/>
                <w:color w:val="auto"/>
              </w:rPr>
              <w:t>—   Consent of Vinson &amp; Elkins L.L.P. (contained in Exhibits 5.1 and 8.1)</w:t>
            </w:r>
          </w:p>
        </w:tc>
      </w:tr>
      <w:tr>
        <w:trPr>
          <w:trHeight w:val="42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24.1*</w:t>
            </w:r>
          </w:p>
        </w:tc>
        <w:tc>
          <w:tcPr>
            <w:tcW w:w="10740" w:type="dxa"/>
            <w:vAlign w:val="bottom"/>
          </w:tcPr>
          <w:p>
            <w:pPr>
              <w:ind w:left="120"/>
              <w:spacing w:after="0"/>
              <w:rPr>
                <w:sz w:val="20"/>
                <w:szCs w:val="20"/>
                <w:color w:val="auto"/>
              </w:rPr>
            </w:pPr>
            <w:r>
              <w:rPr>
                <w:rFonts w:ascii="Arial" w:cs="Arial" w:eastAsia="Arial" w:hAnsi="Arial"/>
                <w:sz w:val="18"/>
                <w:szCs w:val="18"/>
                <w:color w:val="auto"/>
              </w:rPr>
              <w:t>—   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5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41" w:lineRule="exact"/>
        <w:rPr>
          <w:sz w:val="20"/>
          <w:szCs w:val="20"/>
          <w:color w:val="auto"/>
        </w:rPr>
      </w:pPr>
    </w:p>
    <w:p>
      <w:pPr>
        <w:ind w:left="440" w:hanging="433"/>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3" w:lineRule="exact"/>
        <w:rPr>
          <w:sz w:val="20"/>
          <w:szCs w:val="20"/>
          <w:color w:val="auto"/>
        </w:rPr>
      </w:pPr>
    </w:p>
    <w:p>
      <w:pPr>
        <w:ind w:left="440" w:hanging="433"/>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in a post effective amendment to this registration statement.</w:t>
      </w:r>
    </w:p>
    <w:p>
      <w:pPr>
        <w:sectPr>
          <w:pgSz w:w="11900" w:h="16838" w:orient="portrait"/>
          <w:cols w:equalWidth="0" w:num="1">
            <w:col w:w="11400"/>
          </w:cols>
          <w:pgMar w:left="240" w:top="41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5.1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40" w:firstLine="219"/>
        <w:spacing w:after="0" w:line="252" w:lineRule="auto"/>
        <w:rPr>
          <w:sz w:val="20"/>
          <w:szCs w:val="20"/>
          <w:color w:val="auto"/>
        </w:rPr>
      </w:pPr>
      <w:r>
        <w:rPr>
          <w:rFonts w:ascii="Arial" w:cs="Arial" w:eastAsia="Arial" w:hAnsi="Arial"/>
          <w:sz w:val="18"/>
          <w:szCs w:val="18"/>
          <w:color w:val="auto"/>
        </w:rPr>
        <w:t>We have acted as counsel to Plains All American Pipeline, L.P., a Delaware limited partnership (the “Partnership”), with respect to certain legal matters in connection with the preparation of the Registration Statement on Form S-3 (the “Registration Statement”) filed with the Securities and Exchange Commission (the “Commission”) under the Securities Act of 1933, as amended (the “Securities Act”), on the date hereof and to which this opinion is an exhibit. The Registration Statement relates to the registration of 3,117,725 common units (“Common Units”) of the Partnership being offered for resale by the Selling Unitholders. We have also participated in the preparation of the prospectus relating to the Registration Statement and included as a part thereof (the “Prospectus”).</w:t>
      </w:r>
    </w:p>
    <w:p>
      <w:pPr>
        <w:spacing w:after="0" w:line="84" w:lineRule="exact"/>
        <w:rPr>
          <w:sz w:val="20"/>
          <w:szCs w:val="20"/>
          <w:color w:val="auto"/>
        </w:rPr>
      </w:pPr>
    </w:p>
    <w:p>
      <w:pPr>
        <w:ind w:right="280" w:firstLine="213"/>
        <w:spacing w:after="0" w:line="292" w:lineRule="auto"/>
        <w:rPr>
          <w:sz w:val="20"/>
          <w:szCs w:val="20"/>
          <w:color w:val="auto"/>
        </w:rPr>
      </w:pPr>
      <w:r>
        <w:rPr>
          <w:rFonts w:ascii="Arial" w:cs="Arial" w:eastAsia="Arial" w:hAnsi="Arial"/>
          <w:sz w:val="16"/>
          <w:szCs w:val="16"/>
          <w:color w:val="auto"/>
        </w:rPr>
        <w:t>As the basis for the opinion hereinafter expressed, we examined such statutes, including the Delaware Revised Uniform Limited Partnership Act (the “Delaware Act”), the Prospectus, the Third Amended and Restated Agreement of Limited Partnership of the Partnership, as amended (the “Partnership Agreement”), the Certificate of Limited Partnership of the Partnership (the “Certificate”) and such other formation documents and agreements, as we have deemed necessary or appropriate for purposes of this opinion. In addition, we have reviewed certain certificates of officers of the general partner of the Partnership and of public officials, and we have relied on such certificates with respect to certain factual matters that we have not independently established.</w:t>
      </w:r>
    </w:p>
    <w:p>
      <w:pPr>
        <w:spacing w:after="0" w:line="56"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Common Units offered thereby;</w:t>
      </w:r>
    </w:p>
    <w:p>
      <w:pPr>
        <w:jc w:val="both"/>
        <w:ind w:right="180" w:firstLine="7"/>
        <w:spacing w:after="0" w:line="273" w:lineRule="auto"/>
        <w:tabs>
          <w:tab w:leader="none" w:pos="3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Common Units will be sold in compliance with applicable federal and state securities laws and in the manner stated in the Registration Statement and the appropriate prospectus supplement; and (iv) a definitive purchase, underwriting or similar agreement with respect to any Common Units offered will have been duly authorized and validly executed and delivered by the Partnership and the other parties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6520" w:type="dxa"/>
            <w:vAlign w:val="bottom"/>
          </w:tcPr>
          <w:p>
            <w:pPr>
              <w:ind w:left="840"/>
              <w:spacing w:after="0"/>
              <w:rPr>
                <w:sz w:val="20"/>
                <w:szCs w:val="20"/>
                <w:color w:val="auto"/>
              </w:rPr>
            </w:pPr>
            <w:r>
              <w:rPr>
                <w:rFonts w:ascii="Arial" w:cs="Arial" w:eastAsia="Arial" w:hAnsi="Arial"/>
                <w:sz w:val="18"/>
                <w:szCs w:val="18"/>
                <w:color w:val="auto"/>
              </w:rPr>
              <w:t>First City Tower, 1001 Fannin Street, Suite 2500</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Austin Beijing Dallas Dubai Hong Kong Houston</w:t>
            </w:r>
          </w:p>
        </w:tc>
        <w:tc>
          <w:tcPr>
            <w:tcW w:w="6520" w:type="dxa"/>
            <w:vAlign w:val="bottom"/>
          </w:tcPr>
          <w:p>
            <w:pPr>
              <w:ind w:left="840"/>
              <w:spacing w:after="0"/>
              <w:rPr>
                <w:sz w:val="20"/>
                <w:szCs w:val="20"/>
                <w:color w:val="auto"/>
              </w:rPr>
            </w:pPr>
            <w:r>
              <w:rPr>
                <w:rFonts w:ascii="Arial" w:cs="Arial" w:eastAsia="Arial" w:hAnsi="Arial"/>
                <w:sz w:val="18"/>
                <w:szCs w:val="18"/>
                <w:color w:val="auto"/>
              </w:rPr>
              <w:t>Houston, TX 77002-6760</w:t>
            </w:r>
          </w:p>
        </w:tc>
      </w:tr>
      <w:tr>
        <w:trPr>
          <w:trHeight w:val="231"/>
        </w:trPr>
        <w:tc>
          <w:tcPr>
            <w:tcW w:w="4900" w:type="dxa"/>
            <w:vAlign w:val="bottom"/>
          </w:tcPr>
          <w:p>
            <w:pPr>
              <w:spacing w:after="0"/>
              <w:rPr>
                <w:sz w:val="20"/>
                <w:szCs w:val="20"/>
                <w:color w:val="auto"/>
              </w:rPr>
            </w:pPr>
            <w:r>
              <w:rPr>
                <w:rFonts w:ascii="Arial" w:cs="Arial" w:eastAsia="Arial" w:hAnsi="Arial"/>
                <w:sz w:val="18"/>
                <w:szCs w:val="18"/>
                <w:color w:val="auto"/>
              </w:rPr>
              <w:t>London Moscow New York Shanghai Tokyo Washington</w:t>
            </w:r>
          </w:p>
        </w:tc>
        <w:tc>
          <w:tcPr>
            <w:tcW w:w="6520" w:type="dxa"/>
            <w:vAlign w:val="bottom"/>
          </w:tcPr>
          <w:p>
            <w:pPr>
              <w:ind w:left="84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713.758.2346</w:t>
            </w:r>
            <w:r>
              <w:rPr>
                <w:rFonts w:ascii="Arial" w:cs="Arial" w:eastAsia="Arial" w:hAnsi="Arial"/>
                <w:sz w:val="18"/>
                <w:szCs w:val="18"/>
                <w:b w:val="1"/>
                <w:bCs w:val="1"/>
                <w:color w:val="auto"/>
              </w:rPr>
              <w:t xml:space="preserve"> www.velaw.com</w:t>
            </w:r>
          </w:p>
        </w:tc>
      </w:tr>
      <w:tr>
        <w:trPr>
          <w:trHeight w:val="626"/>
        </w:trPr>
        <w:tc>
          <w:tcPr>
            <w:tcW w:w="49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color w:val="auto"/>
        </w:rPr>
        <w:t>Based on the foregoing and on such legal considerations as we deem relevant, we are of the opinion that:</w:t>
      </w:r>
    </w:p>
    <w:p>
      <w:pPr>
        <w:spacing w:after="0" w:line="113" w:lineRule="exact"/>
        <w:rPr>
          <w:sz w:val="20"/>
          <w:szCs w:val="20"/>
          <w:color w:val="auto"/>
        </w:rPr>
      </w:pPr>
    </w:p>
    <w:p>
      <w:pPr>
        <w:ind w:left="400" w:hanging="171"/>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Partnership has been duly formed and is validly existing as a limited partnership under the Delaware Act.</w:t>
      </w:r>
    </w:p>
    <w:p>
      <w:pPr>
        <w:spacing w:after="0" w:line="113" w:lineRule="exact"/>
        <w:rPr>
          <w:rFonts w:ascii="Arial" w:cs="Arial" w:eastAsia="Arial" w:hAnsi="Arial"/>
          <w:sz w:val="18"/>
          <w:szCs w:val="18"/>
          <w:color w:val="auto"/>
        </w:rPr>
      </w:pPr>
    </w:p>
    <w:p>
      <w:pPr>
        <w:ind w:left="400" w:hanging="171"/>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Common Units have been validly issued, fully paid and are non-assessable.</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113" w:lineRule="exact"/>
        <w:rPr>
          <w:sz w:val="20"/>
          <w:szCs w:val="20"/>
          <w:color w:val="auto"/>
        </w:rPr>
      </w:pPr>
    </w:p>
    <w:p>
      <w:pPr>
        <w:ind w:firstLine="229"/>
        <w:spacing w:after="0" w:line="270" w:lineRule="auto"/>
        <w:tabs>
          <w:tab w:leader="none" w:pos="3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68" w:lineRule="exact"/>
        <w:rPr>
          <w:rFonts w:ascii="Arial" w:cs="Arial" w:eastAsia="Arial" w:hAnsi="Arial"/>
          <w:sz w:val="18"/>
          <w:szCs w:val="18"/>
          <w:color w:val="auto"/>
        </w:rPr>
      </w:pPr>
    </w:p>
    <w:p>
      <w:pPr>
        <w:ind w:right="260" w:firstLine="229"/>
        <w:spacing w:after="0" w:line="281" w:lineRule="auto"/>
        <w:tabs>
          <w:tab w:leader="none" w:pos="3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61" w:lineRule="exact"/>
        <w:rPr>
          <w:rFonts w:ascii="Arial" w:cs="Arial" w:eastAsia="Arial" w:hAnsi="Arial"/>
          <w:sz w:val="17"/>
          <w:szCs w:val="17"/>
          <w:color w:val="auto"/>
        </w:rPr>
      </w:pPr>
    </w:p>
    <w:p>
      <w:pPr>
        <w:ind w:left="400" w:hanging="171"/>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 of the United States of America and the Delaware Act.</w:t>
      </w:r>
    </w:p>
    <w:p>
      <w:pPr>
        <w:spacing w:after="0" w:line="113" w:lineRule="exact"/>
        <w:rPr>
          <w:sz w:val="20"/>
          <w:szCs w:val="20"/>
          <w:color w:val="auto"/>
        </w:rPr>
      </w:pPr>
    </w:p>
    <w:p>
      <w:pPr>
        <w:jc w:val="both"/>
        <w:ind w:right="100" w:firstLine="219"/>
        <w:spacing w:after="0" w:line="306" w:lineRule="auto"/>
        <w:rPr>
          <w:sz w:val="20"/>
          <w:szCs w:val="20"/>
          <w:color w:val="auto"/>
        </w:rPr>
      </w:pPr>
      <w:r>
        <w:rPr>
          <w:rFonts w:ascii="Arial" w:cs="Arial" w:eastAsia="Arial" w:hAnsi="Arial"/>
          <w:sz w:val="16"/>
          <w:szCs w:val="16"/>
          <w:color w:val="auto"/>
        </w:rPr>
        <w:t>We hereby consent to the reference to us under the heading “Legal Matters” in the Prospectus forming a part of the Registration Statement and to the filing of this opinion as an exhibit to the Registration Statement, but we do not thereby admit that we are within the class of persons whose consent is required under the provisions of the Securities Act or the rules and regulations of the Securities and Exchange Commission issued thereunder.</w:t>
      </w:r>
    </w:p>
    <w:p>
      <w:pPr>
        <w:spacing w:after="0" w:line="15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-130175</wp:posOffset>
            </wp:positionV>
            <wp:extent cx="2679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7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926"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8.1</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Suite 2300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77002-6760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1600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219"/>
        <w:spacing w:after="0" w:line="252"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in connection with the registration by the Partnership under the Securities Act of 1933, as amended (the “Securities Act”), of the sale from time to time of 3,117,725 common units representing limited partner interests in the Partnership held by those selling unitholders identified in the Registration Statement on Form S-3 (the “Registration Statement”). We have also participated in the preparation of the Prospectus (the “Prospectus”) contained in the Registration Statement to which this opinion is an exhibit. In connection therewith, we prepared the discussion (the “Discussion”) set forth under the caption “Material U.S. Federal Income Tax Consequences” in the Prospectus.</w:t>
      </w:r>
    </w:p>
    <w:p>
      <w:pPr>
        <w:spacing w:after="0" w:line="84" w:lineRule="exact"/>
        <w:rPr>
          <w:sz w:val="20"/>
          <w:szCs w:val="20"/>
          <w:color w:val="auto"/>
        </w:rPr>
      </w:pPr>
    </w:p>
    <w:p>
      <w:pPr>
        <w:ind w:right="80" w:firstLine="213"/>
        <w:spacing w:after="0" w:line="274" w:lineRule="auto"/>
        <w:rPr>
          <w:sz w:val="20"/>
          <w:szCs w:val="20"/>
          <w:color w:val="auto"/>
        </w:rPr>
      </w:pPr>
      <w:r>
        <w:rPr>
          <w:rFonts w:ascii="Arial" w:cs="Arial" w:eastAsia="Arial" w:hAnsi="Arial"/>
          <w:sz w:val="17"/>
          <w:szCs w:val="17"/>
          <w:color w:val="auto"/>
        </w:rPr>
        <w:t>All statements of legal conclusions contained in the Discussion, unless otherwise noted, are our opinion with respect to the matters set forth therein as of the effective date of the Prospectus,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w:t>
      </w:r>
    </w:p>
    <w:p>
      <w:pPr>
        <w:spacing w:after="0" w:line="69" w:lineRule="exact"/>
        <w:rPr>
          <w:sz w:val="20"/>
          <w:szCs w:val="20"/>
          <w:color w:val="auto"/>
        </w:rPr>
      </w:pPr>
    </w:p>
    <w:p>
      <w:pPr>
        <w:ind w:right="120" w:firstLine="219"/>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rules and regulations of the Securities and Exchange Commission issued thereunder.</w:t>
      </w:r>
    </w:p>
    <w:p>
      <w:pPr>
        <w:spacing w:after="0" w:line="1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-130175</wp:posOffset>
            </wp:positionV>
            <wp:extent cx="2679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79065" cy="825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1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on March 21, 2006. We also consent to the references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2006</w:t>
      </w: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2"/>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lvl w:ilvl="1">
      <w:lvlJc w:val="left"/>
      <w:lvlText w:val="(%2)"/>
      <w:numFmt w:val="lowerRoman"/>
      <w:start w:val="1"/>
    </w:lvl>
  </w:abstractNum>
  <w:abstractNum w:abstractNumId="39">
    <w:nsid w:val="1D4ED43B"/>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40">
    <w:nsid w:val="725A06FB"/>
    <w:multiLevelType w:val="hybridMultilevel"/>
    <w:lvl w:ilvl="0">
      <w:lvlJc w:val="left"/>
      <w:lvlText w:val="%1."/>
      <w:numFmt w:val="upperLetter"/>
      <w:start w:val="35"/>
    </w:lvl>
    <w:lvl w:ilvl="1">
      <w:lvlJc w:val="left"/>
      <w:lvlText w:val="(%2)"/>
      <w:numFmt w:val="decimal"/>
      <w:start w:val="1"/>
    </w:lvl>
  </w:abstractNum>
  <w:abstractNum w:abstractNumId="41">
    <w:nsid w:val="2CD89A32"/>
    <w:multiLevelType w:val="hybridMultilevel"/>
    <w:lvl w:ilvl="0">
      <w:lvlJc w:val="left"/>
      <w:lvlText w:val="%1."/>
      <w:numFmt w:val="upperLetter"/>
      <w:start w:val="6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Roman"/>
      <w:start w:val="3"/>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2020-02-13T16:06:30Z</dcterms:created>
  <dcterms:modified xsi:type="dcterms:W3CDTF">2020-02-13T16:06:30Z</dcterms:modified>
</cp:coreProperties>
</file>