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jc w:val="right"/>
        <w:rPr>
          <w:rFonts w:ascii="Times New Roman" w:hAnsi="Times New Roman"/>
          <w:b/>
          <w:sz w:val="17"/>
        </w:rPr>
      </w:pPr>
      <w:bookmarkStart w:id="0" w:name="a06-19926_1425.htm"/>
      <w:bookmarkStart w:id="1" w:name="ksa0619926_1425"/>
      <w:bookmarkEnd w:id="0"/>
      <w:bookmarkEnd w:id="1"/>
      <w:r>
        <w:rPr>
          <w:rFonts w:ascii="Times New Roman" w:hAnsi="Times New Roman"/>
          <w:b/>
          <w:sz w:val="17"/>
        </w:rPr>
        <w:t xml:space="preserve">Filed by Plains All American Pipeline, L.P. (1-14569) </w:t>
        <w:br/>
        <w:t>Pursuant to Rule 425 under the Securities Act of 1933</w:t>
      </w:r>
    </w:p>
    <w:p>
      <w:pPr>
        <w:pStyle w:val="TextBody"/>
        <w:keepNext w:val="true"/>
        <w:spacing w:before="0" w:after="240"/>
        <w:ind w:left="0" w:right="0" w:hanging="0"/>
        <w:jc w:val="right"/>
        <w:rPr>
          <w:rFonts w:ascii="Times New Roman" w:hAnsi="Times New Roman"/>
          <w:b/>
          <w:sz w:val="17"/>
        </w:rPr>
      </w:pPr>
      <w:r>
        <w:rPr>
          <w:rFonts w:ascii="Times New Roman" w:hAnsi="Times New Roman"/>
          <w:b/>
          <w:sz w:val="17"/>
        </w:rPr>
        <w:t xml:space="preserve">Subject Company:  Pacific Energy Partners, L.P. (1-31345) </w:t>
        <w:br/>
        <w:t>Commission File No:  333-135712</w:t>
      </w:r>
    </w:p>
    <w:tbl>
      <w:tblPr>
        <w:tblW w:w="5000" w:type="pct"/>
        <w:jc w:val="left"/>
        <w:tblInd w:w="0" w:type="dxa"/>
        <w:tblCellMar>
          <w:top w:w="0" w:type="dxa"/>
          <w:left w:w="0" w:type="dxa"/>
          <w:bottom w:w="0" w:type="dxa"/>
          <w:right w:w="0" w:type="dxa"/>
        </w:tblCellMar>
      </w:tblPr>
      <w:tblGrid>
        <w:gridCol w:w="1062"/>
        <w:gridCol w:w="106"/>
        <w:gridCol w:w="4147"/>
        <w:gridCol w:w="105"/>
        <w:gridCol w:w="4785"/>
      </w:tblGrid>
      <w:tr>
        <w:trPr/>
        <w:tc>
          <w:tcPr>
            <w:tcW w:w="1062" w:type="dxa"/>
            <w:tcBorders/>
            <w:shd w:fill="auto" w:val="clear"/>
          </w:tcPr>
          <w:p>
            <w:pPr>
              <w:pStyle w:val="TableContents"/>
              <w:spacing w:before="0" w:after="0"/>
              <w:ind w:left="0" w:right="0" w:hanging="0"/>
              <w:rPr>
                <w:b/>
                <w:sz w:val="17"/>
                <w:u w:val="single"/>
              </w:rPr>
            </w:pPr>
            <w:r>
              <w:rPr>
                <w:b/>
                <w:sz w:val="17"/>
                <w:u w:val="single"/>
              </w:rPr>
              <w:t>Contacts:</w:t>
            </w:r>
          </w:p>
        </w:tc>
        <w:tc>
          <w:tcPr>
            <w:tcW w:w="106" w:type="dxa"/>
            <w:tcBorders/>
            <w:shd w:fill="auto" w:val="clear"/>
          </w:tcPr>
          <w:p>
            <w:pPr>
              <w:pStyle w:val="TableContents"/>
              <w:spacing w:before="0" w:after="0"/>
              <w:ind w:left="0" w:right="0" w:hanging="0"/>
              <w:rPr/>
            </w:pPr>
            <w:r>
              <w:rPr/>
              <w:t> </w:t>
            </w:r>
          </w:p>
        </w:tc>
        <w:tc>
          <w:tcPr>
            <w:tcW w:w="414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105" w:type="dxa"/>
            <w:tcBorders/>
            <w:shd w:fill="auto" w:val="clear"/>
          </w:tcPr>
          <w:p>
            <w:pPr>
              <w:pStyle w:val="TableContents"/>
              <w:spacing w:before="0" w:after="0"/>
              <w:ind w:left="0" w:right="0" w:hanging="0"/>
              <w:rPr/>
            </w:pPr>
            <w:r>
              <w:rPr/>
              <w:t> </w:t>
            </w:r>
          </w:p>
        </w:tc>
        <w:tc>
          <w:tcPr>
            <w:tcW w:w="47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062" w:type="dxa"/>
            <w:tcBorders/>
            <w:shd w:fill="auto" w:val="clear"/>
          </w:tcPr>
          <w:p>
            <w:pPr>
              <w:pStyle w:val="TableContents"/>
              <w:spacing w:before="0" w:after="0"/>
              <w:ind w:left="0" w:right="0" w:hanging="0"/>
              <w:rPr/>
            </w:pPr>
            <w:r>
              <w:rPr/>
              <w:t> </w:t>
            </w:r>
          </w:p>
        </w:tc>
        <w:tc>
          <w:tcPr>
            <w:tcW w:w="106" w:type="dxa"/>
            <w:tcBorders/>
            <w:shd w:fill="auto" w:val="clear"/>
          </w:tcPr>
          <w:p>
            <w:pPr>
              <w:pStyle w:val="TableContents"/>
              <w:spacing w:before="0" w:after="0"/>
              <w:ind w:left="0" w:right="0" w:hanging="0"/>
              <w:rPr/>
            </w:pPr>
            <w:r>
              <w:rPr/>
              <w:t> </w:t>
            </w:r>
          </w:p>
        </w:tc>
        <w:tc>
          <w:tcPr>
            <w:tcW w:w="414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105" w:type="dxa"/>
            <w:tcBorders/>
            <w:shd w:fill="auto" w:val="clear"/>
          </w:tcPr>
          <w:p>
            <w:pPr>
              <w:pStyle w:val="TableContents"/>
              <w:spacing w:before="0" w:after="0"/>
              <w:ind w:left="0" w:right="0" w:hanging="0"/>
              <w:rPr/>
            </w:pPr>
            <w:r>
              <w:rPr/>
              <w:t> </w:t>
            </w:r>
          </w:p>
        </w:tc>
        <w:tc>
          <w:tcPr>
            <w:tcW w:w="47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Strategic Planning</w:t>
            </w:r>
          </w:p>
        </w:tc>
      </w:tr>
      <w:tr>
        <w:trPr/>
        <w:tc>
          <w:tcPr>
            <w:tcW w:w="1062" w:type="dxa"/>
            <w:tcBorders/>
            <w:shd w:fill="auto" w:val="clear"/>
          </w:tcPr>
          <w:p>
            <w:pPr>
              <w:pStyle w:val="TableContents"/>
              <w:spacing w:before="0" w:after="0"/>
              <w:ind w:left="0" w:right="0" w:hanging="0"/>
              <w:rPr/>
            </w:pPr>
            <w:r>
              <w:rPr/>
              <w:t> </w:t>
            </w:r>
          </w:p>
        </w:tc>
        <w:tc>
          <w:tcPr>
            <w:tcW w:w="106" w:type="dxa"/>
            <w:tcBorders/>
            <w:shd w:fill="auto" w:val="clear"/>
          </w:tcPr>
          <w:p>
            <w:pPr>
              <w:pStyle w:val="TableContents"/>
              <w:spacing w:before="0" w:after="0"/>
              <w:ind w:left="0" w:right="0" w:hanging="0"/>
              <w:rPr/>
            </w:pPr>
            <w:r>
              <w:rPr/>
              <w:t> </w:t>
            </w:r>
          </w:p>
        </w:tc>
        <w:tc>
          <w:tcPr>
            <w:tcW w:w="414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105" w:type="dxa"/>
            <w:tcBorders/>
            <w:shd w:fill="auto" w:val="clear"/>
          </w:tcPr>
          <w:p>
            <w:pPr>
              <w:pStyle w:val="TableContents"/>
              <w:spacing w:before="0" w:after="0"/>
              <w:ind w:left="0" w:right="0" w:hanging="0"/>
              <w:rPr/>
            </w:pPr>
            <w:r>
              <w:rPr/>
              <w:t> </w:t>
            </w:r>
          </w:p>
        </w:tc>
        <w:tc>
          <w:tcPr>
            <w:tcW w:w="47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  800/564-3036</w:t>
            </w:r>
          </w:p>
        </w:tc>
      </w:tr>
    </w:tbl>
    <w:p>
      <w:pPr>
        <w:pStyle w:val="TextBody"/>
        <w:spacing w:lineRule="atLeast" w:line="141" w:before="0" w:after="24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240"/>
        <w:ind w:left="0" w:right="0" w:hanging="0"/>
        <w:jc w:val="center"/>
        <w:rPr>
          <w:rFonts w:ascii="Times New Roman" w:hAnsi="Times New Roman"/>
          <w:b/>
          <w:sz w:val="30"/>
        </w:rPr>
      </w:pPr>
      <w:r>
        <w:rPr>
          <w:rFonts w:ascii="Times New Roman" w:hAnsi="Times New Roman"/>
          <w:b/>
          <w:sz w:val="30"/>
        </w:rPr>
        <w:t>PAA Announces Phase VI Expansion of Cushing</w:t>
        <w:br/>
        <w:t>Terminal Facility and Provides Comments on</w:t>
        <w:br/>
        <w:t>Third Quarter Performance</w:t>
      </w:r>
    </w:p>
    <w:p>
      <w:pPr>
        <w:pStyle w:val="TextBody"/>
        <w:spacing w:before="0" w:after="240"/>
        <w:ind w:left="0" w:right="0" w:hanging="0"/>
        <w:jc w:val="center"/>
        <w:rPr>
          <w:rFonts w:ascii="Times New Roman" w:hAnsi="Times New Roman"/>
          <w:b w:val="false"/>
          <w:i/>
          <w:sz w:val="23"/>
        </w:rPr>
      </w:pPr>
      <w:r>
        <w:rPr>
          <w:rFonts w:ascii="Times New Roman" w:hAnsi="Times New Roman"/>
          <w:b w:val="false"/>
          <w:i/>
          <w:sz w:val="23"/>
        </w:rPr>
        <w:t>- Multi-Year Lease Agreements to Support Expansion -</w:t>
      </w:r>
    </w:p>
    <w:p>
      <w:pPr>
        <w:pStyle w:val="TextBody"/>
        <w:spacing w:before="0" w:after="240"/>
        <w:ind w:left="0" w:right="0" w:firstLine="720"/>
        <w:rPr>
          <w:rFonts w:ascii="Times New Roman" w:hAnsi="Times New Roman"/>
          <w:sz w:val="17"/>
        </w:rPr>
      </w:pPr>
      <w:r>
        <w:rPr>
          <w:rFonts w:ascii="Times New Roman" w:hAnsi="Times New Roman"/>
          <w:sz w:val="17"/>
        </w:rPr>
        <w:t>(Houston  September 19, 2006) Plains All American Pipeline, L.P. (NYSE: PAA) announced today that it is proceeding with the Phase VI expansion of its Cushing Terminal Facility.  The Partnership also announced that Matrix Service Inc. of Tulsa, Oklahoma, will act as contractor for the project.</w:t>
      </w:r>
    </w:p>
    <w:p>
      <w:pPr>
        <w:pStyle w:val="TextBody"/>
        <w:spacing w:before="0" w:after="240"/>
        <w:ind w:left="0" w:right="0" w:firstLine="720"/>
        <w:rPr>
          <w:rFonts w:ascii="Times New Roman" w:hAnsi="Times New Roman"/>
          <w:sz w:val="17"/>
        </w:rPr>
      </w:pPr>
      <w:r>
        <w:rPr>
          <w:rFonts w:ascii="Times New Roman" w:hAnsi="Times New Roman"/>
          <w:sz w:val="17"/>
        </w:rPr>
        <w:t>Under the Phase VI expansion, Plains will construct approximately 3.4 million barrels of additional tankage at its crude oil storage and terminalling facility in Cushing, Oklahoma. The Phase VI project will expand the total capacity of the facility to 10.8 million barrels and, including manifold modifications, is expected to cost approximately $48 million. The Partnership estimates that the new tankage will become operational during the fourth quarter of 2007.  The expansion is supported by multi-year lease agreements with customers.</w:t>
      </w:r>
    </w:p>
    <w:p>
      <w:pPr>
        <w:pStyle w:val="TextBody"/>
        <w:spacing w:before="0" w:after="240"/>
        <w:ind w:left="0" w:right="0" w:firstLine="720"/>
        <w:rPr>
          <w:rFonts w:ascii="Times New Roman" w:hAnsi="Times New Roman"/>
          <w:sz w:val="17"/>
        </w:rPr>
      </w:pPr>
      <w:r>
        <w:rPr>
          <w:rFonts w:ascii="Times New Roman" w:hAnsi="Times New Roman"/>
          <w:sz w:val="17"/>
        </w:rPr>
        <w:t>Our Cushing Terminal was originally constructed in the early 1990s with total tankage of two million barrels and has served as the cornerstone of our business over the last 13 years. During that period, we have expanded the facility five times and are now embarking on a sixth project, which will expand it to over five times its original size, said Greg L. Armstrong, Chairman and Chief Executive Officer of the Partnership.  This additional tankage and the multi-year lease agreements will further enhance the Partnerships base level of stable, fee-based cash flows.</w:t>
      </w:r>
    </w:p>
    <w:p>
      <w:pPr>
        <w:pStyle w:val="TextBody"/>
        <w:spacing w:before="0" w:after="240"/>
        <w:ind w:left="0" w:right="0" w:firstLine="720"/>
        <w:rPr>
          <w:rFonts w:ascii="Times New Roman" w:hAnsi="Times New Roman"/>
          <w:sz w:val="17"/>
        </w:rPr>
      </w:pPr>
      <w:r>
        <w:rPr>
          <w:rFonts w:ascii="Times New Roman" w:hAnsi="Times New Roman"/>
          <w:sz w:val="17"/>
        </w:rPr>
        <w:t>Armstrong noted that the Partnership preliminarily anticipates spending approximately $15 million to $18 million of the $48 million capital cost during 2006, with the remaining expenditures to be completed in 2007. He also highlighted the fact that Matrix Service Inc. has served as the contractor for the original construction of the Partnerships Cushing Terminal facility along with each of the subsequent expansion projects.</w:t>
      </w:r>
    </w:p>
    <w:p>
      <w:pPr>
        <w:pStyle w:val="TextBody"/>
        <w:spacing w:before="0" w:after="240"/>
        <w:ind w:left="0" w:right="0" w:firstLine="720"/>
        <w:rPr>
          <w:rFonts w:ascii="Times New Roman" w:hAnsi="Times New Roman"/>
          <w:sz w:val="17"/>
        </w:rPr>
      </w:pPr>
      <w:r>
        <w:rPr>
          <w:rFonts w:ascii="Times New Roman" w:hAnsi="Times New Roman"/>
          <w:sz w:val="17"/>
        </w:rPr>
        <w:t xml:space="preserve">Armstrong also noted that the Partnership expects its third quarter results to exceed the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upper end of guidance provided on August 1, 2006 and that a large portion of the incremental 2006 expenditures associated with the Phase VI expansion at Cushing are anticipated to be funded with cash flow in excess of partnership distributions.</w:t>
      </w:r>
    </w:p>
    <w:p>
      <w:pPr>
        <w:pStyle w:val="TextBody"/>
        <w:spacing w:before="0" w:after="240"/>
        <w:ind w:left="0" w:right="0" w:firstLine="720"/>
        <w:rPr>
          <w:rFonts w:ascii="Times New Roman" w:hAnsi="Times New Roman"/>
          <w:sz w:val="17"/>
        </w:rPr>
      </w:pPr>
      <w:r>
        <w:rPr>
          <w:rFonts w:ascii="Times New Roman" w:hAnsi="Times New Roman"/>
          <w:sz w:val="17"/>
        </w:rPr>
        <w:t>Plains All Americans Cushing Terminal is one of the most modern, large-scale crude oil terminalling facilities in the United States, incorporating environmental safeguards and operational enhancements designed to safely and efficiently terminal, store, aggregate and segregate large volumes and multiple varieties of both foreign and domestic crude oil. Upon completion of the Phase VI expansion, Plains All Americans Cushing Terminal Facility will consist of six 568,000 barrel tanks, twenty 270,000 barrel tanks, four 150,000 barrel tanks, fourteen 100,000 barrel tanks and a manifold and pumping system with an estimated throughput capacity of over 1.0 million barrels of crude oil per day.</w:t>
      </w:r>
    </w:p>
    <w:p>
      <w:pPr>
        <w:pStyle w:val="TextBody"/>
        <w:spacing w:before="0" w:after="240"/>
        <w:ind w:left="0" w:right="0" w:firstLine="720"/>
        <w:rPr>
          <w:rFonts w:ascii="Times New Roman" w:hAnsi="Times New Roman"/>
          <w:sz w:val="17"/>
        </w:rPr>
      </w:pPr>
      <w:r>
        <w:rPr>
          <w:rFonts w:ascii="Times New Roman" w:hAnsi="Times New Roman"/>
          <w:sz w:val="17"/>
        </w:rPr>
        <w:t>Cushing, Oklahoma, is the official designated delivery location for crude oil futures contracts traded on the New York Mercantile Exchange. Plains All American is one of the largest independent owners and operators of storage and terminalling capacity in Cushing and its facility is an approved NYMEX delivery location.</w:t>
      </w:r>
    </w:p>
    <w:p>
      <w:pPr>
        <w:pStyle w:val="TextBody"/>
        <w:spacing w:before="0" w:after="240"/>
        <w:ind w:left="0" w:right="0" w:firstLine="70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240"/>
        <w:ind w:left="0" w:right="0" w:hanging="0"/>
        <w:rPr/>
      </w:pPr>
      <w:r>
        <w:rPr>
          <w:rStyle w:val="StrongEmphasis"/>
          <w:rFonts w:ascii="Times New Roman" w:hAnsi="Times New Roman"/>
          <w:b/>
          <w:sz w:val="17"/>
        </w:rPr>
        <w:t>Investor Notice</w:t>
      </w:r>
    </w:p>
    <w:p>
      <w:pPr>
        <w:pStyle w:val="TextBody"/>
        <w:spacing w:before="0" w:after="240"/>
        <w:ind w:left="0" w:right="0" w:firstLine="400"/>
        <w:rPr>
          <w:rFonts w:ascii="Times New Roman" w:hAnsi="Times New Roman"/>
          <w:sz w:val="17"/>
        </w:rPr>
      </w:pPr>
      <w:r>
        <w:rPr>
          <w:rFonts w:ascii="Times New Roman" w:hAnsi="Times New Roman"/>
          <w:sz w:val="17"/>
        </w:rPr>
        <w:t xml:space="preserve">Plains All American Pipeline, L.P. has filed with the Securities and Exchange Commission a registration statement on Form S-4 (as the same may be supplemented or amended, Registration No. 333-135712) containing a preliminary joint proxy statement/prospectus of Plains All American Pipeline, L.P. and Pacific Energy Partners, L.P. and other documents in relation to this transaction. Investors and security holders are urged to read carefully these documents when they become available because they will contain important information regarding Plains All American Pipeline, L.P., Pacific Energy Partners, L.P. and the merger.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www.sec.gov.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t>
      </w:r>
      <w:r>
        <w:rPr>
          <w:rFonts w:ascii="Times New Roman" w:hAnsi="Times New Roman"/>
          <w:sz w:val="17"/>
          <w:u w:val="single"/>
        </w:rPr>
        <w:t>www.PacificEnergy.com</w:t>
      </w:r>
      <w:r>
        <w:rPr>
          <w:rFonts w:ascii="Times New Roman" w:hAnsi="Times New Roman"/>
          <w:sz w:val="17"/>
        </w:rPr>
        <w:t>.</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400"/>
        <w:rPr/>
      </w:pPr>
      <w:r>
        <w:rPr/>
        <w:t> </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240"/>
        <w:ind w:left="0" w:right="0" w:firstLine="40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240"/>
        <w:ind w:left="0" w:right="0" w:hanging="0"/>
        <w:rPr>
          <w:rFonts w:ascii="Times New Roman" w:hAnsi="Times New Roman"/>
          <w:b/>
          <w:sz w:val="17"/>
        </w:rPr>
      </w:pPr>
      <w:r>
        <w:rPr>
          <w:rFonts w:ascii="Times New Roman" w:hAnsi="Times New Roman"/>
          <w:b/>
          <w:sz w:val="17"/>
        </w:rPr>
        <w:t>Forward Looking Statements</w:t>
      </w:r>
    </w:p>
    <w:p>
      <w:pPr>
        <w:pStyle w:val="TextBody"/>
        <w:spacing w:before="0" w:after="240"/>
        <w:ind w:left="0" w:right="0" w:firstLine="400"/>
        <w:rPr>
          <w:rFonts w:ascii="Times New Roman" w:hAnsi="Times New Roman"/>
          <w:sz w:val="20"/>
        </w:rPr>
      </w:pPr>
      <w:r>
        <w:rPr>
          <w:rFonts w:ascii="Times New Roman" w:hAnsi="Times New Roman"/>
          <w:sz w:val="17"/>
        </w:rPr>
        <w:t xml:space="preserve">Certain statements made herein are forward-looking statements under the Private Securities Litigation Reform Act of 1995. They include statements regarding the expected timing, cost, capacity and benefits of the Cushing Terminal Facility expansion project and expected third quarter results. These statements are based on managements current expectations and estimates; actual results may differ materially due to certain risks and uncertainties.  These risks and uncertainties include, among other things, </w:t>
      </w:r>
      <w:r>
        <w:rPr>
          <w:rFonts w:ascii="Times New Roman" w:hAnsi="Times New Roman"/>
          <w:sz w:val="20"/>
        </w:rPr>
        <w:t>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 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transmission lines;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rates of third party pipelines; increased costs or lack of availability of insurance; fluctuations in the debt and equity markets, including the price of our units at the time of vesting under our Long-Term Incentive Plans; the currency exchange rate of the Canadian dollar; the impact of crude oil and natural gas price fluctuations; shortages or cost increases of power supplies, materials or labor; weather interference with business operations or project construction; general economic, market or business conditions; and other factors and uncertainties inherent in the marketing, transportation, terminalling, gathering and storage of crude oil and liquefied petroleum gas discussed in the Partnerships filings with the Securities and Exchange Commission.</w:t>
      </w:r>
    </w:p>
    <w:p>
      <w:pPr>
        <w:pStyle w:val="TextBody"/>
        <w:spacing w:before="0" w:after="240"/>
        <w:ind w:left="0" w:right="0" w:hanging="0"/>
        <w:jc w:val="center"/>
        <w:rPr>
          <w:rFonts w:ascii="Times New Roman" w:hAnsi="Times New Roman"/>
          <w:sz w:val="17"/>
        </w:rPr>
      </w:pPr>
      <w:r>
        <w:rPr>
          <w:rFonts w:ascii="Times New Roman" w:hAnsi="Times New Roman"/>
          <w:sz w:val="17"/>
        </w:rPr>
        <w:t>###</w:t>
      </w:r>
    </w:p>
    <w:p>
      <w:pPr>
        <w:pStyle w:val="TextBody"/>
        <w:keepNext w:val="true"/>
        <w:pBdr/>
        <w:spacing w:before="0" w:after="24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333 Clay Street, Suite 1600         Houston, Texas 77002         713-646-4100  /  800-564-3036</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1528</Words>
  <CharactersWithSpaces>10236</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