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9, 2022</w:t>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1421" w:right="359" w:bottom="1440" w:gutter="0" w:footer="0" w:header="0"/>
        </w:sectPr>
      </w:pPr>
    </w:p>
    <w:p>
      <w:pPr>
        <w:spacing w:after="0" w:line="3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(IRS Employer Identification No.)</w:t>
      </w:r>
    </w:p>
    <w:p>
      <w:pPr>
        <w:spacing w:after="0" w:line="3" w:lineRule="exact"/>
        <w:rPr>
          <w:sz w:val="24"/>
          <w:szCs w:val="24"/>
          <w:color w:val="auto"/>
        </w:rPr>
      </w:pPr>
    </w:p>
    <w:p>
      <w:pPr>
        <w:sectPr>
          <w:pgSz w:w="11900" w:h="16838" w:orient="portrait"/>
          <w:cols w:equalWidth="0" w:num="3">
            <w:col w:w="3900" w:space="720"/>
            <w:col w:w="2520" w:space="720"/>
            <w:col w:w="3360"/>
          </w:cols>
          <w:pgMar w:left="320" w:top="1421" w:right="359"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incorporation)</w:t>
      </w:r>
    </w:p>
    <w:p>
      <w:pPr>
        <w:spacing w:after="0" w:line="319"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220"/>
          </w:cols>
          <w:pgMar w:left="320" w:top="1421" w:right="35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553"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Trading Symbol(s)</w:t>
            </w:r>
          </w:p>
        </w:tc>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309"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1" w:lineRule="exact"/>
        <w:rPr>
          <w:sz w:val="24"/>
          <w:szCs w:val="24"/>
          <w:color w:val="auto"/>
        </w:rPr>
      </w:pPr>
    </w:p>
    <w:p>
      <w:pPr>
        <w:ind w:right="2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840740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64770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right="120" w:firstLine="180"/>
        <w:spacing w:after="0" w:line="257" w:lineRule="auto"/>
        <w:rPr>
          <w:sz w:val="20"/>
          <w:szCs w:val="20"/>
          <w:color w:val="auto"/>
        </w:rPr>
      </w:pPr>
      <w:r>
        <w:rPr>
          <w:rFonts w:ascii="Arial" w:cs="Arial" w:eastAsia="Arial" w:hAnsi="Arial"/>
          <w:sz w:val="18"/>
          <w:szCs w:val="18"/>
          <w:color w:val="auto"/>
        </w:rPr>
        <w:t>On February 9, 2022, the Registrant issued a press release reporting its fourth-quarter 2021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1280" w:type="dxa"/>
            <w:vAlign w:val="bottom"/>
            <w:gridSpan w:val="2"/>
          </w:tcPr>
          <w:p>
            <w:pPr>
              <w:ind w:left="660"/>
              <w:spacing w:after="0"/>
              <w:rPr>
                <w:sz w:val="20"/>
                <w:szCs w:val="20"/>
                <w:color w:val="auto"/>
              </w:rPr>
            </w:pPr>
            <w:r>
              <w:rPr>
                <w:rFonts w:ascii="Arial" w:cs="Arial" w:eastAsia="Arial" w:hAnsi="Arial"/>
                <w:sz w:val="16"/>
                <w:szCs w:val="16"/>
                <w:b w:val="1"/>
                <w:bCs w:val="1"/>
                <w:color w:val="auto"/>
              </w:rPr>
              <w:t>Exhibit</w:t>
            </w:r>
          </w:p>
        </w:tc>
        <w:tc>
          <w:tcPr>
            <w:tcW w:w="6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9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Number</w:t>
            </w:r>
          </w:p>
        </w:tc>
        <w:tc>
          <w:tcPr>
            <w:tcW w:w="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1200" w:type="dxa"/>
            <w:vAlign w:val="bottom"/>
            <w:tcBorders>
              <w:top w:val="single" w:sz="8" w:color="auto"/>
            </w:tcBorders>
          </w:tcPr>
          <w:p>
            <w:pPr>
              <w:jc w:val="right"/>
              <w:ind w:right="36"/>
              <w:spacing w:after="0" w:line="185" w:lineRule="exact"/>
              <w:rPr>
                <w:sz w:val="20"/>
                <w:szCs w:val="20"/>
                <w:color w:val="auto"/>
              </w:rPr>
            </w:pPr>
            <w:r>
              <w:rPr>
                <w:rFonts w:ascii="Arial" w:cs="Arial" w:eastAsia="Arial" w:hAnsi="Arial"/>
                <w:sz w:val="18"/>
                <w:szCs w:val="18"/>
                <w:color w:val="auto"/>
              </w:rPr>
              <w:t>99.1</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680" w:type="dxa"/>
            <w:vAlign w:val="bottom"/>
            <w:tcBorders>
              <w:top w:val="single" w:sz="8" w:color="auto"/>
            </w:tcBorders>
            <w:gridSpan w:val="2"/>
          </w:tcPr>
          <w:p>
            <w:pPr>
              <w:spacing w:after="0" w:line="185"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February 9, 2022</w:t>
              </w:r>
            </w:hyperlink>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gridSpan w:val="2"/>
          </w:tcPr>
          <w:p>
            <w:pPr>
              <w:jc w:val="right"/>
              <w:ind w:right="56"/>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7"/>
        </w:trPr>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40" w:type="dxa"/>
            <w:vAlign w:val="bottom"/>
            <w:gridSpan w:val="3"/>
          </w:tcPr>
          <w:p>
            <w:pPr>
              <w:jc w:val="right"/>
              <w:ind w:right="3539"/>
              <w:spacing w:after="0"/>
              <w:rPr>
                <w:sz w:val="20"/>
                <w:szCs w:val="20"/>
                <w:color w:val="auto"/>
              </w:rPr>
            </w:pPr>
            <w:r>
              <w:rPr>
                <w:rFonts w:ascii="Arial" w:cs="Arial" w:eastAsia="Arial" w:hAnsi="Arial"/>
                <w:sz w:val="18"/>
                <w:szCs w:val="18"/>
                <w:color w:val="auto"/>
              </w:rPr>
              <w:t>2</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700" w:firstLine="18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PLAINS ALL AMERICAN PIPELINE, L.P.</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PAA GP LLC, its general partner</w:t>
            </w:r>
          </w:p>
        </w:tc>
      </w:tr>
      <w:tr>
        <w:trPr>
          <w:trHeight w:val="500"/>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Plains AAP, L.P., its sole member</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Plains All American GP LLC, its general partner</w:t>
            </w:r>
          </w:p>
        </w:tc>
      </w:tr>
      <w:tr>
        <w:trPr>
          <w:trHeight w:val="499"/>
        </w:trPr>
        <w:tc>
          <w:tcPr>
            <w:tcW w:w="3100" w:type="dxa"/>
            <w:vAlign w:val="bottom"/>
          </w:tcPr>
          <w:p>
            <w:pPr>
              <w:spacing w:after="0"/>
              <w:rPr>
                <w:sz w:val="20"/>
                <w:szCs w:val="20"/>
                <w:color w:val="auto"/>
              </w:rPr>
            </w:pPr>
            <w:r>
              <w:rPr>
                <w:rFonts w:ascii="Arial" w:cs="Arial" w:eastAsia="Arial" w:hAnsi="Arial"/>
                <w:sz w:val="18"/>
                <w:szCs w:val="18"/>
                <w:color w:val="auto"/>
              </w:rPr>
              <w:t>Date: February 9, 2022</w:t>
            </w:r>
          </w:p>
        </w:tc>
        <w:tc>
          <w:tcPr>
            <w:tcW w:w="8100" w:type="dxa"/>
            <w:vAlign w:val="bottom"/>
            <w:gridSpan w:val="3"/>
          </w:tcPr>
          <w:p>
            <w:pPr>
              <w:ind w:left="1420"/>
              <w:spacing w:after="0"/>
              <w:rPr>
                <w:sz w:val="20"/>
                <w:szCs w:val="20"/>
                <w:color w:val="auto"/>
              </w:rPr>
            </w:pPr>
            <w:r>
              <w:rPr>
                <w:rFonts w:ascii="Arial" w:cs="Arial" w:eastAsia="Arial" w:hAnsi="Arial"/>
                <w:sz w:val="18"/>
                <w:szCs w:val="18"/>
                <w:color w:val="auto"/>
              </w:rPr>
              <w:t>By:  /s/ Sharon Spurlin</w:t>
            </w:r>
          </w:p>
        </w:tc>
      </w:tr>
      <w:tr>
        <w:trPr>
          <w:trHeight w:val="222"/>
        </w:trPr>
        <w:tc>
          <w:tcPr>
            <w:tcW w:w="3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Sharon Spurlin</w:t>
            </w:r>
          </w:p>
        </w:tc>
      </w:tr>
      <w:tr>
        <w:trPr>
          <w:trHeight w:val="230"/>
        </w:trPr>
        <w:tc>
          <w:tcPr>
            <w:tcW w:w="3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5580" w:type="dxa"/>
            <w:vAlign w:val="bottom"/>
          </w:tcPr>
          <w:p>
            <w:pPr>
              <w:ind w:left="160"/>
              <w:spacing w:after="0"/>
              <w:rPr>
                <w:sz w:val="20"/>
                <w:szCs w:val="20"/>
                <w:color w:val="auto"/>
              </w:rPr>
            </w:pPr>
            <w:r>
              <w:rPr>
                <w:rFonts w:ascii="Arial" w:cs="Arial" w:eastAsia="Arial" w:hAnsi="Arial"/>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445770</wp:posOffset>
            </wp:positionV>
            <wp:extent cx="4946015" cy="779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6015"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Plains All American Reports Fourth-Quarter and Full-Year 2021 Results</w:t>
      </w:r>
    </w:p>
    <w:p>
      <w:pPr>
        <w:spacing w:after="0" w:line="251"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(Houston — February 9, 2022) Plains All American Pipeline, L.P. (Nasdaq: PAA) and Plains GP Holdings (Nasdaq: PAGP) today reported fourth-quarter and full-year 2021 results and provided the following updates: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Highlights</w:t>
      </w:r>
    </w:p>
    <w:p>
      <w:pPr>
        <w:spacing w:after="0" w:line="297" w:lineRule="exact"/>
        <w:rPr>
          <w:sz w:val="20"/>
          <w:szCs w:val="20"/>
          <w:color w:val="auto"/>
        </w:rPr>
      </w:pPr>
    </w:p>
    <w:p>
      <w:pPr>
        <w:ind w:left="660" w:right="38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Reported fourth-quarter and full-year 2021 Net income attributable to PAA of $450 million and $593 million, respectively, and 2021 Net cash provided by operating activities of $635 million and $1,996 million, respectively</w:t>
      </w:r>
    </w:p>
    <w:p>
      <w:pPr>
        <w:spacing w:after="0" w:line="248"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Reported fourth-quarter and full-year 2021 Adjusted EBITDA attributable to PAA of $564 million and $2,196 million, respectively</w:t>
      </w:r>
    </w:p>
    <w:p>
      <w:pPr>
        <w:spacing w:after="0" w:line="269" w:lineRule="exact"/>
        <w:rPr>
          <w:rFonts w:ascii="Arial" w:cs="Arial" w:eastAsia="Arial" w:hAnsi="Arial"/>
          <w:sz w:val="22"/>
          <w:szCs w:val="22"/>
          <w:color w:val="auto"/>
        </w:rPr>
      </w:pPr>
    </w:p>
    <w:p>
      <w:pPr>
        <w:ind w:left="660" w:right="1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Generated full-year 2021 Free Cash Flow after Distributions, including $875 million of net asset sales proceeds, of $1.65 billion, or $600 million above initial February 2021 expectations</w:t>
      </w:r>
    </w:p>
    <w:p>
      <w:pPr>
        <w:spacing w:after="0" w:line="270" w:lineRule="exact"/>
        <w:rPr>
          <w:rFonts w:ascii="Arial" w:cs="Arial" w:eastAsia="Arial" w:hAnsi="Arial"/>
          <w:sz w:val="22"/>
          <w:szCs w:val="22"/>
          <w:color w:val="auto"/>
        </w:rPr>
      </w:pPr>
    </w:p>
    <w:p>
      <w:pPr>
        <w:ind w:left="660" w:right="50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Reduced total debt by approximately $1 billion and repurchased approximately $175 million of PAA common units (approximately 2.5% of common equity float) during 2021</w:t>
      </w:r>
    </w:p>
    <w:p>
      <w:pPr>
        <w:spacing w:after="0" w:line="27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6"/>
          <w:szCs w:val="16"/>
          <w:color w:val="auto"/>
        </w:rPr>
        <w:t>Furnished full-year 2022 Adjusted EBITDA attributable to PAA and Free Cash Flow guidance of +/- $2.2 billion and +/- $1.4 billion,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Update</w:t>
      </w:r>
    </w:p>
    <w:p>
      <w:pPr>
        <w:spacing w:after="0" w:line="256"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Plains remains focused on maximizing Free Cash Flow and allocating it through a balanced approach, with a continued near-team prioritization towards debt reduction while increasing cash returned to our equity holders over time. As a result of meaningful progress reducing debt and an improved business outlook, the company plans to continue increasing cash returned to equity holders through a combination of distribution growth and discretionary common equity repurchases under the $500 million repurchase authorization. Plains has repurchased approximately $228 million of common equity, or 24.3 million common units at an average price of $9.40 since the program was established in November 2020.</w:t>
      </w: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our first quarter 2022 distribution payable in May 2022, management intends to recommend to the Board of Directors of PAA GP Holdings LLC (“the Plains Board”) an increase to PAA’s and PAGP’s annualized distribution from $0.72 to $0.87 per common unit and Class A share. Consistent with past practice, the Plains Board will consider management’s recommendation prior to its approval and declaration of the distribution for the first quarter of 2022.</w:t>
      </w:r>
    </w:p>
    <w:p>
      <w:pPr>
        <w:spacing w:after="0" w:line="214"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“2021 was a year of solid execution, maximizing Free Cash Flow, reducing absolute levels of debt, returning cash to our equity holders, optimizing our business and advancing our sustainability efforts,” stated Willie Chiang, Chairman and CEO of Plains. “Looking forward, Plains is well positioned to generate significant cash flow on a multi-year basis. The fundamentals supporting our business have meaningfully improved with the Permian Basin positioned to drive U.S. production growth and Plains is well positioned to service this growth. We remain focused on allocating our cash flow in a balanced manner, prioritizing debt reduction in the near-term while increasing cash returned to our equity holders over time. Today’s capital allocation update is a positive step in that direction.”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Twelve Months Ended</w:t>
            </w:r>
          </w:p>
        </w:tc>
        <w:tc>
          <w:tcPr>
            <w:tcW w:w="9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20" w:type="dxa"/>
            <w:vAlign w:val="bottom"/>
          </w:tcPr>
          <w:p>
            <w:pPr>
              <w:jc w:val="right"/>
              <w:ind w:right="1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Net income/(loss) attributable to PAA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Diluted net income/(loss) per common unit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1,996</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1,514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 per common unit declared for the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6"/>
        </w:trPr>
        <w:tc>
          <w:tcPr>
            <w:tcW w:w="3880" w:type="dxa"/>
            <w:vAlign w:val="bottom"/>
            <w:tcBorders>
              <w:bottom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ind w:left="340" w:right="20" w:hanging="332"/>
        <w:spacing w:after="0" w:line="238" w:lineRule="auto"/>
        <w:tabs>
          <w:tab w:leader="none" w:pos="328"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Reported results for the twelve months ended December 31, 2021 include aggregate non-cash asset impairments of approximately $695 million related to the sale of our gas storage assets and the write-down of certain crude oil terminal assets. Reported results for the twelve months ended December 31, 2020 include aggregate non-cash goodwill and asset impairments and the write-down of certain of our investments in unconsolidated entities totaling $3.4 billion representing a twelve-month net loss of $4.69 after tax per common unit.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Twelve Months Ended</w:t>
            </w:r>
          </w:p>
        </w:tc>
        <w:tc>
          <w:tcPr>
            <w:tcW w:w="9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1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9"/>
                <w:szCs w:val="9"/>
                <w:b w:val="1"/>
                <w:bCs w:val="1"/>
                <w:i w:val="1"/>
                <w:iCs w:val="1"/>
                <w:color w:val="auto"/>
              </w:rPr>
              <w:t>(1)</w:t>
            </w: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net income attributable to PAA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Diluted adjusted net income per common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Implied DCF per common unit and common unit equivalent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160" w:type="dxa"/>
            <w:vAlign w:val="bottom"/>
            <w:gridSpan w:val="3"/>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Free Cash Flow after Distributions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3" w:lineRule="exact"/>
        <w:rPr>
          <w:sz w:val="20"/>
          <w:szCs w:val="20"/>
          <w:color w:val="auto"/>
        </w:rPr>
      </w:pPr>
    </w:p>
    <w:p>
      <w:pPr>
        <w:jc w:val="both"/>
        <w:ind w:left="340" w:right="260" w:hanging="332"/>
        <w:spacing w:after="0" w:line="269"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5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Excludes amounts attributable to noncontrolling interests in the Plains Oryx Permian Basin LLC joint venture and Red River Pipeline LLC.</w:t>
      </w:r>
    </w:p>
    <w:p>
      <w:pPr>
        <w:spacing w:after="0" w:line="68" w:lineRule="exact"/>
        <w:rPr>
          <w:rFonts w:ascii="Arial" w:cs="Arial" w:eastAsia="Arial" w:hAnsi="Arial"/>
          <w:sz w:val="22"/>
          <w:szCs w:val="22"/>
          <w:color w:val="auto"/>
          <w:vertAlign w:val="superscript"/>
        </w:rPr>
      </w:pPr>
    </w:p>
    <w:p>
      <w:pPr>
        <w:ind w:left="5440" w:hanging="106"/>
        <w:spacing w:after="0"/>
        <w:tabs>
          <w:tab w:leader="none" w:pos="5440" w:val="left"/>
        </w:tabs>
        <w:numPr>
          <w:ilvl w:val="1"/>
          <w:numId w:val="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1"/>
                <w:szCs w:val="21"/>
                <w:b w:val="1"/>
                <w:bCs w:val="1"/>
                <w:color w:val="auto"/>
                <w:vertAlign w:val="superscript"/>
              </w:rPr>
              <w:t>(1) (2)</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420" w:type="dxa"/>
            <w:vAlign w:val="bottom"/>
          </w:tcPr>
          <w:p>
            <w:pPr>
              <w:spacing w:after="0"/>
              <w:rPr>
                <w:sz w:val="17"/>
                <w:szCs w:val="17"/>
                <w:color w:val="auto"/>
              </w:rPr>
            </w:pPr>
          </w:p>
        </w:tc>
        <w:tc>
          <w:tcPr>
            <w:tcW w:w="1340" w:type="dxa"/>
            <w:vAlign w:val="bottom"/>
          </w:tcPr>
          <w:p>
            <w:pPr>
              <w:jc w:val="right"/>
              <w:ind w:right="61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2021</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Three Months Ended December 31, 2020</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465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2020 period</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58 %</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b w:val="1"/>
                <w:bCs w:val="1"/>
                <w:i w:val="1"/>
                <w:iCs w:val="1"/>
                <w:color w:val="auto"/>
                <w:w w:val="89"/>
              </w:rPr>
              <w:t>Percentage change in Segment Adjusted EBITDA versus 2020 period further adjusted for impact of</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6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60 %</w:t>
            </w:r>
          </w:p>
        </w:tc>
        <w:tc>
          <w:tcPr>
            <w:tcW w:w="0" w:type="dxa"/>
            <w:vAlign w:val="bottom"/>
          </w:tcPr>
          <w:p>
            <w:pPr>
              <w:spacing w:after="0"/>
              <w:rPr>
                <w:sz w:val="1"/>
                <w:szCs w:val="1"/>
                <w:color w:val="auto"/>
              </w:rPr>
            </w:pPr>
          </w:p>
        </w:tc>
      </w:tr>
      <w:tr>
        <w:trPr>
          <w:trHeight w:val="203"/>
        </w:trPr>
        <w:tc>
          <w:tcPr>
            <w:tcW w:w="7600" w:type="dxa"/>
            <w:vAlign w:val="bottom"/>
            <w:gridSpan w:val="2"/>
          </w:tcPr>
          <w:p>
            <w:pPr>
              <w:ind w:left="180"/>
              <w:spacing w:after="0" w:line="202" w:lineRule="exact"/>
              <w:rPr>
                <w:sz w:val="20"/>
                <w:szCs w:val="20"/>
                <w:color w:val="auto"/>
              </w:rPr>
            </w:pPr>
            <w:r>
              <w:rPr>
                <w:rFonts w:ascii="Arial" w:cs="Arial" w:eastAsia="Arial" w:hAnsi="Arial"/>
                <w:sz w:val="18"/>
                <w:szCs w:val="18"/>
                <w:b w:val="1"/>
                <w:bCs w:val="1"/>
                <w:i w:val="1"/>
                <w:iCs w:val="1"/>
                <w:color w:val="auto"/>
              </w:rPr>
              <w:t xml:space="preserve">divested assets </w:t>
            </w:r>
            <w:r>
              <w:rPr>
                <w:rFonts w:ascii="Arial" w:cs="Arial" w:eastAsia="Arial" w:hAnsi="Arial"/>
                <w:sz w:val="23"/>
                <w:szCs w:val="23"/>
                <w:b w:val="1"/>
                <w:bCs w:val="1"/>
                <w:i w:val="1"/>
                <w:iCs w:val="1"/>
                <w:color w:val="auto"/>
                <w:vertAlign w:val="superscript"/>
              </w:rPr>
              <w:t>(3)</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8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6"/>
                <w:szCs w:val="16"/>
                <w:b w:val="1"/>
                <w:bCs w:val="1"/>
                <w:color w:val="auto"/>
              </w:rPr>
              <w:t xml:space="preserve">Segment Adjusted EBITDA </w:t>
            </w:r>
            <w:r>
              <w:rPr>
                <w:rFonts w:ascii="Arial" w:cs="Arial" w:eastAsia="Arial" w:hAnsi="Arial"/>
                <w:sz w:val="21"/>
                <w:szCs w:val="21"/>
                <w:b w:val="1"/>
                <w:bCs w:val="1"/>
                <w:color w:val="auto"/>
                <w:vertAlign w:val="superscript"/>
              </w:rPr>
              <w:t>(1) (2)</w:t>
            </w:r>
          </w:p>
        </w:tc>
        <w:tc>
          <w:tcPr>
            <w:tcW w:w="0" w:type="dxa"/>
            <w:vAlign w:val="bottom"/>
          </w:tcPr>
          <w:p>
            <w:pPr>
              <w:spacing w:after="0"/>
              <w:rPr>
                <w:sz w:val="1"/>
                <w:szCs w:val="1"/>
                <w:color w:val="auto"/>
              </w:rPr>
            </w:pPr>
          </w:p>
        </w:tc>
      </w:tr>
      <w:tr>
        <w:trPr>
          <w:trHeight w:val="207"/>
        </w:trPr>
        <w:tc>
          <w:tcPr>
            <w:tcW w:w="38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Crude Oil</w:t>
            </w:r>
          </w:p>
        </w:tc>
        <w:tc>
          <w:tcPr>
            <w:tcW w:w="420" w:type="dxa"/>
            <w:vAlign w:val="bottom"/>
          </w:tcPr>
          <w:p>
            <w:pPr>
              <w:spacing w:after="0"/>
              <w:rPr>
                <w:sz w:val="17"/>
                <w:szCs w:val="17"/>
                <w:color w:val="auto"/>
              </w:rPr>
            </w:pPr>
          </w:p>
        </w:tc>
        <w:tc>
          <w:tcPr>
            <w:tcW w:w="1340" w:type="dxa"/>
            <w:vAlign w:val="bottom"/>
          </w:tcPr>
          <w:p>
            <w:pPr>
              <w:jc w:val="right"/>
              <w:ind w:right="612"/>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51"/>
        </w:trPr>
        <w:tc>
          <w:tcPr>
            <w:tcW w:w="7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Twelve Months Ended December 31, 2021</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1,909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Twelve Months Ended December 31, 2020</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2,216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Percentage change in Segment Adjusted EBITDA versus 2020 period</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gridSpan w:val="2"/>
            <w:vMerge w:val="restart"/>
          </w:tcPr>
          <w:p>
            <w:pPr>
              <w:ind w:left="20"/>
              <w:spacing w:after="0" w:line="163" w:lineRule="exact"/>
              <w:rPr>
                <w:sz w:val="20"/>
                <w:szCs w:val="20"/>
                <w:color w:val="auto"/>
              </w:rPr>
            </w:pPr>
            <w:r>
              <w:rPr>
                <w:rFonts w:ascii="Arial" w:cs="Arial" w:eastAsia="Arial" w:hAnsi="Arial"/>
                <w:sz w:val="18"/>
                <w:szCs w:val="18"/>
                <w:b w:val="1"/>
                <w:bCs w:val="1"/>
                <w:i w:val="1"/>
                <w:iCs w:val="1"/>
                <w:color w:val="auto"/>
                <w:w w:val="89"/>
              </w:rPr>
              <w:t>Percentage change in Segment Adjusted EBITDA versus 2020 period further adjusted for impact of</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6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0" w:type="dxa"/>
            <w:vAlign w:val="bottom"/>
          </w:tcPr>
          <w:p>
            <w:pPr>
              <w:spacing w:after="0"/>
              <w:rPr>
                <w:sz w:val="1"/>
                <w:szCs w:val="1"/>
                <w:color w:val="auto"/>
              </w:rPr>
            </w:pPr>
          </w:p>
        </w:tc>
      </w:tr>
      <w:tr>
        <w:trPr>
          <w:trHeight w:val="203"/>
        </w:trPr>
        <w:tc>
          <w:tcPr>
            <w:tcW w:w="7600" w:type="dxa"/>
            <w:vAlign w:val="bottom"/>
            <w:gridSpan w:val="2"/>
          </w:tcPr>
          <w:p>
            <w:pPr>
              <w:ind w:left="180"/>
              <w:spacing w:after="0" w:line="202" w:lineRule="exact"/>
              <w:rPr>
                <w:sz w:val="20"/>
                <w:szCs w:val="20"/>
                <w:color w:val="auto"/>
              </w:rPr>
            </w:pPr>
            <w:r>
              <w:rPr>
                <w:rFonts w:ascii="Arial" w:cs="Arial" w:eastAsia="Arial" w:hAnsi="Arial"/>
                <w:sz w:val="18"/>
                <w:szCs w:val="18"/>
                <w:b w:val="1"/>
                <w:bCs w:val="1"/>
                <w:i w:val="1"/>
                <w:iCs w:val="1"/>
                <w:color w:val="auto"/>
              </w:rPr>
              <w:t xml:space="preserve">divested assets </w:t>
            </w:r>
            <w:r>
              <w:rPr>
                <w:rFonts w:ascii="Arial" w:cs="Arial" w:eastAsia="Arial" w:hAnsi="Arial"/>
                <w:sz w:val="23"/>
                <w:szCs w:val="23"/>
                <w:b w:val="1"/>
                <w:bCs w:val="1"/>
                <w:i w:val="1"/>
                <w:iCs w:val="1"/>
                <w:color w:val="auto"/>
                <w:vertAlign w:val="superscript"/>
              </w:rPr>
              <w:t>(3)</w:t>
            </w: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3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65" w:lineRule="exact"/>
        <w:rPr>
          <w:sz w:val="20"/>
          <w:szCs w:val="20"/>
          <w:color w:val="auto"/>
        </w:rPr>
      </w:pPr>
    </w:p>
    <w:p>
      <w:pPr>
        <w:ind w:left="340" w:right="40" w:hanging="332"/>
        <w:spacing w:after="0"/>
        <w:tabs>
          <w:tab w:leader="none" w:pos="34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 xml:space="preserve">During the fourth quarter of 2021, we modified our definition of Segment Adjusted EBITDA to exclude amounts attributable to noncontrolling interests. </w:t>
      </w:r>
      <w:r>
        <w:rPr>
          <w:rFonts w:ascii="Arial" w:cs="Arial" w:eastAsia="Arial" w:hAnsi="Arial"/>
          <w:sz w:val="17"/>
          <w:szCs w:val="17"/>
          <w:color w:val="auto"/>
        </w:rPr>
        <w:t>In connection with the Plains Oryx Permian Basin joint venture formation in October 2021, our Chief Operating Decision Maker (“CODM”) determined this modification resulted in amounts that were more meaningful to evaluate segment performance. Amounts for prior periods have been recast to reflect this modification.</w:t>
      </w:r>
    </w:p>
    <w:p>
      <w:pPr>
        <w:spacing w:after="0" w:line="71"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2021, we reorganized our historical operating segments: Transportation, Facilities and Supply and Logistics into two</w:t>
      </w:r>
    </w:p>
    <w:p>
      <w:pPr>
        <w:spacing w:after="0" w:line="1" w:lineRule="exact"/>
        <w:rPr>
          <w:rFonts w:ascii="Arial" w:cs="Arial" w:eastAsia="Arial" w:hAnsi="Arial"/>
          <w:sz w:val="22"/>
          <w:szCs w:val="22"/>
          <w:color w:val="auto"/>
          <w:vertAlign w:val="superscript"/>
        </w:rPr>
      </w:pPr>
    </w:p>
    <w:p>
      <w:pPr>
        <w:ind w:left="340" w:right="120"/>
        <w:spacing w:after="0" w:line="270" w:lineRule="auto"/>
        <w:rPr>
          <w:rFonts w:ascii="Arial" w:cs="Arial" w:eastAsia="Arial" w:hAnsi="Arial"/>
          <w:sz w:val="22"/>
          <w:szCs w:val="22"/>
          <w:color w:val="auto"/>
          <w:vertAlign w:val="superscript"/>
        </w:rPr>
      </w:pPr>
      <w:r>
        <w:rPr>
          <w:rFonts w:ascii="Arial" w:cs="Arial" w:eastAsia="Arial" w:hAnsi="Arial"/>
          <w:sz w:val="17"/>
          <w:szCs w:val="17"/>
          <w:color w:val="auto"/>
        </w:rPr>
        <w:t>operating segments: Crude Oil and Natural Gas Liquids (“NGL”). The change in our segments stems from several factors including, (i) a multi-year transition in the midstream energy industry driven by increased competition that has reduced the stand alone earnings opportunities of our supply and logistics activities such that those activities now function as a business development effort to help maximize the utilization of our Crude Oil and NGL assets and (ii) internal changes regarding the oversight and reporting of our assets and related results of operations. All segment data and related disclosures for earlier periods presented herein have been recast to reflect the new segment reporting structure.</w:t>
      </w:r>
    </w:p>
    <w:p>
      <w:pPr>
        <w:spacing w:after="0" w:line="72" w:lineRule="exact"/>
        <w:rPr>
          <w:rFonts w:ascii="Arial" w:cs="Arial" w:eastAsia="Arial" w:hAnsi="Arial"/>
          <w:sz w:val="22"/>
          <w:szCs w:val="22"/>
          <w:color w:val="auto"/>
          <w:vertAlign w:val="superscript"/>
        </w:rPr>
      </w:pPr>
    </w:p>
    <w:p>
      <w:pPr>
        <w:ind w:left="340" w:right="180" w:hanging="332"/>
        <w:spacing w:after="0" w:line="238" w:lineRule="auto"/>
        <w:tabs>
          <w:tab w:leader="none" w:pos="32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Estimated impact of divestitures completed during 2020 and 2021, assuming an effective date of January 1, 2020. Divested assets primarily included certain Los Angeles Basin crude oil storage terminals, natural gas storage facilities and the sale of a portion of our interest in a joint venture pipeline, all of which were previously included in our Crude Oil segment, and the sale of certain NGL storage terminals previously reported in our NGL segment.</w:t>
      </w:r>
    </w:p>
    <w:p>
      <w:pPr>
        <w:spacing w:after="0" w:line="200" w:lineRule="exact"/>
        <w:rPr>
          <w:sz w:val="20"/>
          <w:szCs w:val="20"/>
          <w:color w:val="auto"/>
        </w:rPr>
      </w:pPr>
    </w:p>
    <w:p>
      <w:pPr>
        <w:spacing w:after="0" w:line="24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Fourth-quarter 2021 Crude Oil Segment Adjusted EBITDA decreased 9% versus comparable 2020 results primarily due to less favorable market conditions for our merchant activities (the majority associated with contango margins that benefited fourth-quarter 2020, the balance reflecting the continued compression of regional basis differentials). In addition, fourth-quarter 2021 was negatively impacted by the sale of our natural gas storage business, which closed on August 2, 2021 and is reported within our Crude Oil Segment. These impacts were partially offset by higher volumes across our pipeline systems in the 2021 period, particularly in the Permian (largely associated with higher pipeline gathering volumes and higher volumes on certain long-haul systems delivering to Cushing and Corpus Christi).</w:t>
      </w:r>
    </w:p>
    <w:p>
      <w:pPr>
        <w:spacing w:after="0" w:line="219"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Fourth-quarter 2021 NGL Segment Adjusted EBITDA increased 58% versus comparable 2020 results primarily due to improved NGL sales margins versus fourth-quarter 2020. These benefits were partially offset by the impact of an operational incident at our Fort Saskatchewan facility that occurred in late September.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56"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joint conference call at 4:00 p.m. CT on Wednesday, February 9, 2022 to discuss the following items:</w:t>
      </w:r>
    </w:p>
    <w:p>
      <w:pPr>
        <w:spacing w:after="0" w:line="171"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PAA’s fourth-quarter and full-year 2021 performance;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access the internet webcast, please go to https://edge.media-server.com/mmc/p/69xonydi.</w:t>
      </w:r>
    </w:p>
    <w:p>
      <w:pPr>
        <w:spacing w:after="0" w:line="252"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17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w:t>
      </w:r>
    </w:p>
    <w:p>
      <w:pPr>
        <w:spacing w:after="0" w:line="21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primary additional measures used by management are earnings before interest, taxes, depreciation and amortization (including our proportionate share of depreciation and amortization and write-downs related to cancelled projects of unconsolidated entities), gains and losses on asset sales and asset impairments, goodwill impairment losses and gains on and impairments of investments in unconsolidated entities, adjusted for certain selected items impacting comparability (“Adjusted EBITDA”), Adjusted EBITDA attributable to PAA, Implied Distributable Cash Flow (“DCF”), Free Cash Flow and Free Cash Flow after Distributions.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Income/(Loss),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60"/>
          </w:cols>
          <w:pgMar w:left="320" w:top="368"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Measures</w:t>
      </w:r>
    </w:p>
    <w:p>
      <w:pPr>
        <w:spacing w:after="0" w:line="25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and/or (v) 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All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Measures</w:t>
      </w:r>
    </w:p>
    <w:p>
      <w:pPr>
        <w:spacing w:after="0" w:line="25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Used in Investing Activities, which primarily includes acquisition, investment and maintenance capital expenditures, investments in unconsolidated entities and the impact from the purchase and sale of linefill and base gas, net of proceeds from the sales of assets and further impacted by cash received from or paid to noncontrolling interests. Free Cash Flow is further reduced by cash distributions paid to our preferred and common unitholders to arrive at Free Cash Flow after Distributions.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6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w:t>
            </w:r>
          </w:p>
        </w:tc>
      </w:tr>
      <w:tr>
        <w:trPr>
          <w:trHeight w:val="216"/>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20,431</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9"/>
        </w:trPr>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impairment losses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41,192</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25,665</w:t>
            </w:r>
          </w:p>
        </w:tc>
      </w:tr>
      <w:tr>
        <w:trPr>
          <w:trHeight w:val="216"/>
        </w:trPr>
        <w:tc>
          <w:tcPr>
            <w:tcW w:w="6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(2,375)</w:t>
            </w:r>
          </w:p>
        </w:tc>
      </w:tr>
      <w:tr>
        <w:trPr>
          <w:trHeight w:val="216"/>
        </w:trPr>
        <w:tc>
          <w:tcPr>
            <w:tcW w:w="6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Gain on/(impairment of) investments in unconsolidated entities,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196"/>
        </w:trPr>
        <w:tc>
          <w:tcPr>
            <w:tcW w:w="6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(2,599)</w:t>
            </w: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(expense)/benefit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196"/>
        </w:trPr>
        <w:tc>
          <w:tcPr>
            <w:tcW w:w="6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(2,580)</w:t>
            </w: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NET INCOME/(LOSS) ATTRIBUTABLE TO PAA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6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NET INCOME/(LOSS) PER COMMON UNIT: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income/(loss) allocated to common unitholders — Basic and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Basic and diluted weighted average common units outstanding</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55"/>
        </w:trPr>
        <w:tc>
          <w:tcPr>
            <w:tcW w:w="6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 and diluted net income/(loss) per common unit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Current assets (including Cash and cash equivalents of $449 and $22, respectively)</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6,137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Investments in unconsolidated entities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3,805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operating lease right-of-use assets, net</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assets, net</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2,211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28,609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6,232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liabilities and deferred credits</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830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2,838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partners’ capital</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12,810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color w:val="auto"/>
              </w:rPr>
              <w:t>Total liabilities and partners’ capital</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28,609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DEBT CAPITALIZATION RATIOS</w:t>
            </w: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472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19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Long-term debt</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8,398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9,382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9,220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10,213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8,398</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9,972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9"/>
              </w:rPr>
              <w:t>Total book capitalization excluding noncontrolling interests (“Total book capitalization”)</w:t>
            </w: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18,370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18,975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7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book capitalization, including short-term debt</w:t>
            </w:r>
          </w:p>
        </w:tc>
        <w:tc>
          <w:tcPr>
            <w:tcW w:w="2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2"/>
              <w:spacing w:after="0" w:line="203" w:lineRule="exact"/>
              <w:rPr>
                <w:sz w:val="20"/>
                <w:szCs w:val="20"/>
                <w:color w:val="auto"/>
              </w:rPr>
            </w:pPr>
            <w:r>
              <w:rPr>
                <w:rFonts w:ascii="Arial" w:cs="Arial" w:eastAsia="Arial" w:hAnsi="Arial"/>
                <w:sz w:val="18"/>
                <w:szCs w:val="18"/>
                <w:color w:val="auto"/>
              </w:rPr>
              <w:t>19,192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19,806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Long-term debt-to-total book capitalization</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1"/>
              </w:rPr>
              <w:t>- more -</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0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5"/>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700" w:type="dxa"/>
            <w:vAlign w:val="bottom"/>
            <w:gridSpan w:val="2"/>
          </w:tcPr>
          <w:p>
            <w:pPr>
              <w:ind w:left="1640"/>
              <w:spacing w:after="0"/>
              <w:rPr>
                <w:sz w:val="20"/>
                <w:szCs w:val="20"/>
                <w:color w:val="auto"/>
              </w:rPr>
            </w:pPr>
            <w:r>
              <w:rPr>
                <w:rFonts w:ascii="Arial" w:cs="Arial" w:eastAsia="Arial" w:hAnsi="Arial"/>
                <w:sz w:val="18"/>
                <w:szCs w:val="18"/>
                <w:b w:val="1"/>
                <w:bCs w:val="1"/>
                <w:color w:val="auto"/>
              </w:rPr>
              <w:t>333 Clay Street, Suite 1600</w:t>
            </w:r>
          </w:p>
        </w:tc>
        <w:tc>
          <w:tcPr>
            <w:tcW w:w="232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Houston, Texas 77002</w:t>
            </w:r>
          </w:p>
        </w:tc>
        <w:tc>
          <w:tcPr>
            <w:tcW w:w="27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713-646-4100 / 866-809-1291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INCOME/(LOSS)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4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2"/>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21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Net Income/(Loss) per Common Unit</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 attributable to PAA</w:t>
            </w:r>
          </w:p>
        </w:tc>
        <w:tc>
          <w:tcPr>
            <w:tcW w:w="740" w:type="dxa"/>
            <w:vAlign w:val="bottom"/>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(2,590)</w:t>
            </w: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to Series A preferred unitholders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Distributions to Series B preferred unitholders</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Net income/(loss) allocated to common unitholders</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30"/>
        </w:trPr>
        <w:tc>
          <w:tcPr>
            <w:tcW w:w="6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(2) (3)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16"/>
        </w:trPr>
        <w:tc>
          <w:tcPr>
            <w:tcW w:w="38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740" w:type="dxa"/>
            <w:vAlign w:val="bottom"/>
            <w:tcBorders>
              <w:bottom w:val="single" w:sz="8" w:color="auto"/>
            </w:tcBorders>
          </w:tcPr>
          <w:p>
            <w:pPr>
              <w:jc w:val="right"/>
              <w:ind w:right="55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1"/>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134" w:lineRule="exact"/>
        <w:rPr>
          <w:sz w:val="20"/>
          <w:szCs w:val="20"/>
          <w:color w:val="auto"/>
        </w:rPr>
      </w:pPr>
    </w:p>
    <w:p>
      <w:pPr>
        <w:ind w:left="340" w:right="200" w:hanging="332"/>
        <w:spacing w:after="0" w:line="238"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income/(loss)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3"/>
          <w:szCs w:val="23"/>
          <w:color w:val="auto"/>
          <w:vertAlign w:val="superscript"/>
        </w:rPr>
      </w:pPr>
    </w:p>
    <w:p>
      <w:pPr>
        <w:ind w:left="340" w:right="20" w:hanging="332"/>
        <w:spacing w:after="0" w:line="234"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net income/(loss) per common unit for the three and twelve months ended December 31, 2021 and 2020 as the effect was antidilutive or did not change the presentation of diluted net income/(loss) per common unit.</w:t>
      </w:r>
    </w:p>
    <w:p>
      <w:pPr>
        <w:spacing w:after="0" w:line="40" w:lineRule="exact"/>
        <w:rPr>
          <w:rFonts w:ascii="Arial" w:cs="Arial" w:eastAsia="Arial" w:hAnsi="Arial"/>
          <w:sz w:val="23"/>
          <w:szCs w:val="23"/>
          <w:color w:val="auto"/>
          <w:vertAlign w:val="superscript"/>
        </w:rPr>
      </w:pPr>
    </w:p>
    <w:p>
      <w:pPr>
        <w:ind w:left="340" w:right="280" w:hanging="332"/>
        <w:spacing w:after="0" w:line="242"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twelve months ended December 31, 2021 and 2020, the effect of equity-indexed compensation plan awards of less than 1 million was antidilutive, or did not change the presentation of diluted net income/(loss) per common unit.</w:t>
      </w:r>
    </w:p>
    <w:p>
      <w:pPr>
        <w:spacing w:after="0" w:line="188"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8" w:lineRule="exact"/>
        <w:rPr>
          <w:sz w:val="20"/>
          <w:szCs w:val="20"/>
          <w:color w:val="auto"/>
        </w:rPr>
      </w:pPr>
    </w:p>
    <w:tbl>
      <w:tblPr>
        <w:tblLayout w:type="fixed"/>
        <w:tblInd w:w="6240" w:type="dxa"/>
        <w:tblCellMar>
          <w:top w:w="0" w:type="dxa"/>
          <w:left w:w="0" w:type="dxa"/>
          <w:bottom w:w="0" w:type="dxa"/>
          <w:right w:w="0" w:type="dxa"/>
        </w:tblCellMar>
      </w:tblPr>
      <w:tr>
        <w:trPr>
          <w:trHeight w:val="161"/>
        </w:trPr>
        <w:tc>
          <w:tcPr>
            <w:tcW w:w="2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Twelve Months Ended</w:t>
            </w:r>
          </w:p>
        </w:tc>
      </w:tr>
      <w:tr>
        <w:trPr>
          <w:trHeight w:val="188"/>
        </w:trPr>
        <w:tc>
          <w:tcPr>
            <w:tcW w:w="760" w:type="dxa"/>
            <w:vAlign w:val="bottom"/>
          </w:tcPr>
          <w:p>
            <w:pPr>
              <w:spacing w:after="0"/>
              <w:rPr>
                <w:sz w:val="16"/>
                <w:szCs w:val="16"/>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Pr>
          <w:p>
            <w:pPr>
              <w:spacing w:after="0"/>
              <w:rPr>
                <w:sz w:val="16"/>
                <w:szCs w:val="16"/>
                <w:color w:val="auto"/>
              </w:rPr>
            </w:pPr>
          </w:p>
        </w:tc>
        <w:tc>
          <w:tcPr>
            <w:tcW w:w="1680" w:type="dxa"/>
            <w:vAlign w:val="bottom"/>
          </w:tcPr>
          <w:p>
            <w:pPr>
              <w:jc w:val="center"/>
              <w:ind w:right="688"/>
              <w:spacing w:after="0"/>
              <w:rPr>
                <w:sz w:val="20"/>
                <w:szCs w:val="20"/>
                <w:color w:val="auto"/>
              </w:rPr>
            </w:pPr>
            <w:r>
              <w:rPr>
                <w:rFonts w:ascii="Arial" w:cs="Arial" w:eastAsia="Arial" w:hAnsi="Arial"/>
                <w:sz w:val="14"/>
                <w:szCs w:val="14"/>
                <w:b w:val="1"/>
                <w:bCs w:val="1"/>
                <w:color w:val="auto"/>
                <w:w w:val="92"/>
              </w:rPr>
              <w:t>December 31,</w:t>
            </w:r>
          </w:p>
        </w:tc>
      </w:tr>
      <w:tr>
        <w:trPr>
          <w:trHeight w:val="181"/>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bl>
    <w:p>
      <w:pPr>
        <w:ind w:left="20"/>
        <w:spacing w:after="0"/>
        <w:rPr>
          <w:sz w:val="20"/>
          <w:szCs w:val="20"/>
          <w:color w:val="auto"/>
        </w:rPr>
      </w:pPr>
      <w:r>
        <w:rPr>
          <w:rFonts w:ascii="Arial" w:cs="Arial" w:eastAsia="Arial" w:hAnsi="Arial"/>
          <w:sz w:val="18"/>
          <w:szCs w:val="18"/>
          <w:b w:val="1"/>
          <w:bCs w:val="1"/>
          <w:color w:val="auto"/>
        </w:rPr>
        <w:t>Basic and 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income/(loss)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180"/>
        <w:spacing w:after="0" w:line="192" w:lineRule="auto"/>
        <w:rPr>
          <w:sz w:val="20"/>
          <w:szCs w:val="20"/>
          <w:color w:val="auto"/>
        </w:rPr>
      </w:pPr>
      <w:r>
        <w:rPr>
          <w:rFonts w:ascii="Arial" w:cs="Arial" w:eastAsia="Arial" w:hAnsi="Arial"/>
          <w:sz w:val="16"/>
          <w:szCs w:val="16"/>
          <w:color w:val="auto"/>
        </w:rPr>
        <w:t>Selected items impacting comparability - Adjusted net income attributable to PAA</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(2)</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A preferred unitholders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net income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Basic and diluted weighted average common units outstanding </w:t>
      </w:r>
      <w:r>
        <w:rPr>
          <w:rFonts w:ascii="Arial" w:cs="Arial" w:eastAsia="Arial" w:hAnsi="Arial"/>
          <w:sz w:val="23"/>
          <w:szCs w:val="23"/>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450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(2,590)</w:t>
            </w:r>
          </w:p>
        </w:tc>
      </w:tr>
      <w:tr>
        <w:trPr>
          <w:trHeight w:val="337"/>
        </w:trPr>
        <w:tc>
          <w:tcPr>
            <w:tcW w:w="520" w:type="dxa"/>
            <w:vAlign w:val="bottom"/>
          </w:tcPr>
          <w:p>
            <w:pPr>
              <w:jc w:val="right"/>
              <w:ind w:right="50"/>
              <w:spacing w:after="0"/>
              <w:rPr>
                <w:sz w:val="20"/>
                <w:szCs w:val="20"/>
                <w:color w:val="auto"/>
              </w:rPr>
            </w:pPr>
            <w:r>
              <w:rPr>
                <w:rFonts w:ascii="Arial" w:cs="Arial" w:eastAsia="Arial" w:hAnsi="Arial"/>
                <w:sz w:val="18"/>
                <w:szCs w:val="18"/>
                <w:color w:val="auto"/>
                <w:w w:val="85"/>
              </w:rPr>
              <w:t>(219)</w:t>
            </w: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r>
      <w:tr>
        <w:trPr>
          <w:trHeight w:val="222"/>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231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30"/>
        </w:trPr>
        <w:tc>
          <w:tcPr>
            <w:tcW w:w="5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5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5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4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180</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r>
      <w:tr>
        <w:trPr>
          <w:trHeight w:val="20"/>
        </w:trPr>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53"/>
        </w:trPr>
        <w:tc>
          <w:tcPr>
            <w:tcW w:w="520" w:type="dxa"/>
            <w:vAlign w:val="bottom"/>
          </w:tcPr>
          <w:p>
            <w:pPr>
              <w:jc w:val="right"/>
              <w:ind w:right="90"/>
              <w:spacing w:after="0"/>
              <w:rPr>
                <w:sz w:val="20"/>
                <w:szCs w:val="20"/>
                <w:color w:val="auto"/>
              </w:rPr>
            </w:pPr>
            <w:r>
              <w:rPr>
                <w:rFonts w:ascii="Arial" w:cs="Arial" w:eastAsia="Arial" w:hAnsi="Arial"/>
                <w:sz w:val="18"/>
                <w:szCs w:val="18"/>
                <w:color w:val="auto"/>
              </w:rPr>
              <w:t>709</w:t>
            </w:r>
          </w:p>
        </w:tc>
        <w:tc>
          <w:tcPr>
            <w:tcW w:w="4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-325120</wp:posOffset>
            </wp:positionV>
            <wp:extent cx="737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-479425</wp:posOffset>
            </wp:positionV>
            <wp:extent cx="737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-1071245</wp:posOffset>
            </wp:positionV>
            <wp:extent cx="737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3">
            <w:col w:w="6120" w:space="120"/>
            <w:col w:w="100" w:space="640"/>
            <w:col w:w="4260"/>
          </w:cols>
          <w:pgMar w:left="320" w:top="368" w:right="339" w:bottom="1440" w:gutter="0" w:footer="0" w:header="0"/>
          <w:type w:val="continuous"/>
        </w:sectPr>
      </w:pPr>
    </w:p>
    <w:p>
      <w:pPr>
        <w:spacing w:after="0" w:line="27" w:lineRule="exact"/>
        <w:rPr>
          <w:sz w:val="20"/>
          <w:szCs w:val="20"/>
          <w:color w:val="auto"/>
        </w:rPr>
      </w:pPr>
    </w:p>
    <w:p>
      <w:pPr>
        <w:ind w:left="20"/>
        <w:spacing w:after="0"/>
        <w:tabs>
          <w:tab w:leader="none" w:pos="6220" w:val="left"/>
          <w:tab w:leader="none" w:pos="6980" w:val="left"/>
          <w:tab w:leader="none" w:pos="7500" w:val="left"/>
          <w:tab w:leader="none" w:pos="8260" w:val="left"/>
          <w:tab w:leader="none" w:pos="8780" w:val="left"/>
          <w:tab w:leader="none" w:pos="9560" w:val="left"/>
          <w:tab w:leader="none" w:pos="10060" w:val="left"/>
          <w:tab w:leader="none" w:pos="10840" w:val="left"/>
        </w:tabs>
        <w:rPr>
          <w:sz w:val="20"/>
          <w:szCs w:val="20"/>
          <w:color w:val="auto"/>
        </w:rPr>
      </w:pPr>
      <w:r>
        <w:rPr>
          <w:rFonts w:ascii="Arial" w:cs="Arial" w:eastAsia="Arial" w:hAnsi="Arial"/>
          <w:sz w:val="18"/>
          <w:szCs w:val="18"/>
          <w:color w:val="auto"/>
        </w:rPr>
        <w:t>Basic and diluted adjusted net income per common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0.25</w:t>
        <w:tab/>
        <w:t>$</w:t>
      </w:r>
      <w:r>
        <w:rPr>
          <w:sz w:val="20"/>
          <w:szCs w:val="20"/>
          <w:color w:val="auto"/>
        </w:rPr>
        <w:tab/>
      </w:r>
      <w:r>
        <w:rPr>
          <w:rFonts w:ascii="Arial" w:cs="Arial" w:eastAsia="Arial" w:hAnsi="Arial"/>
          <w:sz w:val="18"/>
          <w:szCs w:val="18"/>
          <w:color w:val="auto"/>
        </w:rPr>
        <w:t>0.29</w:t>
        <w:tab/>
        <w:t>$</w:t>
      </w:r>
      <w:r>
        <w:rPr>
          <w:sz w:val="20"/>
          <w:szCs w:val="20"/>
          <w:color w:val="auto"/>
        </w:rPr>
        <w:tab/>
      </w:r>
      <w:r>
        <w:rPr>
          <w:rFonts w:ascii="Arial" w:cs="Arial" w:eastAsia="Arial" w:hAnsi="Arial"/>
          <w:sz w:val="18"/>
          <w:szCs w:val="18"/>
          <w:color w:val="auto"/>
        </w:rPr>
        <w:t>0.95</w:t>
        <w:tab/>
        <w:t>$</w:t>
      </w:r>
      <w:r>
        <w:rPr>
          <w:sz w:val="20"/>
          <w:szCs w:val="20"/>
          <w:color w:val="auto"/>
        </w:rPr>
        <w:tab/>
      </w: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8008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8008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245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40" w:lineRule="exact"/>
        <w:rPr>
          <w:sz w:val="20"/>
          <w:szCs w:val="20"/>
          <w:color w:val="auto"/>
        </w:rPr>
      </w:pPr>
    </w:p>
    <w:p>
      <w:pPr>
        <w:ind w:left="340" w:right="120" w:hanging="332"/>
        <w:spacing w:after="0" w:line="23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table for additional information.</w:t>
      </w:r>
    </w:p>
    <w:p>
      <w:pPr>
        <w:spacing w:after="0" w:line="55" w:lineRule="exact"/>
        <w:rPr>
          <w:rFonts w:ascii="Arial" w:cs="Arial" w:eastAsia="Arial" w:hAnsi="Arial"/>
          <w:sz w:val="23"/>
          <w:szCs w:val="23"/>
          <w:color w:val="auto"/>
          <w:vertAlign w:val="superscript"/>
        </w:rPr>
      </w:pPr>
    </w:p>
    <w:p>
      <w:pPr>
        <w:ind w:left="340" w:right="260" w:hanging="332"/>
        <w:spacing w:after="0" w:line="228"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and twelve months ended December 31, 2021 and 2020 as the effect was antidilutive or did not change the presentation of diluted adjusted net income per common unit.</w:t>
      </w:r>
    </w:p>
    <w:p>
      <w:pPr>
        <w:spacing w:after="0" w:line="41" w:lineRule="exact"/>
        <w:rPr>
          <w:rFonts w:ascii="Arial" w:cs="Arial" w:eastAsia="Arial" w:hAnsi="Arial"/>
          <w:sz w:val="23"/>
          <w:szCs w:val="23"/>
          <w:color w:val="auto"/>
          <w:vertAlign w:val="superscript"/>
        </w:rPr>
      </w:pPr>
    </w:p>
    <w:p>
      <w:pPr>
        <w:ind w:left="340" w:right="280" w:hanging="332"/>
        <w:spacing w:after="0" w:line="259" w:lineRule="auto"/>
        <w:tabs>
          <w:tab w:leader="none" w:pos="32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months ended December 31, 2020, there were no potentially dilutive equity-indexed compensation plan awards and for the three months ended December 31, 2021 and the twelve months ended December 31, 2021 and 2020, the effect of equity-indexed compensation plan awards of less than 1 million was antidilutive or did not change the presentation of diluted net income/(loss) per common unit.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Income/(Loss) Per Common Unit to Adjusted Net Income Per Common Unit Reconciliations: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ind w:left="260"/>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r>
      <w:tr>
        <w:trPr>
          <w:trHeight w:val="224"/>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income/(loss) per common unit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339"/>
              <w:spacing w:after="0"/>
              <w:rPr>
                <w:sz w:val="20"/>
                <w:szCs w:val="20"/>
                <w:color w:val="auto"/>
              </w:rPr>
            </w:pPr>
            <w:r>
              <w:rPr>
                <w:rFonts w:ascii="Arial" w:cs="Arial" w:eastAsia="Arial" w:hAnsi="Arial"/>
                <w:sz w:val="18"/>
                <w:szCs w:val="18"/>
                <w:color w:val="auto"/>
                <w:w w:val="91"/>
              </w:rPr>
              <w:t>0.56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89"/>
              </w:rPr>
              <w:t>(0.11)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3"/>
              </w:rPr>
              <w:t>(3.83)</w:t>
            </w:r>
          </w:p>
        </w:tc>
      </w:tr>
      <w:tr>
        <w:trPr>
          <w:trHeight w:val="230"/>
        </w:trPr>
        <w:tc>
          <w:tcPr>
            <w:tcW w:w="62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Selected items impacting comparability per common unit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19"/>
              <w:spacing w:after="0"/>
              <w:rPr>
                <w:sz w:val="20"/>
                <w:szCs w:val="20"/>
                <w:color w:val="auto"/>
              </w:rPr>
            </w:pPr>
            <w:r>
              <w:rPr>
                <w:rFonts w:ascii="Arial" w:cs="Arial" w:eastAsia="Arial" w:hAnsi="Arial"/>
                <w:sz w:val="18"/>
                <w:szCs w:val="18"/>
                <w:color w:val="auto"/>
                <w:w w:val="89"/>
              </w:rPr>
              <w:t>(0.31)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15"/>
              <w:spacing w:after="0"/>
              <w:rPr>
                <w:sz w:val="20"/>
                <w:szCs w:val="20"/>
                <w:color w:val="auto"/>
              </w:rPr>
            </w:pPr>
            <w:r>
              <w:rPr>
                <w:rFonts w:ascii="Arial" w:cs="Arial" w:eastAsia="Arial" w:hAnsi="Arial"/>
                <w:sz w:val="18"/>
                <w:szCs w:val="18"/>
                <w:color w:val="auto"/>
                <w:w w:val="91"/>
              </w:rPr>
              <w:t>0.40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35"/>
              <w:spacing w:after="0"/>
              <w:rPr>
                <w:sz w:val="20"/>
                <w:szCs w:val="20"/>
                <w:color w:val="auto"/>
              </w:rPr>
            </w:pPr>
            <w:r>
              <w:rPr>
                <w:rFonts w:ascii="Arial" w:cs="Arial" w:eastAsia="Arial" w:hAnsi="Arial"/>
                <w:sz w:val="18"/>
                <w:szCs w:val="18"/>
                <w:color w:val="auto"/>
                <w:w w:val="85"/>
              </w:rPr>
              <w:t>5.38</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8"/>
                <w:szCs w:val="18"/>
                <w:color w:val="auto"/>
                <w:w w:val="91"/>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1"/>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center"/>
              <w:ind w:left="235"/>
              <w:spacing w:after="0"/>
              <w:rPr>
                <w:sz w:val="20"/>
                <w:szCs w:val="20"/>
                <w:color w:val="auto"/>
              </w:rPr>
            </w:pPr>
            <w:r>
              <w:rPr>
                <w:rFonts w:ascii="Arial" w:cs="Arial" w:eastAsia="Arial" w:hAnsi="Arial"/>
                <w:sz w:val="18"/>
                <w:szCs w:val="18"/>
                <w:color w:val="auto"/>
                <w:w w:val="85"/>
              </w:rPr>
              <w:t>1.55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121" w:lineRule="exact"/>
        <w:rPr>
          <w:sz w:val="20"/>
          <w:szCs w:val="20"/>
          <w:color w:val="auto"/>
        </w:rPr>
      </w:pPr>
    </w:p>
    <w:p>
      <w:pPr>
        <w:ind w:left="340" w:right="360" w:hanging="332"/>
        <w:spacing w:after="0" w:line="227"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See the “Selected Items Impacting Comparability” and the “Computation of Basic and Diluted Adjusted Net Income Per Common Unit” tables for additional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ratio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Income/(Loss) to Adjusted EBITDA attributable to PAA and Implied DCF Reconciliation: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0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expense/(benefit)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(Gains)/losses on asset sales and asset impairments, net</w:t>
            </w:r>
          </w:p>
        </w:tc>
        <w:tc>
          <w:tcPr>
            <w:tcW w:w="7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Goodwill impairment losses</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on)/impairment of investments in unconsolidated entities, net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(1)</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3"/>
                <w:szCs w:val="23"/>
                <w:color w:val="auto"/>
                <w:vertAlign w:val="superscript"/>
              </w:rPr>
              <w:t>(2)</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EBITDA attributable to noncontrolling interests</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6240" w:type="dxa"/>
            <w:vAlign w:val="bottom"/>
          </w:tcPr>
          <w:p>
            <w:pPr>
              <w:ind w:left="40"/>
              <w:spacing w:after="0"/>
              <w:rPr>
                <w:sz w:val="20"/>
                <w:szCs w:val="20"/>
                <w:color w:val="auto"/>
              </w:rPr>
            </w:pPr>
            <w:r>
              <w:rPr>
                <w:rFonts w:ascii="Arial" w:cs="Arial" w:eastAsia="Arial" w:hAnsi="Arial"/>
                <w:sz w:val="18"/>
                <w:szCs w:val="18"/>
                <w:color w:val="auto"/>
              </w:rPr>
              <w:t>Adjusted EBITDA attributable to PAA</w:t>
            </w: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Interest expense, net of certain non-cash items </w:t>
            </w:r>
            <w:r>
              <w:rPr>
                <w:rFonts w:ascii="Arial" w:cs="Arial" w:eastAsia="Arial" w:hAnsi="Arial"/>
                <w:sz w:val="23"/>
                <w:szCs w:val="23"/>
                <w:color w:val="auto"/>
                <w:vertAlign w:val="superscript"/>
              </w:rPr>
              <w:t>(3)</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5"/>
        </w:trPr>
        <w:tc>
          <w:tcPr>
            <w:tcW w:w="6240" w:type="dxa"/>
            <w:vAlign w:val="bottom"/>
          </w:tcPr>
          <w:p>
            <w:pPr>
              <w:ind w:left="180"/>
              <w:spacing w:after="0" w:line="176" w:lineRule="exact"/>
              <w:rPr>
                <w:sz w:val="20"/>
                <w:szCs w:val="20"/>
                <w:color w:val="auto"/>
              </w:rPr>
            </w:pPr>
            <w:r>
              <w:rPr>
                <w:rFonts w:ascii="Arial" w:cs="Arial" w:eastAsia="Arial" w:hAnsi="Arial"/>
                <w:sz w:val="18"/>
                <w:szCs w:val="18"/>
                <w:color w:val="auto"/>
                <w:w w:val="93"/>
              </w:rPr>
              <w:t>Distributions from unconsolidated entities in excess of/(less than) adjusted equity</w:t>
            </w:r>
          </w:p>
        </w:tc>
        <w:tc>
          <w:tcPr>
            <w:tcW w:w="7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2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earnings </w:t>
            </w:r>
            <w:r>
              <w:rPr>
                <w:rFonts w:ascii="Arial" w:cs="Arial" w:eastAsia="Arial" w:hAnsi="Arial"/>
                <w:sz w:val="23"/>
                <w:szCs w:val="23"/>
                <w:color w:val="auto"/>
                <w:vertAlign w:val="superscript"/>
              </w:rPr>
              <w:t>(4)</w:t>
            </w:r>
          </w:p>
        </w:tc>
        <w:tc>
          <w:tcPr>
            <w:tcW w:w="72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(5)</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Implied DCF</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Preferred unit cash distributions </w:t>
            </w:r>
            <w:r>
              <w:rPr>
                <w:rFonts w:ascii="Arial" w:cs="Arial" w:eastAsia="Arial" w:hAnsi="Arial"/>
                <w:sz w:val="23"/>
                <w:szCs w:val="23"/>
                <w:color w:val="auto"/>
                <w:vertAlign w:val="superscript"/>
              </w:rPr>
              <w:t>(5)</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Implied DCF Available to Common Unitholders</w:t>
            </w:r>
          </w:p>
        </w:tc>
        <w:tc>
          <w:tcPr>
            <w:tcW w:w="7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7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Units and Common Unit Equivalent</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57"/>
        </w:trPr>
        <w:tc>
          <w:tcPr>
            <w:tcW w:w="6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w:t>
            </w:r>
            <w:r>
              <w:rPr>
                <w:rFonts w:ascii="Arial" w:cs="Arial" w:eastAsia="Arial" w:hAnsi="Arial"/>
                <w:sz w:val="23"/>
                <w:szCs w:val="23"/>
                <w:color w:val="auto"/>
                <w:vertAlign w:val="superscript"/>
              </w:rPr>
              <w:t>(6)</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Implied DCF per Common Unit and Common Unit Equivalent </w:t>
            </w:r>
            <w:r>
              <w:rPr>
                <w:rFonts w:ascii="Arial" w:cs="Arial" w:eastAsia="Arial" w:hAnsi="Arial"/>
                <w:sz w:val="23"/>
                <w:szCs w:val="23"/>
                <w:color w:val="auto"/>
                <w:vertAlign w:val="superscript"/>
              </w:rPr>
              <w:t>(7)</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0.55</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0.46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Cash Distribution Paid per Common Unit</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Common Unit Cash Distributions </w:t>
            </w:r>
            <w:r>
              <w:rPr>
                <w:rFonts w:ascii="Arial" w:cs="Arial" w:eastAsia="Arial" w:hAnsi="Arial"/>
                <w:sz w:val="23"/>
                <w:szCs w:val="23"/>
                <w:color w:val="auto"/>
                <w:vertAlign w:val="superscript"/>
              </w:rPr>
              <w:t>(5)</w:t>
            </w:r>
          </w:p>
        </w:tc>
        <w:tc>
          <w:tcPr>
            <w:tcW w:w="72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Common Unit Distribution Coverage Ratio</w:t>
            </w:r>
          </w:p>
        </w:tc>
        <w:tc>
          <w:tcPr>
            <w:tcW w:w="72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3.09x</w:t>
            </w:r>
          </w:p>
        </w:tc>
        <w:tc>
          <w:tcPr>
            <w:tcW w:w="74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2.49x</w:t>
            </w:r>
          </w:p>
        </w:tc>
        <w:tc>
          <w:tcPr>
            <w:tcW w:w="280" w:type="dxa"/>
            <w:vAlign w:val="bottom"/>
          </w:tcPr>
          <w:p>
            <w:pPr>
              <w:spacing w:after="0"/>
              <w:rPr>
                <w:sz w:val="19"/>
                <w:szCs w:val="19"/>
                <w:color w:val="auto"/>
              </w:rPr>
            </w:pP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2.85x</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2.57x</w:t>
            </w:r>
          </w:p>
        </w:tc>
        <w:tc>
          <w:tcPr>
            <w:tcW w:w="0" w:type="dxa"/>
            <w:vAlign w:val="bottom"/>
          </w:tcPr>
          <w:p>
            <w:pPr>
              <w:spacing w:after="0"/>
              <w:rPr>
                <w:sz w:val="1"/>
                <w:szCs w:val="1"/>
                <w:color w:val="auto"/>
              </w:rPr>
            </w:pPr>
          </w:p>
        </w:tc>
      </w:tr>
      <w:tr>
        <w:trPr>
          <w:trHeight w:val="257"/>
        </w:trPr>
        <w:tc>
          <w:tcPr>
            <w:tcW w:w="6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Implied DCF Excess</w:t>
            </w: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740" w:type="dxa"/>
            <w:vAlign w:val="bottom"/>
          </w:tcPr>
          <w:p>
            <w:pPr>
              <w:jc w:val="right"/>
              <w:ind w:right="552"/>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24599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93" w:lineRule="exact"/>
        <w:rPr>
          <w:sz w:val="20"/>
          <w:szCs w:val="20"/>
          <w:color w:val="auto"/>
        </w:rPr>
      </w:pPr>
    </w:p>
    <w:p>
      <w:pPr>
        <w:ind w:left="340" w:right="520" w:hanging="332"/>
        <w:spacing w:after="0" w:line="22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Adjustment to exclude our proportionate share of depreciation and amortization expense (including write-downs related to cancelled projects) of unconsolidated entities.</w:t>
      </w:r>
    </w:p>
    <w:p>
      <w:pPr>
        <w:ind w:left="320" w:hanging="312"/>
        <w:spacing w:after="0" w:line="195" w:lineRule="auto"/>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See the “Selected Items Impacting Comparability” table for additional information.</w:t>
      </w:r>
    </w:p>
    <w:p>
      <w:pPr>
        <w:ind w:left="5440" w:hanging="106"/>
        <w:spacing w:after="0"/>
        <w:tabs>
          <w:tab w:leader="none" w:pos="5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3" w:name="page14"/>
    <w:bookmarkEnd w:id="13"/>
    <w:p>
      <w:pPr>
        <w:ind w:left="100"/>
        <w:spacing w:after="0"/>
        <w:rPr>
          <w:sz w:val="20"/>
          <w:szCs w:val="20"/>
          <w:color w:val="auto"/>
        </w:rPr>
      </w:pPr>
      <w:r>
        <w:rPr>
          <w:rFonts w:ascii="Arial" w:cs="Arial" w:eastAsia="Arial" w:hAnsi="Arial"/>
          <w:sz w:val="18"/>
          <w:szCs w:val="18"/>
          <w:u w:val="single" w:color="auto"/>
          <w:color w:val="auto"/>
        </w:rPr>
        <w:t>Page 11</w:t>
      </w:r>
    </w:p>
    <w:p>
      <w:pPr>
        <w:spacing w:after="0" w:line="200" w:lineRule="exact"/>
        <w:rPr>
          <w:sz w:val="20"/>
          <w:szCs w:val="20"/>
          <w:color w:val="auto"/>
        </w:rPr>
      </w:pPr>
    </w:p>
    <w:p>
      <w:pPr>
        <w:spacing w:after="0" w:line="264" w:lineRule="exact"/>
        <w:rPr>
          <w:sz w:val="20"/>
          <w:szCs w:val="20"/>
          <w:color w:val="auto"/>
        </w:rPr>
      </w:pPr>
    </w:p>
    <w:p>
      <w:pPr>
        <w:ind w:left="420" w:hanging="312"/>
        <w:spacing w:after="0"/>
        <w:tabs>
          <w:tab w:leader="none" w:pos="4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50" w:lineRule="exact"/>
        <w:rPr>
          <w:rFonts w:ascii="Arial" w:cs="Arial" w:eastAsia="Arial" w:hAnsi="Arial"/>
          <w:sz w:val="21"/>
          <w:szCs w:val="21"/>
          <w:color w:val="auto"/>
          <w:vertAlign w:val="superscript"/>
        </w:rPr>
      </w:pPr>
    </w:p>
    <w:p>
      <w:pPr>
        <w:ind w:left="440" w:right="700" w:hanging="332"/>
        <w:spacing w:after="0" w:line="259" w:lineRule="auto"/>
        <w:tabs>
          <w:tab w:leader="none" w:pos="42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ind w:left="420" w:hanging="312"/>
        <w:spacing w:after="0"/>
        <w:tabs>
          <w:tab w:leader="none" w:pos="4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Cash distributions paid during the period presented.</w:t>
      </w:r>
    </w:p>
    <w:p>
      <w:pPr>
        <w:spacing w:after="0" w:line="50" w:lineRule="exact"/>
        <w:rPr>
          <w:rFonts w:ascii="Arial" w:cs="Arial" w:eastAsia="Arial" w:hAnsi="Arial"/>
          <w:sz w:val="21"/>
          <w:szCs w:val="21"/>
          <w:color w:val="auto"/>
          <w:vertAlign w:val="superscript"/>
        </w:rPr>
      </w:pPr>
    </w:p>
    <w:p>
      <w:pPr>
        <w:ind w:left="420" w:hanging="312"/>
        <w:spacing w:after="0" w:line="191" w:lineRule="auto"/>
        <w:tabs>
          <w:tab w:leader="none" w:pos="4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Implied DCF Available to Common Unitholders for the period divided by the weighted average common units outstanding for the period.</w:t>
      </w:r>
    </w:p>
    <w:p>
      <w:pPr>
        <w:spacing w:after="0" w:line="50" w:lineRule="exact"/>
        <w:rPr>
          <w:rFonts w:ascii="Arial" w:cs="Arial" w:eastAsia="Arial" w:hAnsi="Arial"/>
          <w:sz w:val="21"/>
          <w:szCs w:val="21"/>
          <w:color w:val="auto"/>
          <w:vertAlign w:val="superscript"/>
        </w:rPr>
      </w:pPr>
    </w:p>
    <w:p>
      <w:pPr>
        <w:ind w:left="440" w:right="120" w:hanging="332"/>
        <w:spacing w:after="0" w:line="238" w:lineRule="auto"/>
        <w:tabs>
          <w:tab w:leader="none" w:pos="428"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Implied DCF Available to Common Unitholders for the period, adjusted for Series A preferred unit cash distributions paid, divided by the weighted average common units and common unit equivalent outstanding for the period. Our Series A preferred units are convertible into common units, generally on a one-for-one basis and subject to customary anti-dilution adjustments, in whole or in part, subject to certain minimum conversion amounts.</w:t>
      </w:r>
    </w:p>
    <w:p>
      <w:pPr>
        <w:spacing w:after="0" w:line="26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Net Income/(Loss) Per Common Unit to Implied DCF Per Common Unit and Common Unit Equivalent Reconciliation: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jc w:val="right"/>
              <w:ind w:right="513"/>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6"/>
        </w:trPr>
        <w:tc>
          <w:tcPr>
            <w:tcW w:w="5540" w:type="dxa"/>
            <w:vAlign w:val="bottom"/>
            <w:gridSpan w:val="3"/>
          </w:tcPr>
          <w:p>
            <w:pPr>
              <w:spacing w:after="0"/>
              <w:rPr>
                <w:sz w:val="20"/>
                <w:szCs w:val="20"/>
                <w:color w:val="auto"/>
              </w:rPr>
            </w:pPr>
            <w:r>
              <w:rPr>
                <w:rFonts w:ascii="Arial" w:cs="Arial" w:eastAsia="Arial" w:hAnsi="Arial"/>
                <w:sz w:val="18"/>
                <w:szCs w:val="18"/>
                <w:color w:val="auto"/>
              </w:rPr>
              <w:t>Basic net income/(loss) per common unit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19"/>
                <w:szCs w:val="19"/>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8"/>
                <w:szCs w:val="18"/>
                <w:color w:val="auto"/>
                <w:w w:val="91"/>
              </w:rPr>
              <w:t>(0.11)$</w:t>
            </w:r>
          </w:p>
        </w:tc>
        <w:tc>
          <w:tcPr>
            <w:tcW w:w="114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center"/>
              <w:ind w:left="593"/>
              <w:spacing w:after="0"/>
              <w:rPr>
                <w:sz w:val="20"/>
                <w:szCs w:val="20"/>
                <w:color w:val="auto"/>
              </w:rPr>
            </w:pPr>
            <w:r>
              <w:rPr>
                <w:rFonts w:ascii="Arial" w:cs="Arial" w:eastAsia="Arial" w:hAnsi="Arial"/>
                <w:sz w:val="18"/>
                <w:szCs w:val="18"/>
                <w:color w:val="auto"/>
                <w:w w:val="93"/>
              </w:rPr>
              <w:t>(3.83)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Reconciling items per common unit </w:t>
            </w:r>
            <w:r>
              <w:rPr>
                <w:rFonts w:ascii="Arial" w:cs="Arial" w:eastAsia="Arial" w:hAnsi="Arial"/>
                <w:sz w:val="23"/>
                <w:szCs w:val="23"/>
                <w:color w:val="auto"/>
                <w:vertAlign w:val="superscript"/>
              </w:rPr>
              <w:t>(1) (2)</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160" w:type="dxa"/>
            <w:vAlign w:val="bottom"/>
          </w:tcPr>
          <w:p>
            <w:pPr>
              <w:jc w:val="center"/>
              <w:ind w:left="613"/>
              <w:spacing w:after="0"/>
              <w:rPr>
                <w:sz w:val="20"/>
                <w:szCs w:val="20"/>
                <w:color w:val="auto"/>
              </w:rPr>
            </w:pPr>
            <w:r>
              <w:rPr>
                <w:rFonts w:ascii="Arial" w:cs="Arial" w:eastAsia="Arial" w:hAnsi="Arial"/>
                <w:sz w:val="18"/>
                <w:szCs w:val="18"/>
                <w:color w:val="auto"/>
                <w:w w:val="85"/>
              </w:rPr>
              <w:t>6.14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mplied DCF per common unit</w:t>
            </w:r>
          </w:p>
        </w:tc>
        <w:tc>
          <w:tcPr>
            <w:tcW w:w="700" w:type="dxa"/>
            <w:vAlign w:val="bottom"/>
            <w:vMerge w:val="continue"/>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85"/>
              </w:rPr>
              <w:t>2.31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540" w:type="dxa"/>
            <w:vAlign w:val="bottom"/>
            <w:gridSpan w:val="3"/>
          </w:tcPr>
          <w:p>
            <w:pPr>
              <w:spacing w:after="0"/>
              <w:rPr>
                <w:sz w:val="20"/>
                <w:szCs w:val="20"/>
                <w:color w:val="auto"/>
              </w:rPr>
            </w:pPr>
            <w:r>
              <w:rPr>
                <w:rFonts w:ascii="Arial" w:cs="Arial" w:eastAsia="Arial" w:hAnsi="Arial"/>
                <w:sz w:val="18"/>
                <w:szCs w:val="18"/>
                <w:color w:val="auto"/>
              </w:rPr>
              <w:t>Basic net income/(loss) per common unit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24"/>
                <w:szCs w:val="24"/>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8"/>
                <w:szCs w:val="18"/>
                <w:color w:val="auto"/>
                <w:w w:val="91"/>
              </w:rPr>
              <w:t>(0.11)$</w:t>
            </w:r>
          </w:p>
        </w:tc>
        <w:tc>
          <w:tcPr>
            <w:tcW w:w="114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center"/>
              <w:ind w:left="593"/>
              <w:spacing w:after="0"/>
              <w:rPr>
                <w:sz w:val="20"/>
                <w:szCs w:val="20"/>
                <w:color w:val="auto"/>
              </w:rPr>
            </w:pPr>
            <w:r>
              <w:rPr>
                <w:rFonts w:ascii="Arial" w:cs="Arial" w:eastAsia="Arial" w:hAnsi="Arial"/>
                <w:sz w:val="18"/>
                <w:szCs w:val="18"/>
                <w:color w:val="auto"/>
                <w:w w:val="93"/>
              </w:rPr>
              <w:t>(3.83)</w:t>
            </w:r>
          </w:p>
        </w:tc>
        <w:tc>
          <w:tcPr>
            <w:tcW w:w="0" w:type="dxa"/>
            <w:vAlign w:val="bottom"/>
          </w:tcPr>
          <w:p>
            <w:pPr>
              <w:spacing w:after="0"/>
              <w:rPr>
                <w:sz w:val="1"/>
                <w:szCs w:val="1"/>
                <w:color w:val="auto"/>
              </w:rPr>
            </w:pPr>
          </w:p>
        </w:tc>
      </w:tr>
      <w:tr>
        <w:trPr>
          <w:trHeight w:val="230"/>
        </w:trPr>
        <w:tc>
          <w:tcPr>
            <w:tcW w:w="5540" w:type="dxa"/>
            <w:vAlign w:val="bottom"/>
            <w:gridSpan w:val="3"/>
          </w:tcPr>
          <w:p>
            <w:pPr>
              <w:spacing w:after="0" w:line="230" w:lineRule="exact"/>
              <w:rPr>
                <w:sz w:val="20"/>
                <w:szCs w:val="20"/>
                <w:color w:val="auto"/>
              </w:rPr>
            </w:pPr>
            <w:r>
              <w:rPr>
                <w:rFonts w:ascii="Arial" w:cs="Arial" w:eastAsia="Arial" w:hAnsi="Arial"/>
                <w:sz w:val="18"/>
                <w:szCs w:val="18"/>
                <w:color w:val="auto"/>
                <w:w w:val="99"/>
              </w:rPr>
              <w:t xml:space="preserve">Reconciling items per common unit and common unit equivalent </w:t>
            </w:r>
            <w:r>
              <w:rPr>
                <w:rFonts w:ascii="Arial" w:cs="Arial" w:eastAsia="Arial" w:hAnsi="Arial"/>
                <w:sz w:val="23"/>
                <w:szCs w:val="23"/>
                <w:color w:val="auto"/>
                <w:w w:val="99"/>
                <w:vertAlign w:val="superscript"/>
              </w:rPr>
              <w:t>(1) (3)</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(0.01)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160" w:type="dxa"/>
            <w:vAlign w:val="bottom"/>
          </w:tcPr>
          <w:p>
            <w:pPr>
              <w:jc w:val="center"/>
              <w:ind w:left="613"/>
              <w:spacing w:after="0"/>
              <w:rPr>
                <w:sz w:val="20"/>
                <w:szCs w:val="20"/>
                <w:color w:val="auto"/>
              </w:rPr>
            </w:pPr>
            <w:r>
              <w:rPr>
                <w:rFonts w:ascii="Arial" w:cs="Arial" w:eastAsia="Arial" w:hAnsi="Arial"/>
                <w:sz w:val="18"/>
                <w:szCs w:val="18"/>
                <w:color w:val="auto"/>
                <w:w w:val="85"/>
              </w:rPr>
              <w:t>6.12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0" w:type="dxa"/>
            <w:vAlign w:val="bottom"/>
          </w:tcPr>
          <w:p>
            <w:pPr>
              <w:spacing w:after="0"/>
              <w:rPr>
                <w:sz w:val="21"/>
                <w:szCs w:val="21"/>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mplied DCF per common unit and common unit equivalent</w:t>
            </w:r>
          </w:p>
        </w:tc>
        <w:tc>
          <w:tcPr>
            <w:tcW w:w="700" w:type="dxa"/>
            <w:vAlign w:val="bottom"/>
            <w:vMerge w:val="continue"/>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ind w:right="38"/>
              <w:spacing w:after="0"/>
              <w:rPr>
                <w:sz w:val="20"/>
                <w:szCs w:val="20"/>
                <w:color w:val="auto"/>
              </w:rPr>
            </w:pPr>
            <w:r>
              <w:rPr>
                <w:rFonts w:ascii="Arial" w:cs="Arial" w:eastAsia="Arial" w:hAnsi="Arial"/>
                <w:sz w:val="4"/>
                <w:szCs w:val="4"/>
                <w:color w:val="auto"/>
                <w:w w:val="87"/>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center"/>
              <w:ind w:left="613"/>
              <w:spacing w:after="0"/>
              <w:rPr>
                <w:sz w:val="20"/>
                <w:szCs w:val="20"/>
                <w:color w:val="auto"/>
              </w:rPr>
            </w:pPr>
            <w:r>
              <w:rPr>
                <w:rFonts w:ascii="Arial" w:cs="Arial" w:eastAsia="Arial" w:hAnsi="Arial"/>
                <w:sz w:val="18"/>
                <w:szCs w:val="18"/>
                <w:color w:val="auto"/>
                <w:w w:val="85"/>
              </w:rPr>
              <w:t>2.29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-1242695</wp:posOffset>
            </wp:positionV>
            <wp:extent cx="702945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-633730</wp:posOffset>
            </wp:positionV>
            <wp:extent cx="702945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0" cy="145415"/>
                    </a:xfrm>
                    <a:prstGeom prst="rect">
                      <a:avLst/>
                    </a:prstGeom>
                    <a:noFill/>
                  </pic:spPr>
                </pic:pic>
              </a:graphicData>
            </a:graphic>
          </wp:anchor>
        </w:drawing>
      </w:r>
    </w:p>
    <w:p>
      <w:pPr>
        <w:spacing w:after="0" w:line="101" w:lineRule="exact"/>
        <w:rPr>
          <w:sz w:val="20"/>
          <w:szCs w:val="20"/>
          <w:color w:val="auto"/>
        </w:rPr>
      </w:pPr>
    </w:p>
    <w:p>
      <w:pPr>
        <w:ind w:left="440" w:hanging="332"/>
        <w:spacing w:after="0" w:line="227" w:lineRule="auto"/>
        <w:tabs>
          <w:tab w:leader="none" w:pos="4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to Net Income to calculate Implied DCF Available to Common Unitholders. See the “Net Income/(Loss) to Adjusted EBITDA attributable to PAA and Implied DCF Reconciliation” table for additional information.</w:t>
      </w:r>
    </w:p>
    <w:p>
      <w:pPr>
        <w:spacing w:after="0" w:line="17"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709 million, 726 million, 716 million and 728 million, respectively.</w:t>
      </w:r>
    </w:p>
    <w:p>
      <w:pPr>
        <w:spacing w:after="0" w:line="55" w:lineRule="exact"/>
        <w:rPr>
          <w:rFonts w:ascii="Arial" w:cs="Arial" w:eastAsia="Arial" w:hAnsi="Arial"/>
          <w:sz w:val="22"/>
          <w:szCs w:val="22"/>
          <w:color w:val="auto"/>
          <w:vertAlign w:val="superscript"/>
        </w:rPr>
      </w:pPr>
    </w:p>
    <w:p>
      <w:pPr>
        <w:ind w:left="440" w:right="160" w:hanging="332"/>
        <w:spacing w:after="0" w:line="219" w:lineRule="auto"/>
        <w:tabs>
          <w:tab w:leader="none" w:pos="42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100330</wp:posOffset>
            </wp:positionV>
            <wp:extent cx="71151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60"/>
          </w:cols>
          <w:pgMar w:left="220" w:top="368" w:right="4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RECONCILIATIONS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and Free Cash Flow after Distributions Reconciliation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75"/>
              <w:spacing w:after="0"/>
              <w:rPr>
                <w:sz w:val="20"/>
                <w:szCs w:val="20"/>
                <w:color w:val="auto"/>
              </w:rPr>
            </w:pPr>
            <w:r>
              <w:rPr>
                <w:rFonts w:ascii="Arial" w:cs="Arial" w:eastAsia="Arial" w:hAnsi="Arial"/>
                <w:sz w:val="14"/>
                <w:szCs w:val="14"/>
                <w:b w:val="1"/>
                <w:bCs w:val="1"/>
                <w:color w:val="auto"/>
                <w:w w:val="98"/>
              </w:rPr>
              <w:t>December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3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r>
      <w:tr>
        <w:trPr>
          <w:trHeight w:val="224"/>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6240" w:type="dxa"/>
            <w:vAlign w:val="bottom"/>
            <w:gridSpan w:val="2"/>
          </w:tcPr>
          <w:p>
            <w:pPr>
              <w:ind w:left="20"/>
              <w:spacing w:after="0"/>
              <w:rPr>
                <w:sz w:val="20"/>
                <w:szCs w:val="20"/>
                <w:color w:val="auto"/>
              </w:rPr>
            </w:pPr>
            <w:r>
              <w:rPr>
                <w:rFonts w:ascii="Arial" w:cs="Arial" w:eastAsia="Arial" w:hAnsi="Arial"/>
                <w:sz w:val="18"/>
                <w:szCs w:val="18"/>
                <w:color w:val="auto"/>
                <w:w w:val="93"/>
              </w:rPr>
              <w:t>Adjustments to reconcile net cash provided by operating activities to free cash flow:</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cash provided by/(used in) investing activities</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r>
      <w:tr>
        <w:trPr>
          <w:trHeight w:val="229"/>
        </w:trPr>
        <w:tc>
          <w:tcPr>
            <w:tcW w:w="6240" w:type="dxa"/>
            <w:vAlign w:val="bottom"/>
            <w:gridSpan w:val="2"/>
          </w:tcPr>
          <w:p>
            <w:pPr>
              <w:ind w:left="140"/>
              <w:spacing w:after="0"/>
              <w:rPr>
                <w:sz w:val="20"/>
                <w:szCs w:val="20"/>
                <w:color w:val="auto"/>
              </w:rPr>
            </w:pPr>
            <w:r>
              <w:rPr>
                <w:rFonts w:ascii="Arial" w:cs="Arial" w:eastAsia="Arial" w:hAnsi="Arial"/>
                <w:sz w:val="18"/>
                <w:szCs w:val="18"/>
                <w:color w:val="auto"/>
              </w:rPr>
              <w:t>Cash contributions from noncontrolling interests</w:t>
            </w:r>
          </w:p>
        </w:tc>
        <w:tc>
          <w:tcPr>
            <w:tcW w:w="7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paid to noncontrolling interests </w:t>
            </w:r>
            <w:r>
              <w:rPr>
                <w:rFonts w:ascii="Arial" w:cs="Arial" w:eastAsia="Arial" w:hAnsi="Arial"/>
                <w:sz w:val="23"/>
                <w:szCs w:val="23"/>
                <w:color w:val="auto"/>
                <w:vertAlign w:val="superscript"/>
              </w:rPr>
              <w:t>(2)</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720" w:type="dxa"/>
            <w:vAlign w:val="bottom"/>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30"/>
        </w:trPr>
        <w:tc>
          <w:tcPr>
            <w:tcW w:w="624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distributions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23"/>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Free Cash Flow after Distributions</w:t>
            </w:r>
          </w:p>
        </w:tc>
        <w:tc>
          <w:tcPr>
            <w:tcW w:w="720" w:type="dxa"/>
            <w:vAlign w:val="bottom"/>
            <w:tcBorders>
              <w:bottom w:val="single" w:sz="8" w:color="auto"/>
            </w:tcBorders>
          </w:tcPr>
          <w:p>
            <w:pPr>
              <w:jc w:val="right"/>
              <w:ind w:right="53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1"/>
        </w:trPr>
        <w:tc>
          <w:tcPr>
            <w:tcW w:w="38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9"/>
        </w:trPr>
        <w:tc>
          <w:tcPr>
            <w:tcW w:w="3880" w:type="dxa"/>
            <w:vAlign w:val="bottom"/>
            <w:tcBorders>
              <w:bottom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134" w:lineRule="exact"/>
        <w:rPr>
          <w:sz w:val="20"/>
          <w:szCs w:val="20"/>
          <w:color w:val="auto"/>
        </w:rPr>
      </w:pPr>
    </w:p>
    <w:p>
      <w:pPr>
        <w:ind w:left="340" w:right="300" w:hanging="332"/>
        <w:spacing w:after="0" w:line="238" w:lineRule="auto"/>
        <w:tabs>
          <w:tab w:leader="none" w:pos="328"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Cash distributions paid during the period presented.</w:t>
      </w:r>
    </w:p>
    <w:p>
      <w:pPr>
        <w:spacing w:after="0" w:line="55"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Cash distributions paid to preferred and common unitholders during the period.</w:t>
      </w:r>
    </w:p>
    <w:p>
      <w:pPr>
        <w:ind w:left="5440" w:hanging="106"/>
        <w:spacing w:after="0"/>
        <w:tabs>
          <w:tab w:leader="none" w:pos="5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6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7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89"/>
              </w:rPr>
              <w:t>2020</w:t>
            </w:r>
          </w:p>
        </w:tc>
      </w:tr>
      <w:tr>
        <w:trPr>
          <w:trHeight w:val="197"/>
        </w:trPr>
        <w:tc>
          <w:tcPr>
            <w:tcW w:w="664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1"/>
                <w:szCs w:val="21"/>
                <w:b w:val="1"/>
                <w:bCs w:val="1"/>
                <w:color w:val="auto"/>
                <w:vertAlign w:val="superscript"/>
              </w:rPr>
              <w:t>(1)</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1"/>
                <w:szCs w:val="21"/>
                <w:color w:val="auto"/>
                <w:vertAlign w:val="superscript"/>
              </w:rPr>
              <w:t>(2)</w:t>
            </w:r>
          </w:p>
        </w:tc>
        <w:tc>
          <w:tcPr>
            <w:tcW w:w="700" w:type="dxa"/>
            <w:vAlign w:val="bottom"/>
          </w:tcPr>
          <w:p>
            <w:pPr>
              <w:jc w:val="right"/>
              <w:ind w:right="523"/>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0"/>
              </w:rPr>
              <w:t>(258)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1"/>
                <w:szCs w:val="21"/>
                <w:color w:val="auto"/>
                <w:vertAlign w:val="superscript"/>
              </w:rPr>
              <w:t>(3)</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1"/>
                <w:szCs w:val="21"/>
                <w:color w:val="auto"/>
                <w:vertAlign w:val="superscript"/>
              </w:rPr>
              <w:t>(4)</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1"/>
                <w:szCs w:val="21"/>
                <w:color w:val="auto"/>
                <w:vertAlign w:val="superscript"/>
              </w:rPr>
              <w:t>(5)</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Net gain on foreign currency revaluation </w:t>
            </w:r>
            <w:r>
              <w:rPr>
                <w:rFonts w:ascii="Arial" w:cs="Arial" w:eastAsia="Arial" w:hAnsi="Arial"/>
                <w:sz w:val="21"/>
                <w:szCs w:val="21"/>
                <w:color w:val="auto"/>
                <w:vertAlign w:val="superscript"/>
              </w:rPr>
              <w:t>(6)</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1"/>
                <w:szCs w:val="21"/>
                <w:color w:val="auto"/>
                <w:vertAlign w:val="superscript"/>
              </w:rPr>
              <w:t>(7)</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1"/>
                <w:szCs w:val="21"/>
                <w:color w:val="auto"/>
                <w:vertAlign w:val="superscript"/>
              </w:rPr>
              <w:t>(8)</w:t>
            </w: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66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Net gain on early repayment of senior notes </w:t>
            </w:r>
            <w:r>
              <w:rPr>
                <w:rFonts w:ascii="Arial" w:cs="Arial" w:eastAsia="Arial" w:hAnsi="Arial"/>
                <w:sz w:val="21"/>
                <w:szCs w:val="21"/>
                <w:color w:val="auto"/>
                <w:vertAlign w:val="superscript"/>
              </w:rPr>
              <w:t>(9)</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Selected items impacting comparability - Adjusted EBITDA</w:t>
            </w:r>
          </w:p>
        </w:tc>
        <w:tc>
          <w:tcPr>
            <w:tcW w:w="700" w:type="dxa"/>
            <w:vAlign w:val="bottom"/>
            <w:tcBorders>
              <w:top w:val="single" w:sz="8" w:color="auto"/>
            </w:tcBorders>
          </w:tcPr>
          <w:p>
            <w:pPr>
              <w:jc w:val="right"/>
              <w:ind w:right="523"/>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(219)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w:t>
            </w:r>
          </w:p>
        </w:tc>
      </w:tr>
      <w:tr>
        <w:trPr>
          <w:trHeight w:val="21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on/(impairment of) investments in unconsolidated entities, net</w:t>
            </w: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70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0"/>
              </w:rPr>
              <w:t>(101)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(719)</w:t>
            </w:r>
          </w:p>
        </w:tc>
      </w:tr>
      <w:tr>
        <w:trPr>
          <w:trHeight w:val="21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 impairment losses</w:t>
            </w:r>
          </w:p>
        </w:tc>
        <w:tc>
          <w:tcPr>
            <w:tcW w:w="7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w:t>
            </w:r>
          </w:p>
        </w:tc>
      </w:tr>
      <w:tr>
        <w:trPr>
          <w:trHeight w:val="213"/>
        </w:trPr>
        <w:tc>
          <w:tcPr>
            <w:tcW w:w="6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37"/>
        </w:trPr>
        <w:tc>
          <w:tcPr>
            <w:tcW w:w="66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Selected items impacting comparability - Adjusted net income attributable to PAA</w:t>
            </w: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r>
    </w:tbl>
    <w:p>
      <w:pPr>
        <w:spacing w:after="0" w:line="10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Certain of our non-GAAP financial measures may not be impacted by each of the selected items impacting comparability.</w:t>
      </w:r>
    </w:p>
    <w:p>
      <w:pPr>
        <w:spacing w:after="0" w:line="50" w:lineRule="exact"/>
        <w:rPr>
          <w:rFonts w:ascii="Arial" w:cs="Arial" w:eastAsia="Arial" w:hAnsi="Arial"/>
          <w:sz w:val="18"/>
          <w:szCs w:val="18"/>
          <w:color w:val="auto"/>
          <w:vertAlign w:val="superscript"/>
        </w:rPr>
      </w:pPr>
    </w:p>
    <w:p>
      <w:pPr>
        <w:ind w:left="340" w:right="40" w:hanging="332"/>
        <w:spacing w:after="0" w:line="276" w:lineRule="auto"/>
        <w:tabs>
          <w:tab w:leader="none" w:pos="335" w:val="left"/>
        </w:tabs>
        <w:numPr>
          <w:ilvl w:val="0"/>
          <w:numId w:val="14"/>
        </w:numPr>
        <w:rPr>
          <w:rFonts w:ascii="Arial" w:cs="Arial" w:eastAsia="Arial" w:hAnsi="Arial"/>
          <w:sz w:val="15"/>
          <w:szCs w:val="15"/>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investing activities, such as the purchase of linefill. We also exclude the impact of corresponding inventory valuation adjustments, as applicable.</w:t>
      </w:r>
    </w:p>
    <w:p>
      <w:pPr>
        <w:spacing w:after="0" w:line="22" w:lineRule="exact"/>
        <w:rPr>
          <w:rFonts w:ascii="Arial" w:cs="Arial" w:eastAsia="Arial" w:hAnsi="Arial"/>
          <w:sz w:val="15"/>
          <w:szCs w:val="15"/>
          <w:color w:val="auto"/>
          <w:vertAlign w:val="superscript"/>
        </w:rPr>
      </w:pPr>
    </w:p>
    <w:p>
      <w:pPr>
        <w:ind w:left="340" w:right="40" w:hanging="332"/>
        <w:spacing w:after="0" w:line="247" w:lineRule="auto"/>
        <w:tabs>
          <w:tab w:leader="none" w:pos="335"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9" w:lineRule="exact"/>
        <w:rPr>
          <w:rFonts w:ascii="Arial" w:cs="Arial" w:eastAsia="Arial" w:hAnsi="Arial"/>
          <w:sz w:val="17"/>
          <w:szCs w:val="17"/>
          <w:color w:val="auto"/>
          <w:vertAlign w:val="superscript"/>
        </w:rPr>
      </w:pPr>
    </w:p>
    <w:p>
      <w:pPr>
        <w:ind w:left="340" w:right="40" w:hanging="332"/>
        <w:spacing w:after="0" w:line="255" w:lineRule="auto"/>
        <w:tabs>
          <w:tab w:leader="none" w:pos="335"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33" w:lineRule="exact"/>
        <w:rPr>
          <w:rFonts w:ascii="Arial" w:cs="Arial" w:eastAsia="Arial" w:hAnsi="Arial"/>
          <w:sz w:val="17"/>
          <w:szCs w:val="17"/>
          <w:color w:val="auto"/>
          <w:vertAlign w:val="superscript"/>
        </w:rPr>
      </w:pPr>
    </w:p>
    <w:p>
      <w:pPr>
        <w:jc w:val="both"/>
        <w:ind w:left="340" w:right="20" w:hanging="332"/>
        <w:spacing w:after="0" w:line="229" w:lineRule="auto"/>
        <w:tabs>
          <w:tab w:leader="none" w:pos="335"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43" w:lineRule="exact"/>
        <w:rPr>
          <w:rFonts w:ascii="Arial" w:cs="Arial" w:eastAsia="Arial" w:hAnsi="Arial"/>
          <w:sz w:val="18"/>
          <w:szCs w:val="18"/>
          <w:color w:val="auto"/>
          <w:vertAlign w:val="superscript"/>
        </w:rPr>
      </w:pPr>
    </w:p>
    <w:p>
      <w:pPr>
        <w:ind w:left="340" w:right="40" w:hanging="332"/>
        <w:spacing w:after="0" w:line="225" w:lineRule="auto"/>
        <w:tabs>
          <w:tab w:leader="none" w:pos="335"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0"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Includes costs recognized during the period related to the Line 901 incident that occurred in May 2015, net of amounts we believe are probable of recovery from insurance.</w:t>
      </w:r>
    </w:p>
    <w:p>
      <w:pPr>
        <w:spacing w:after="0" w:line="50" w:lineRule="exact"/>
        <w:rPr>
          <w:rFonts w:ascii="Arial" w:cs="Arial" w:eastAsia="Arial" w:hAnsi="Arial"/>
          <w:sz w:val="18"/>
          <w:szCs w:val="18"/>
          <w:color w:val="auto"/>
          <w:vertAlign w:val="superscript"/>
        </w:rPr>
      </w:pPr>
    </w:p>
    <w:p>
      <w:pPr>
        <w:ind w:left="320" w:hanging="312"/>
        <w:spacing w:after="0" w:line="202" w:lineRule="auto"/>
        <w:tabs>
          <w:tab w:leader="none" w:pos="320"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Includes expenses associated with the Plains Oryx Permian Basin joint venture transaction, which closed on October 5, 2021, and the acquisition of Felix Midstream LLC in February 2020.</w:t>
      </w:r>
    </w:p>
    <w:p>
      <w:pPr>
        <w:spacing w:after="0" w:line="51" w:lineRule="exact"/>
        <w:rPr>
          <w:rFonts w:ascii="Arial" w:cs="Arial" w:eastAsia="Arial" w:hAnsi="Arial"/>
          <w:sz w:val="17"/>
          <w:szCs w:val="17"/>
          <w:color w:val="auto"/>
          <w:vertAlign w:val="superscript"/>
        </w:rPr>
      </w:pPr>
    </w:p>
    <w:p>
      <w:pPr>
        <w:ind w:left="320" w:hanging="312"/>
        <w:spacing w:after="0" w:line="189" w:lineRule="auto"/>
        <w:tabs>
          <w:tab w:leader="none" w:pos="32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Includes net gains recognized in connection with the repurchase of our outstanding senior notes on the open market.</w:t>
      </w:r>
    </w:p>
    <w:p>
      <w:pPr>
        <w:ind w:left="5440" w:hanging="106"/>
        <w:spacing w:after="0"/>
        <w:tabs>
          <w:tab w:leader="none" w:pos="5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5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NGL</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4"/>
              </w:rPr>
              <w:t>NGL</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520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5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(Gains)/losses from derivative activities and inventory valuation</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(gain)/loss on foreign currency revaluation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520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20"/>
          </w:cols>
          <w:pgMar w:left="320" w:top="368" w:right="35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00"/>
          </w:cols>
          <w:pgMar w:left="320" w:top="368" w:right="359" w:bottom="1440" w:gutter="0" w:footer="0" w:header="0"/>
          <w:type w:val="continuous"/>
        </w:sectPr>
      </w:pPr>
    </w:p>
    <w:p>
      <w:pPr>
        <w:ind w:left="340" w:right="80" w:hanging="332"/>
        <w:spacing w:after="0" w:line="267"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7"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the Plains Oryx Permian Basin LLC (from October 2021) and Red River Pipeline LLC.</w:t>
      </w:r>
    </w:p>
    <w:p>
      <w:pPr>
        <w:spacing w:after="0" w:line="55" w:lineRule="exact"/>
        <w:rPr>
          <w:rFonts w:ascii="Arial" w:cs="Arial" w:eastAsia="Arial" w:hAnsi="Arial"/>
          <w:sz w:val="22"/>
          <w:szCs w:val="22"/>
          <w:color w:val="auto"/>
          <w:vertAlign w:val="superscript"/>
        </w:rPr>
      </w:pPr>
    </w:p>
    <w:p>
      <w:pPr>
        <w:ind w:left="340" w:hanging="332"/>
        <w:spacing w:after="0" w:line="233"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Plains Oryx Permian Basin joint venture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44" w:lineRule="exact"/>
        <w:rPr>
          <w:rFonts w:ascii="Arial" w:cs="Arial" w:eastAsia="Arial" w:hAnsi="Arial"/>
          <w:sz w:val="23"/>
          <w:szCs w:val="23"/>
          <w:color w:val="auto"/>
          <w:vertAlign w:val="superscript"/>
        </w:rPr>
      </w:pPr>
    </w:p>
    <w:p>
      <w:pPr>
        <w:ind w:left="5440" w:hanging="106"/>
        <w:spacing w:after="0"/>
        <w:tabs>
          <w:tab w:leader="none" w:pos="5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3"/>
              </w:rPr>
              <w:t>Twelve Months Ended</w:t>
            </w:r>
          </w:p>
        </w:tc>
        <w:tc>
          <w:tcPr>
            <w:tcW w:w="240" w:type="dxa"/>
            <w:vAlign w:val="bottom"/>
          </w:tcPr>
          <w:p>
            <w:pPr>
              <w:spacing w:after="0"/>
              <w:rPr>
                <w:sz w:val="14"/>
                <w:szCs w:val="14"/>
                <w:color w:val="auto"/>
              </w:rPr>
            </w:pPr>
          </w:p>
        </w:tc>
        <w:tc>
          <w:tcPr>
            <w:tcW w:w="25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Crude Oil</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NGL</w:t>
            </w:r>
          </w:p>
        </w:tc>
        <w:tc>
          <w:tcPr>
            <w:tcW w:w="220" w:type="dxa"/>
            <w:vAlign w:val="bottom"/>
            <w:gridSpan w:val="2"/>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4"/>
              </w:rPr>
              <w:t>NGL</w:t>
            </w: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5200" w:type="dxa"/>
            <w:vAlign w:val="bottom"/>
            <w:tcBorders>
              <w:top w:val="single" w:sz="8" w:color="CCEEFF"/>
            </w:tcBorders>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(19,712)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Segment general and administrative expenses </w:t>
            </w:r>
            <w:r>
              <w:rPr>
                <w:rFonts w:ascii="Arial" w:cs="Arial" w:eastAsia="Arial" w:hAnsi="Arial"/>
                <w:sz w:val="23"/>
                <w:szCs w:val="23"/>
                <w:color w:val="auto"/>
                <w:vertAlign w:val="superscript"/>
              </w:rPr>
              <w:t>(2) (3)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 of unconsolidated entities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520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9"/>
              </w:rPr>
              <w:t>(Gains)/losses from derivative activities and inventory valuation</w:t>
            </w: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w:t>
            </w: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Deficiencies under minimum volume commitments,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gain on foreign currency revaluation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Line 901 incident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Significant transaction-related expenses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2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Adjusted EBITDA attributable to noncontrolling interests </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520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1"/>
                <w:szCs w:val="21"/>
                <w:color w:val="auto"/>
              </w:rPr>
            </w:pP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0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220"/>
          </w:cols>
          <w:pgMar w:left="320" w:top="368" w:right="35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80"/>
            <w:col w:w="10900"/>
          </w:cols>
          <w:pgMar w:left="320" w:top="368" w:right="359" w:bottom="1440" w:gutter="0" w:footer="0" w:header="0"/>
          <w:type w:val="continuous"/>
        </w:sectPr>
      </w:pPr>
    </w:p>
    <w:p>
      <w:pPr>
        <w:ind w:left="340" w:right="80" w:hanging="332"/>
        <w:spacing w:after="0" w:line="267"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2" w:lineRule="exact"/>
        <w:rPr>
          <w:rFonts w:ascii="Arial" w:cs="Arial" w:eastAsia="Arial" w:hAnsi="Arial"/>
          <w:sz w:val="21"/>
          <w:szCs w:val="21"/>
          <w:color w:val="auto"/>
          <w:vertAlign w:val="superscript"/>
        </w:rPr>
      </w:pPr>
    </w:p>
    <w:p>
      <w:pPr>
        <w:ind w:left="340" w:right="120" w:hanging="332"/>
        <w:spacing w:after="0" w:line="234"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17"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the Plains Oryx Permian Basin LLC (from October 2021) and Red River Pipeline LLC.</w:t>
      </w:r>
    </w:p>
    <w:p>
      <w:pPr>
        <w:spacing w:after="0" w:line="55" w:lineRule="exact"/>
        <w:rPr>
          <w:rFonts w:ascii="Arial" w:cs="Arial" w:eastAsia="Arial" w:hAnsi="Arial"/>
          <w:sz w:val="22"/>
          <w:szCs w:val="22"/>
          <w:color w:val="auto"/>
          <w:vertAlign w:val="superscript"/>
        </w:rPr>
      </w:pPr>
    </w:p>
    <w:p>
      <w:pPr>
        <w:ind w:left="340" w:hanging="332"/>
        <w:spacing w:after="0" w:line="233"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During the fourth quarter of 2021, we modified our definition of Segment Adjusted EBITDA to exclude amounts attributable to noncontrolling interests. In connection with the Plains Oryx Permian Basin joint venture formation in October 2021, our CODM determined this modification resulted in amounts that were more meaningful to evaluate segment performance. Amounts attributable to noncontrolling interests for periods prior have been recast to reflect this modification.</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 BY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Crude Oil Segment Volumes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Crude oil pipeline tariff volumes (by region)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30"/>
        </w:trPr>
        <w:tc>
          <w:tcPr>
            <w:tcW w:w="606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1340" w:type="dxa"/>
            <w:vAlign w:val="bottom"/>
            <w:gridSpan w:val="2"/>
          </w:tcPr>
          <w:p>
            <w:pPr>
              <w:jc w:val="right"/>
              <w:ind w:right="8"/>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Mid-Continent </w:t>
            </w:r>
            <w:r>
              <w:rPr>
                <w:rFonts w:ascii="Arial" w:cs="Arial" w:eastAsia="Arial" w:hAnsi="Arial"/>
                <w:sz w:val="23"/>
                <w:szCs w:val="23"/>
                <w:color w:val="auto"/>
                <w:vertAlign w:val="superscript"/>
              </w:rPr>
              <w:t>(2)</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Gulf Coast</w:t>
            </w:r>
          </w:p>
        </w:tc>
        <w:tc>
          <w:tcPr>
            <w:tcW w:w="1340" w:type="dxa"/>
            <w:vAlign w:val="bottom"/>
            <w:gridSpan w:val="2"/>
          </w:tcPr>
          <w:p>
            <w:pPr>
              <w:jc w:val="right"/>
              <w:ind w:right="8"/>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Western</w:t>
            </w:r>
          </w:p>
        </w:tc>
        <w:tc>
          <w:tcPr>
            <w:tcW w:w="1340" w:type="dxa"/>
            <w:vAlign w:val="bottom"/>
            <w:gridSpan w:val="2"/>
          </w:tcPr>
          <w:p>
            <w:pPr>
              <w:jc w:val="right"/>
              <w:ind w:right="8"/>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Canada</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155"/>
        </w:trPr>
        <w:tc>
          <w:tcPr>
            <w:tcW w:w="606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1"/>
              </w:rPr>
              <w:t>Crude oil pipeline tariff volumes (average volumes in thousands of barrels per day)</w:t>
            </w:r>
          </w:p>
        </w:tc>
        <w:tc>
          <w:tcPr>
            <w:tcW w:w="160" w:type="dxa"/>
            <w:vAlign w:val="bottom"/>
          </w:tcPr>
          <w:p>
            <w:pPr>
              <w:jc w:val="right"/>
              <w:spacing w:after="0" w:line="128" w:lineRule="exact"/>
              <w:rPr>
                <w:sz w:val="20"/>
                <w:szCs w:val="20"/>
                <w:color w:val="auto"/>
              </w:rPr>
            </w:pPr>
            <w:r>
              <w:rPr>
                <w:rFonts w:ascii="Arial" w:cs="Arial" w:eastAsia="Arial" w:hAnsi="Arial"/>
                <w:sz w:val="12"/>
                <w:szCs w:val="12"/>
                <w:color w:val="auto"/>
                <w:w w:val="81"/>
              </w:rPr>
              <w:t>(1)</w:t>
            </w: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13"/>
                <w:szCs w:val="13"/>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162"/>
        </w:trPr>
        <w:tc>
          <w:tcPr>
            <w:tcW w:w="3880" w:type="dxa"/>
            <w:vAlign w:val="bottom"/>
          </w:tcPr>
          <w:p>
            <w:pPr>
              <w:ind w:left="20"/>
              <w:spacing w:after="0"/>
              <w:rPr>
                <w:sz w:val="20"/>
                <w:szCs w:val="20"/>
                <w:color w:val="auto"/>
              </w:rPr>
            </w:pPr>
            <w:r>
              <w:rPr>
                <w:rFonts w:ascii="Arial" w:cs="Arial" w:eastAsia="Arial" w:hAnsi="Arial"/>
                <w:sz w:val="12"/>
                <w:szCs w:val="12"/>
                <w:color w:val="auto"/>
              </w:rPr>
              <w:t>(2)</w:t>
            </w:r>
          </w:p>
        </w:tc>
        <w:tc>
          <w:tcPr>
            <w:tcW w:w="2180" w:type="dxa"/>
            <w:vAlign w:val="bottom"/>
          </w:tcPr>
          <w:p>
            <w:pPr>
              <w:spacing w:after="0"/>
              <w:rPr>
                <w:sz w:val="14"/>
                <w:szCs w:val="14"/>
                <w:color w:val="auto"/>
              </w:rPr>
            </w:pPr>
          </w:p>
        </w:tc>
        <w:tc>
          <w:tcPr>
            <w:tcW w:w="1340" w:type="dxa"/>
            <w:vAlign w:val="bottom"/>
            <w:gridSpan w:val="2"/>
          </w:tcPr>
          <w:p>
            <w:pPr>
              <w:jc w:val="right"/>
              <w:ind w:right="8"/>
              <w:spacing w:after="0" w:line="162" w:lineRule="exact"/>
              <w:rPr>
                <w:sz w:val="20"/>
                <w:szCs w:val="20"/>
                <w:color w:val="auto"/>
              </w:rPr>
            </w:pPr>
            <w:r>
              <w:rPr>
                <w:rFonts w:ascii="Arial" w:cs="Arial" w:eastAsia="Arial" w:hAnsi="Arial"/>
                <w:sz w:val="18"/>
                <w:szCs w:val="18"/>
                <w:color w:val="auto"/>
              </w:rPr>
              <w:t>7,202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Commercial crude oil storage capacity (average monthly volumes in millions of</w:t>
            </w:r>
          </w:p>
        </w:tc>
        <w:tc>
          <w:tcPr>
            <w:tcW w:w="134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(2)(3)</w:t>
            </w: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0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Crude oil lease gathering purchases (average volumes in thousands of barrels per</w:t>
            </w:r>
          </w:p>
        </w:tc>
        <w:tc>
          <w:tcPr>
            <w:tcW w:w="134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day) </w:t>
            </w:r>
            <w:r>
              <w:rPr>
                <w:rFonts w:ascii="Arial" w:cs="Arial" w:eastAsia="Arial" w:hAnsi="Arial"/>
                <w:sz w:val="23"/>
                <w:szCs w:val="23"/>
                <w:color w:val="auto"/>
                <w:vertAlign w:val="superscript"/>
              </w:rPr>
              <w:t>(1)</w:t>
            </w: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NGL Segment Volumes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NGL fractionation (average volumes in thousands of barrels per day) </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060" w:type="dxa"/>
            <w:vAlign w:val="bottom"/>
            <w:gridSpan w:val="2"/>
          </w:tcPr>
          <w:p>
            <w:pPr>
              <w:ind w:left="180"/>
              <w:spacing w:after="0" w:line="230" w:lineRule="exact"/>
              <w:rPr>
                <w:sz w:val="20"/>
                <w:szCs w:val="20"/>
                <w:color w:val="auto"/>
              </w:rPr>
            </w:pPr>
            <w:r>
              <w:rPr>
                <w:rFonts w:ascii="Arial" w:cs="Arial" w:eastAsia="Arial" w:hAnsi="Arial"/>
                <w:sz w:val="18"/>
                <w:szCs w:val="18"/>
                <w:color w:val="auto"/>
                <w:w w:val="90"/>
              </w:rPr>
              <w:t xml:space="preserve">NGL pipeline tariff volumes (average volumes in thousands of barrels per day) </w:t>
            </w:r>
            <w:r>
              <w:rPr>
                <w:rFonts w:ascii="Arial" w:cs="Arial" w:eastAsia="Arial" w:hAnsi="Arial"/>
                <w:sz w:val="23"/>
                <w:szCs w:val="23"/>
                <w:color w:val="auto"/>
                <w:w w:val="90"/>
                <w:vertAlign w:val="superscript"/>
              </w:rPr>
              <w:t>(1)</w:t>
            </w:r>
          </w:p>
        </w:tc>
        <w:tc>
          <w:tcPr>
            <w:tcW w:w="1340" w:type="dxa"/>
            <w:vAlign w:val="bottom"/>
            <w:gridSpan w:val="2"/>
          </w:tcPr>
          <w:p>
            <w:pPr>
              <w:jc w:val="right"/>
              <w:ind w:right="8"/>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606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NGL sales (average volumes in thousands of barrels per day) </w:t>
            </w:r>
            <w:r>
              <w:rPr>
                <w:rFonts w:ascii="Arial" w:cs="Arial" w:eastAsia="Arial" w:hAnsi="Arial"/>
                <w:sz w:val="23"/>
                <w:szCs w:val="23"/>
                <w:color w:val="auto"/>
                <w:vertAlign w:val="superscript"/>
              </w:rPr>
              <w:t>(1)</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right="20" w:hanging="332"/>
        <w:spacing w:after="0" w:line="238" w:lineRule="auto"/>
        <w:tabs>
          <w:tab w:leader="none" w:pos="328"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Average daily volumes calculated as the total volumes for the period divided by the number of days in the period. Volumes associated with acquisitions represent total volumes for the number of days we actually owned the assets divided by the number of days in the period.</w:t>
      </w:r>
    </w:p>
    <w:p>
      <w:pPr>
        <w:spacing w:after="0" w:line="7" w:lineRule="exact"/>
        <w:rPr>
          <w:rFonts w:ascii="Arial" w:cs="Arial" w:eastAsia="Arial" w:hAnsi="Arial"/>
          <w:sz w:val="22"/>
          <w:szCs w:val="22"/>
          <w:color w:val="auto"/>
          <w:vertAlign w:val="superscript"/>
        </w:rPr>
      </w:pPr>
    </w:p>
    <w:p>
      <w:pPr>
        <w:ind w:left="320" w:hanging="312"/>
        <w:spacing w:after="0"/>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volumes (attributable to our interest) from assets owned by unconsolidated entities.</w:t>
      </w:r>
    </w:p>
    <w:p>
      <w:pPr>
        <w:spacing w:after="0" w:line="55"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Average monthly capacity calculated as total volumes for the period divided by the number of months in the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19" w:name="page20"/>
    <w:bookmarkEnd w:id="19"/>
    <w:p>
      <w:pPr>
        <w:ind w:left="100"/>
        <w:spacing w:after="0"/>
        <w:rPr>
          <w:sz w:val="20"/>
          <w:szCs w:val="20"/>
          <w:color w:val="auto"/>
        </w:rPr>
      </w:pPr>
      <w:r>
        <w:rPr>
          <w:rFonts w:ascii="Arial" w:cs="Arial" w:eastAsia="Arial" w:hAnsi="Arial"/>
          <w:sz w:val="18"/>
          <w:szCs w:val="18"/>
          <w:u w:val="single" w:color="auto"/>
          <w:color w:val="auto"/>
        </w:rPr>
        <w:t>Page 17</w:t>
      </w:r>
    </w:p>
    <w:p>
      <w:pPr>
        <w:spacing w:after="0" w:line="3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57150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u w:val="single" w:color="auto"/>
          <w:color w:val="auto"/>
        </w:rPr>
        <w:t>NON-GAAP SEGMENT RECONCILIATIONS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millions)</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Segment Adjusted EBITDA to Adjusted EBITDA attributable to PAA Reconciliation: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8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Twelve Months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80" w:type="dxa"/>
            <w:vAlign w:val="bottom"/>
            <w:gridSpan w:val="2"/>
          </w:tcPr>
          <w:p>
            <w:pPr>
              <w:spacing w:after="0"/>
              <w:rPr>
                <w:sz w:val="20"/>
                <w:szCs w:val="20"/>
                <w:color w:val="auto"/>
              </w:rPr>
            </w:pPr>
            <w:r>
              <w:rPr>
                <w:rFonts w:ascii="Arial" w:cs="Arial" w:eastAsia="Arial" w:hAnsi="Arial"/>
                <w:sz w:val="18"/>
                <w:szCs w:val="18"/>
                <w:color w:val="auto"/>
              </w:rPr>
              <w:t>Crude Oil Segment Adjusted EBITDA</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1,909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2,216</w:t>
            </w:r>
          </w:p>
        </w:tc>
        <w:tc>
          <w:tcPr>
            <w:tcW w:w="0" w:type="dxa"/>
            <w:vAlign w:val="bottom"/>
          </w:tcPr>
          <w:p>
            <w:pPr>
              <w:spacing w:after="0"/>
              <w:rPr>
                <w:sz w:val="1"/>
                <w:szCs w:val="1"/>
                <w:color w:val="auto"/>
              </w:rPr>
            </w:pPr>
          </w:p>
        </w:tc>
      </w:tr>
      <w:tr>
        <w:trPr>
          <w:trHeight w:val="229"/>
        </w:trPr>
        <w:tc>
          <w:tcPr>
            <w:tcW w:w="3980" w:type="dxa"/>
            <w:vAlign w:val="bottom"/>
            <w:gridSpan w:val="2"/>
          </w:tcPr>
          <w:p>
            <w:pPr>
              <w:spacing w:after="0"/>
              <w:rPr>
                <w:sz w:val="20"/>
                <w:szCs w:val="20"/>
                <w:color w:val="auto"/>
              </w:rPr>
            </w:pPr>
            <w:r>
              <w:rPr>
                <w:rFonts w:ascii="Arial" w:cs="Arial" w:eastAsia="Arial" w:hAnsi="Arial"/>
                <w:sz w:val="18"/>
                <w:szCs w:val="18"/>
                <w:color w:val="auto"/>
              </w:rPr>
              <w:t>NGL Segment Adjusted EBITDA</w:t>
            </w:r>
          </w:p>
        </w:tc>
        <w:tc>
          <w:tcPr>
            <w:tcW w:w="2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Adjusted EBITDA</w:t>
            </w:r>
          </w:p>
        </w:tc>
        <w:tc>
          <w:tcPr>
            <w:tcW w:w="2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3880" w:type="dxa"/>
            <w:vAlign w:val="bottom"/>
            <w:vMerge w:val="continue"/>
            <w:shd w:val="clear" w:color="auto" w:fill="CCEEFF"/>
          </w:tcPr>
          <w:p>
            <w:pPr>
              <w:spacing w:after="0"/>
              <w:rPr>
                <w:sz w:val="19"/>
                <w:szCs w:val="19"/>
                <w:color w:val="auto"/>
              </w:rPr>
            </w:pPr>
          </w:p>
        </w:tc>
        <w:tc>
          <w:tcPr>
            <w:tcW w:w="2260" w:type="dxa"/>
            <w:vAlign w:val="bottom"/>
            <w:vMerge w:val="continue"/>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2,194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2,543</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880" w:type="dxa"/>
            <w:vAlign w:val="bottom"/>
            <w:tcBorders>
              <w:bottom w:val="single" w:sz="8" w:color="CCEEFF"/>
            </w:tcBorders>
          </w:tcPr>
          <w:p>
            <w:pPr>
              <w:spacing w:after="0" w:line="230" w:lineRule="exact"/>
              <w:rPr>
                <w:sz w:val="20"/>
                <w:szCs w:val="20"/>
                <w:color w:val="auto"/>
              </w:rPr>
            </w:pPr>
            <w:r>
              <w:rPr>
                <w:rFonts w:ascii="Arial" w:cs="Arial" w:eastAsia="Arial" w:hAnsi="Arial"/>
                <w:sz w:val="18"/>
                <w:szCs w:val="18"/>
                <w:color w:val="auto"/>
              </w:rPr>
              <w:t xml:space="preserve">Adjusted other income, net </w:t>
            </w:r>
            <w:r>
              <w:rPr>
                <w:rFonts w:ascii="Arial" w:cs="Arial" w:eastAsia="Arial" w:hAnsi="Arial"/>
                <w:sz w:val="23"/>
                <w:szCs w:val="23"/>
                <w:color w:val="auto"/>
                <w:vertAlign w:val="superscript"/>
              </w:rPr>
              <w:t>(1)</w:t>
            </w:r>
          </w:p>
        </w:tc>
        <w:tc>
          <w:tcPr>
            <w:tcW w:w="226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line="223" w:lineRule="exact"/>
              <w:rPr>
                <w:sz w:val="20"/>
                <w:szCs w:val="20"/>
                <w:color w:val="auto"/>
              </w:rPr>
            </w:pPr>
            <w:r>
              <w:rPr>
                <w:rFonts w:ascii="Arial" w:cs="Arial" w:eastAsia="Arial" w:hAnsi="Arial"/>
                <w:sz w:val="18"/>
                <w:szCs w:val="18"/>
                <w:color w:val="auto"/>
              </w:rPr>
              <w:t xml:space="preserve">Adjusted EBITDA attributable to PAA </w:t>
            </w:r>
            <w:r>
              <w:rPr>
                <w:rFonts w:ascii="Arial" w:cs="Arial" w:eastAsia="Arial" w:hAnsi="Arial"/>
                <w:sz w:val="23"/>
                <w:szCs w:val="23"/>
                <w:color w:val="auto"/>
                <w:vertAlign w:val="superscript"/>
              </w:rPr>
              <w:t>(2)</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spacing w:after="0"/>
              <w:rPr>
                <w:sz w:val="21"/>
                <w:szCs w:val="21"/>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2,196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2,546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 w:type="dxa"/>
            <w:vAlign w:val="bottom"/>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-934085</wp:posOffset>
            </wp:positionV>
            <wp:extent cx="702945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spacing w:after="0" w:line="114" w:lineRule="exact"/>
        <w:rPr>
          <w:sz w:val="20"/>
          <w:szCs w:val="20"/>
          <w:color w:val="auto"/>
        </w:rPr>
      </w:pPr>
    </w:p>
    <w:p>
      <w:pPr>
        <w:ind w:left="440" w:right="400" w:hanging="332"/>
        <w:spacing w:after="0" w:line="238" w:lineRule="auto"/>
        <w:tabs>
          <w:tab w:leader="none" w:pos="428"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Represents “Other income, net” as reported on our Condensed Consolidated Statements of Operations, adjusted for selected items impacting comparability of $(6) million, $(47) million, $(17) million and $(36) million for the three and twelve months ended December 31, 2021 and 2020, respectively. See the “Selected Items Impacting Comparability” table for additional information. Adjusted other income, net attributable to noncontrolling interests is less than $1 million for each of the periods presented.</w:t>
      </w:r>
    </w:p>
    <w:p>
      <w:pPr>
        <w:spacing w:after="0" w:line="28" w:lineRule="exact"/>
        <w:rPr>
          <w:rFonts w:ascii="Arial" w:cs="Arial" w:eastAsia="Arial" w:hAnsi="Arial"/>
          <w:sz w:val="23"/>
          <w:szCs w:val="23"/>
          <w:color w:val="auto"/>
          <w:vertAlign w:val="superscript"/>
        </w:rPr>
      </w:pPr>
    </w:p>
    <w:p>
      <w:pPr>
        <w:ind w:left="420" w:hanging="312"/>
        <w:spacing w:after="0"/>
        <w:tabs>
          <w:tab w:leader="none" w:pos="4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See the “Net Income/(Loss) to Adjusted EBITDA attributable to PAA and Implied DCF Reconciliation” table for reconciliation to Net Income/(Loss).</w:t>
      </w:r>
    </w:p>
    <w:p>
      <w:pPr>
        <w:spacing w:after="0" w:line="3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Reconciliation of Segment Adjusted EBITDA to Segment Adjusted EBITDA further adjusted for impact of divested assets: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4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3"/>
          </w:tcPr>
          <w:p>
            <w:pPr>
              <w:ind w:left="720"/>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4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December 31, 2021</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December 31, 2020</w:t>
            </w:r>
          </w:p>
        </w:tc>
      </w:tr>
      <w:tr>
        <w:trPr>
          <w:trHeight w:val="181"/>
        </w:trPr>
        <w:tc>
          <w:tcPr>
            <w:tcW w:w="100" w:type="dxa"/>
            <w:vAlign w:val="bottom"/>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Crude Oil</w:t>
            </w: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NGL</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Crude Oil</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NGL</w:t>
            </w:r>
          </w:p>
        </w:tc>
      </w:tr>
      <w:tr>
        <w:trPr>
          <w:trHeight w:val="212"/>
        </w:trPr>
        <w:tc>
          <w:tcPr>
            <w:tcW w:w="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Segment Adjusted EBITDA</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w w:val="98"/>
              </w:rPr>
              <w:t>465 $</w:t>
            </w:r>
          </w:p>
        </w:tc>
        <w:tc>
          <w:tcPr>
            <w:tcW w:w="14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89</w:t>
            </w:r>
          </w:p>
        </w:tc>
      </w:tr>
      <w:tr>
        <w:trPr>
          <w:trHeight w:val="216"/>
        </w:trPr>
        <w:tc>
          <w:tcPr>
            <w:tcW w:w="100" w:type="dxa"/>
            <w:vAlign w:val="bottom"/>
          </w:tcPr>
          <w:p>
            <w:pPr>
              <w:spacing w:after="0"/>
              <w:rPr>
                <w:sz w:val="18"/>
                <w:szCs w:val="18"/>
                <w:color w:val="auto"/>
              </w:rPr>
            </w:pPr>
          </w:p>
        </w:tc>
        <w:tc>
          <w:tcPr>
            <w:tcW w:w="3340" w:type="dxa"/>
            <w:vAlign w:val="bottom"/>
            <w:tcBorders>
              <w:bottom w:val="single" w:sz="8" w:color="CCEEFF"/>
            </w:tcBorders>
          </w:tcPr>
          <w:p>
            <w:pPr>
              <w:spacing w:after="0" w:line="216" w:lineRule="exact"/>
              <w:rPr>
                <w:sz w:val="20"/>
                <w:szCs w:val="20"/>
                <w:color w:val="auto"/>
              </w:rPr>
            </w:pPr>
            <w:r>
              <w:rPr>
                <w:rFonts w:ascii="Arial" w:cs="Arial" w:eastAsia="Arial" w:hAnsi="Arial"/>
                <w:sz w:val="17"/>
                <w:szCs w:val="17"/>
                <w:color w:val="auto"/>
              </w:rPr>
              <w:t xml:space="preserve">mpact of divested assets </w:t>
            </w:r>
            <w:r>
              <w:rPr>
                <w:rFonts w:ascii="Arial" w:cs="Arial" w:eastAsia="Arial" w:hAnsi="Arial"/>
                <w:sz w:val="22"/>
                <w:szCs w:val="22"/>
                <w:color w:val="auto"/>
                <w:vertAlign w:val="superscript"/>
              </w:rPr>
              <w:t>(1)</w:t>
            </w:r>
          </w:p>
        </w:tc>
        <w:tc>
          <w:tcPr>
            <w:tcW w:w="16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1100"/>
              <w:spacing w:after="0"/>
              <w:rPr>
                <w:sz w:val="20"/>
                <w:szCs w:val="20"/>
                <w:color w:val="auto"/>
              </w:rPr>
            </w:pPr>
            <w:r>
              <w:rPr>
                <w:rFonts w:ascii="Arial" w:cs="Arial" w:eastAsia="Arial" w:hAnsi="Arial"/>
                <w:sz w:val="17"/>
                <w:szCs w:val="17"/>
                <w:color w:val="auto"/>
                <w:w w:val="92"/>
              </w:rPr>
              <w:t>(20)</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7"/>
                <w:szCs w:val="17"/>
                <w:color w:val="auto"/>
                <w:w w:val="96"/>
              </w:rPr>
              <w:t>(1)</w:t>
            </w:r>
          </w:p>
        </w:tc>
      </w:tr>
      <w:tr>
        <w:trPr>
          <w:trHeight w:val="230"/>
        </w:trPr>
        <w:tc>
          <w:tcPr>
            <w:tcW w:w="10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9"/>
              </w:rPr>
              <w:t>Segment Adjusted EBITDA further adjusted for impact of divested assets$</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w w:val="98"/>
              </w:rPr>
              <w:t>445 $</w:t>
            </w:r>
          </w:p>
        </w:tc>
        <w:tc>
          <w:tcPr>
            <w:tcW w:w="14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88</w:t>
            </w:r>
          </w:p>
        </w:tc>
      </w:tr>
      <w:tr>
        <w:trPr>
          <w:trHeight w:val="20"/>
        </w:trPr>
        <w:tc>
          <w:tcPr>
            <w:tcW w:w="10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5177790</wp:posOffset>
            </wp:positionH>
            <wp:positionV relativeFrom="paragraph">
              <wp:posOffset>-462280</wp:posOffset>
            </wp:positionV>
            <wp:extent cx="8255" cy="445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445770"/>
                    </a:xfrm>
                    <a:prstGeom prst="rect">
                      <a:avLst/>
                    </a:prstGeom>
                    <a:noFill/>
                  </pic:spPr>
                </pic:pic>
              </a:graphicData>
            </a:graphic>
          </wp:anchor>
        </w:drawing>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4"/>
          </w:tcPr>
          <w:p>
            <w:pPr>
              <w:jc w:val="right"/>
              <w:ind w:right="718"/>
              <w:spacing w:after="0"/>
              <w:rPr>
                <w:sz w:val="20"/>
                <w:szCs w:val="20"/>
                <w:color w:val="auto"/>
              </w:rPr>
            </w:pPr>
            <w:r>
              <w:rPr>
                <w:rFonts w:ascii="Arial" w:cs="Arial" w:eastAsia="Arial" w:hAnsi="Arial"/>
                <w:sz w:val="14"/>
                <w:szCs w:val="14"/>
                <w:b w:val="1"/>
                <w:bCs w:val="1"/>
                <w:color w:val="auto"/>
              </w:rPr>
              <w:t>Twelve Months Ended</w:t>
            </w:r>
          </w:p>
        </w:tc>
      </w:tr>
      <w:tr>
        <w:trPr>
          <w:trHeight w:val="188"/>
        </w:trPr>
        <w:tc>
          <w:tcPr>
            <w:tcW w:w="3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December 31, 2021</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tcBorders>
              <w:bottom w:val="single" w:sz="8" w:color="auto"/>
            </w:tcBorders>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NGL</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40" w:type="dxa"/>
            <w:vAlign w:val="bottom"/>
          </w:tcPr>
          <w:p>
            <w:pPr>
              <w:spacing w:after="0"/>
              <w:rPr>
                <w:sz w:val="15"/>
                <w:szCs w:val="15"/>
                <w:color w:val="auto"/>
              </w:rPr>
            </w:pPr>
          </w:p>
        </w:tc>
        <w:tc>
          <w:tcPr>
            <w:tcW w:w="880" w:type="dxa"/>
            <w:vAlign w:val="bottom"/>
          </w:tcPr>
          <w:p>
            <w:pPr>
              <w:jc w:val="right"/>
              <w:ind w:right="478"/>
              <w:spacing w:after="0"/>
              <w:rPr>
                <w:sz w:val="20"/>
                <w:szCs w:val="20"/>
                <w:color w:val="auto"/>
              </w:rPr>
            </w:pPr>
            <w:r>
              <w:rPr>
                <w:rFonts w:ascii="Arial" w:cs="Arial" w:eastAsia="Arial" w:hAnsi="Arial"/>
                <w:sz w:val="14"/>
                <w:szCs w:val="14"/>
                <w:b w:val="1"/>
                <w:bCs w:val="1"/>
                <w:color w:val="auto"/>
              </w:rPr>
              <w:t>NGL</w:t>
            </w:r>
          </w:p>
        </w:tc>
      </w:tr>
      <w:tr>
        <w:trPr>
          <w:trHeight w:val="211"/>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1,909</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2,216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w:t>
            </w:r>
          </w:p>
        </w:tc>
      </w:tr>
      <w:tr>
        <w:trPr>
          <w:trHeight w:val="216"/>
        </w:trPr>
        <w:tc>
          <w:tcPr>
            <w:tcW w:w="51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Impact of divested assets </w:t>
            </w:r>
            <w:r>
              <w:rPr>
                <w:rFonts w:ascii="Arial" w:cs="Arial" w:eastAsia="Arial" w:hAnsi="Arial"/>
                <w:sz w:val="22"/>
                <w:szCs w:val="22"/>
                <w:color w:val="auto"/>
                <w:vertAlign w:val="superscript"/>
              </w:rPr>
              <w:t>(1)</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5"/>
        </w:trPr>
        <w:tc>
          <w:tcPr>
            <w:tcW w:w="5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2"/>
              </w:rPr>
              <w:t>Segment Adjusted EBITDA further adjusted for impact of divested assets</w:t>
            </w: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4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2,101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r>
    </w:tbl>
    <w:p>
      <w:pPr>
        <w:spacing w:after="0" w:line="80" w:lineRule="exact"/>
        <w:rPr>
          <w:sz w:val="20"/>
          <w:szCs w:val="20"/>
          <w:color w:val="auto"/>
        </w:rPr>
      </w:pPr>
    </w:p>
    <w:p>
      <w:pPr>
        <w:ind w:left="100" w:right="80" w:firstLine="8"/>
        <w:spacing w:after="0" w:line="251" w:lineRule="auto"/>
        <w:tabs>
          <w:tab w:leader="none" w:pos="281"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Estimated impact of divestitures completed during 2020 and 2021, assuming an effective date of January 1, 2020. Divested assets primarily included certain Los Angeles Basin crude oil storage terminals, natural gas storage facilities and the sale of a portion of our interest in a joint venture pipeline, all of</w:t>
      </w:r>
    </w:p>
    <w:p>
      <w:pPr>
        <w:spacing w:after="0" w:line="1" w:lineRule="exact"/>
        <w:rPr>
          <w:sz w:val="20"/>
          <w:szCs w:val="20"/>
          <w:color w:val="auto"/>
        </w:rPr>
      </w:pPr>
    </w:p>
    <w:p>
      <w:pPr>
        <w:ind w:left="5440" w:right="660" w:hanging="5325"/>
        <w:spacing w:after="0" w:line="226" w:lineRule="auto"/>
        <w:rPr>
          <w:sz w:val="20"/>
          <w:szCs w:val="20"/>
          <w:color w:val="auto"/>
        </w:rPr>
      </w:pPr>
      <w:r>
        <w:rPr>
          <w:rFonts w:ascii="Arial" w:cs="Arial" w:eastAsia="Arial" w:hAnsi="Arial"/>
          <w:sz w:val="18"/>
          <w:szCs w:val="18"/>
          <w:color w:val="auto"/>
        </w:rPr>
        <w:t>which were previously included in our Crude Oil segment, and the sale of certain NGL storage terminals previously reported in our NGL segment. -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86995</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3" w:lineRule="exact"/>
        <w:rPr>
          <w:sz w:val="20"/>
          <w:szCs w:val="20"/>
          <w:color w:val="auto"/>
        </w:rPr>
      </w:pPr>
    </w:p>
    <w:p>
      <w:pPr>
        <w:ind w:left="1760"/>
        <w:spacing w:after="0"/>
        <w:tabs>
          <w:tab w:leader="none" w:pos="4860" w:val="left"/>
          <w:tab w:leader="none" w:pos="75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340"/>
          </w:cols>
          <w:pgMar w:left="2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Page 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11,725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Gain on/(impairment of) investments in</w:t>
            </w:r>
          </w:p>
        </w:tc>
        <w:tc>
          <w:tcPr>
            <w:tcW w:w="2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(expense)/benefit</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5"/>
        </w:trPr>
        <w:tc>
          <w:tcPr>
            <w:tcW w:w="3120" w:type="dxa"/>
            <w:vAlign w:val="bottom"/>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Basic weighted average Class A shares outstanding</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w w:val="92"/>
              </w:rPr>
              <w:t>Basic net income/(loss) per Class A share</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gridSpan w:val="5"/>
          </w:tcPr>
          <w:p>
            <w:pPr>
              <w:ind w:left="20"/>
              <w:spacing w:after="0"/>
              <w:rPr>
                <w:sz w:val="20"/>
                <w:szCs w:val="20"/>
                <w:color w:val="auto"/>
              </w:rPr>
            </w:pPr>
            <w:r>
              <w:rPr>
                <w:rFonts w:ascii="Arial" w:cs="Arial" w:eastAsia="Arial" w:hAnsi="Arial"/>
                <w:sz w:val="18"/>
                <w:szCs w:val="18"/>
                <w:color w:val="auto"/>
              </w:rPr>
              <w:t>Diluted weighted average Class A shares outstanding</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6"/>
              </w:rPr>
              <w:t>Diluted net income/(loss) per Class A share</w:t>
            </w: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Page 19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Twelve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Twelve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PAA</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6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7"/>
                <w:szCs w:val="17"/>
                <w:color w:val="auto"/>
              </w:rPr>
            </w:pPr>
          </w:p>
        </w:tc>
        <w:tc>
          <w:tcPr>
            <w:tcW w:w="138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40" w:type="dxa"/>
            <w:vAlign w:val="bottom"/>
          </w:tcPr>
          <w:p>
            <w:pPr>
              <w:spacing w:after="0"/>
              <w:rPr>
                <w:sz w:val="17"/>
                <w:szCs w:val="17"/>
                <w:color w:val="auto"/>
              </w:rPr>
            </w:pPr>
          </w:p>
        </w:tc>
        <w:tc>
          <w:tcPr>
            <w:tcW w:w="90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38,469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38,469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20,431</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6"/>
              </w:rPr>
              <w:t>(Gains)/losses on asset sales and asset</w:t>
            </w:r>
          </w:p>
        </w:tc>
        <w:tc>
          <w:tcPr>
            <w:tcW w:w="26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9"/>
        </w:trPr>
        <w:tc>
          <w:tcPr>
            <w:tcW w:w="3100" w:type="dxa"/>
            <w:vAlign w:val="bottom"/>
          </w:tcPr>
          <w:p>
            <w:pPr>
              <w:ind w:left="180"/>
              <w:spacing w:after="0"/>
              <w:rPr>
                <w:sz w:val="20"/>
                <w:szCs w:val="20"/>
                <w:color w:val="auto"/>
              </w:rPr>
            </w:pPr>
            <w:r>
              <w:rPr>
                <w:rFonts w:ascii="Arial" w:cs="Arial" w:eastAsia="Arial" w:hAnsi="Arial"/>
                <w:sz w:val="18"/>
                <w:szCs w:val="18"/>
                <w:color w:val="auto"/>
              </w:rPr>
              <w:t>impairments, net</w:t>
            </w: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losses</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23"/>
        </w:trPr>
        <w:tc>
          <w:tcPr>
            <w:tcW w:w="310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41,192</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25,673</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OPERATING INCOME/(LOSS)</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Equity earnings in unconsolidated entities</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175"/>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w w:val="98"/>
              </w:rPr>
              <w:t>Gain on/(impairment of) investments in</w:t>
            </w:r>
          </w:p>
        </w:tc>
        <w:tc>
          <w:tcPr>
            <w:tcW w:w="26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unconsolidated entities, net</w:t>
            </w: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29"/>
        </w:trPr>
        <w:tc>
          <w:tcPr>
            <w:tcW w:w="3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INCOME/(LOSS) BEFORE TAX</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Deferred income tax (expense)/benefit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28"/>
        </w:trPr>
        <w:tc>
          <w:tcPr>
            <w:tcW w:w="3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INCOME/(LOSS)</w:t>
            </w:r>
          </w:p>
        </w:tc>
        <w:tc>
          <w:tcPr>
            <w:tcW w:w="2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(income)/loss attributable to</w:t>
            </w:r>
          </w:p>
        </w:tc>
        <w:tc>
          <w:tcPr>
            <w:tcW w:w="26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NET INCOME/(LOSS)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593</w:t>
            </w: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right w:val="single" w:sz="8" w:color="auto"/>
            </w:tcBorders>
          </w:tcPr>
          <w:p>
            <w:pPr>
              <w:spacing w:after="0"/>
              <w:rPr>
                <w:sz w:val="13"/>
                <w:szCs w:val="13"/>
                <w:color w:val="auto"/>
              </w:rPr>
            </w:pPr>
          </w:p>
        </w:tc>
        <w:tc>
          <w:tcPr>
            <w:tcW w:w="36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ATTRIBUTABLE TO PAGP</w:t>
            </w:r>
          </w:p>
        </w:tc>
        <w:tc>
          <w:tcPr>
            <w:tcW w:w="26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gridSpan w:val="4"/>
          </w:tcPr>
          <w:p>
            <w:pPr>
              <w:ind w:left="20"/>
              <w:spacing w:after="0"/>
              <w:rPr>
                <w:sz w:val="20"/>
                <w:szCs w:val="20"/>
                <w:color w:val="auto"/>
              </w:rPr>
            </w:pPr>
            <w:r>
              <w:rPr>
                <w:rFonts w:ascii="Arial" w:cs="Arial" w:eastAsia="Arial" w:hAnsi="Arial"/>
                <w:sz w:val="18"/>
                <w:szCs w:val="18"/>
                <w:color w:val="auto"/>
              </w:rPr>
              <w:t>Basic weighted average Class A shares outstanding</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Basic net income/(loss) per Class A share</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gridSpan w:val="3"/>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7"/>
              </w:rPr>
              <w:t>Diluted weighted average Class A shares outstanding</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0"/>
        </w:trPr>
        <w:tc>
          <w:tcPr>
            <w:tcW w:w="3360" w:type="dxa"/>
            <w:vAlign w:val="bottom"/>
            <w:gridSpan w:val="2"/>
          </w:tcPr>
          <w:p>
            <w:pPr>
              <w:ind w:left="20"/>
              <w:spacing w:after="0"/>
              <w:rPr>
                <w:sz w:val="20"/>
                <w:szCs w:val="20"/>
                <w:color w:val="auto"/>
              </w:rPr>
            </w:pPr>
            <w:r>
              <w:rPr>
                <w:rFonts w:ascii="Arial" w:cs="Arial" w:eastAsia="Arial" w:hAnsi="Arial"/>
                <w:sz w:val="18"/>
                <w:szCs w:val="18"/>
                <w:color w:val="auto"/>
                <w:w w:val="95"/>
              </w:rPr>
              <w:t>Diluted net income/(loss) per Class A share</w:t>
            </w: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156"/>
        </w:trPr>
        <w:tc>
          <w:tcPr>
            <w:tcW w:w="3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ind w:left="5440" w:hanging="106"/>
        <w:spacing w:after="0"/>
        <w:tabs>
          <w:tab w:leader="none" w:pos="5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9"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140"/>
          </w:cols>
          <w:pgMar w:left="320" w:top="368"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Page 20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Consolidating</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20"/>
              <w:spacing w:after="0" w:line="201" w:lineRule="exact"/>
              <w:rPr>
                <w:sz w:val="20"/>
                <w:szCs w:val="20"/>
                <w:color w:val="auto"/>
              </w:rPr>
            </w:pPr>
            <w:r>
              <w:rPr>
                <w:rFonts w:ascii="Arial" w:cs="Arial" w:eastAsia="Arial" w:hAnsi="Arial"/>
                <w:sz w:val="14"/>
                <w:szCs w:val="14"/>
                <w:b w:val="1"/>
                <w:bCs w:val="1"/>
                <w:color w:val="auto"/>
                <w:w w:val="90"/>
              </w:rPr>
              <w:t xml:space="preserve">Adjustments </w:t>
            </w:r>
            <w:r>
              <w:rPr>
                <w:rFonts w:ascii="Arial" w:cs="Arial" w:eastAsia="Arial" w:hAnsi="Arial"/>
                <w:sz w:val="18"/>
                <w:szCs w:val="18"/>
                <w:b w:val="1"/>
                <w:bCs w:val="1"/>
                <w:color w:val="auto"/>
                <w:w w:val="90"/>
                <w:vertAlign w:val="superscript"/>
              </w:rPr>
              <w:t>(1)</w:t>
            </w:r>
          </w:p>
        </w:tc>
        <w:tc>
          <w:tcPr>
            <w:tcW w:w="260" w:type="dxa"/>
            <w:vAlign w:val="bottom"/>
          </w:tcPr>
          <w:p>
            <w:pPr>
              <w:spacing w:after="0"/>
              <w:rPr>
                <w:sz w:val="17"/>
                <w:szCs w:val="17"/>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4"/>
                <w:szCs w:val="14"/>
                <w:b w:val="1"/>
                <w:bCs w:val="1"/>
                <w:color w:val="auto"/>
                <w:w w:val="88"/>
              </w:rPr>
              <w:t xml:space="preserve">Adjustments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7"/>
                <w:szCs w:val="17"/>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6,137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6,140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Linefill and base gas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Long-term operating lease right-of-use</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net</w:t>
            </w:r>
          </w:p>
        </w:tc>
        <w:tc>
          <w:tcPr>
            <w:tcW w:w="2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long-term liabilities and deferred</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credits</w:t>
            </w:r>
          </w:p>
        </w:tc>
        <w:tc>
          <w:tcPr>
            <w:tcW w:w="2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15,801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14,759</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w w:val="94"/>
              </w:rPr>
              <w:t>Partners’ capital excluding noncontrolling</w:t>
            </w:r>
          </w:p>
        </w:tc>
        <w:tc>
          <w:tcPr>
            <w:tcW w:w="280" w:type="dxa"/>
            <w:vAlign w:val="bottom"/>
          </w:tcPr>
          <w:p>
            <w:pPr>
              <w:spacing w:after="0"/>
              <w:rPr>
                <w:sz w:val="15"/>
                <w:szCs w:val="15"/>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1,533</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9,593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29"/>
        </w:trPr>
        <w:tc>
          <w:tcPr>
            <w:tcW w:w="312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12,810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Total liabilities and partners’ capital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3960"/>
        <w:spacing w:after="0" w:line="271"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INCOME/(LOSS) PER CLASS A SHARE </w:t>
      </w:r>
      <w:r>
        <w:rPr>
          <w:rFonts w:ascii="Arial" w:cs="Arial" w:eastAsia="Arial" w:hAnsi="Arial"/>
          <w:sz w:val="18"/>
          <w:szCs w:val="18"/>
          <w:color w:val="auto"/>
        </w:rPr>
        <w:t>(in millions, except per share data)</w:t>
      </w:r>
    </w:p>
    <w:tbl>
      <w:tblPr>
        <w:tblLayout w:type="fixed"/>
        <w:tblInd w:w="0" w:type="dxa"/>
        <w:tblCellMar>
          <w:top w:w="0" w:type="dxa"/>
          <w:left w:w="0" w:type="dxa"/>
          <w:bottom w:w="0" w:type="dxa"/>
          <w:right w:w="0" w:type="dxa"/>
        </w:tblCellMar>
      </w:tblPr>
      <w:tr>
        <w:trPr>
          <w:trHeight w:val="145"/>
        </w:trPr>
        <w:tc>
          <w:tcPr>
            <w:tcW w:w="38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180" w:type="dxa"/>
            <w:vAlign w:val="bottom"/>
            <w:gridSpan w:val="4"/>
          </w:tcPr>
          <w:p>
            <w:pPr>
              <w:jc w:val="right"/>
              <w:ind w:right="113"/>
              <w:spacing w:after="0" w:line="145" w:lineRule="exact"/>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4"/>
          </w:tcPr>
          <w:p>
            <w:pPr>
              <w:jc w:val="right"/>
              <w:ind w:right="552"/>
              <w:spacing w:after="0" w:line="145" w:lineRule="exact"/>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53"/>
              <w:spacing w:after="0"/>
              <w:rPr>
                <w:sz w:val="20"/>
                <w:szCs w:val="20"/>
                <w:color w:val="auto"/>
              </w:rPr>
            </w:pPr>
            <w:r>
              <w:rPr>
                <w:rFonts w:ascii="Arial" w:cs="Arial" w:eastAsia="Arial" w:hAnsi="Arial"/>
                <w:sz w:val="14"/>
                <w:szCs w:val="14"/>
                <w:b w:val="1"/>
                <w:bCs w:val="1"/>
                <w:color w:val="auto"/>
                <w:w w:val="96"/>
              </w:rPr>
              <w:t>December 31,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Basic net income/(loss) per Class A share</w:t>
            </w: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Net income/(loss) attributable to PAGP</w:t>
            </w:r>
          </w:p>
        </w:tc>
        <w:tc>
          <w:tcPr>
            <w:tcW w:w="840" w:type="dxa"/>
            <w:vAlign w:val="bottom"/>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800" w:type="dxa"/>
            <w:vAlign w:val="bottom"/>
          </w:tcPr>
          <w:p>
            <w:pPr>
              <w:jc w:val="right"/>
              <w:ind w:right="613"/>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76"/>
        </w:trPr>
        <w:tc>
          <w:tcPr>
            <w:tcW w:w="584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w w:val="93"/>
              </w:rPr>
              <w:t>Incremental net income/(loss) attributable to PAGP resulting from assumed</w:t>
            </w:r>
          </w:p>
        </w:tc>
        <w:tc>
          <w:tcPr>
            <w:tcW w:w="8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exchange of AAP units and AAP Management Units</w:t>
            </w:r>
          </w:p>
        </w:tc>
        <w:tc>
          <w:tcPr>
            <w:tcW w:w="8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40" w:type="dxa"/>
            <w:vAlign w:val="bottom"/>
            <w:gridSpan w:val="2"/>
          </w:tcPr>
          <w:p>
            <w:pPr>
              <w:ind w:left="100"/>
              <w:spacing w:after="0" w:line="156" w:lineRule="exact"/>
              <w:rPr>
                <w:sz w:val="20"/>
                <w:szCs w:val="20"/>
                <w:color w:val="auto"/>
              </w:rPr>
            </w:pPr>
            <w:r>
              <w:rPr>
                <w:rFonts w:ascii="Arial" w:cs="Arial" w:eastAsia="Arial" w:hAnsi="Arial"/>
                <w:sz w:val="18"/>
                <w:szCs w:val="18"/>
                <w:color w:val="auto"/>
              </w:rPr>
              <w:t>Net income/(loss) attributable to PAGP including incremental net</w:t>
            </w:r>
          </w:p>
        </w:tc>
        <w:tc>
          <w:tcPr>
            <w:tcW w:w="8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84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5"/>
              </w:rPr>
              <w:t>income/(loss) from assumed exchange of AAP units and AAP Management</w:t>
            </w:r>
          </w:p>
        </w:tc>
        <w:tc>
          <w:tcPr>
            <w:tcW w:w="840" w:type="dxa"/>
            <w:vAlign w:val="bottom"/>
            <w:vMerge w:val="restart"/>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5"/>
                <w:szCs w:val="15"/>
                <w:color w:val="auto"/>
              </w:rPr>
            </w:pPr>
          </w:p>
        </w:tc>
        <w:tc>
          <w:tcPr>
            <w:tcW w:w="800" w:type="dxa"/>
            <w:vAlign w:val="bottom"/>
            <w:vMerge w:val="restart"/>
          </w:tcPr>
          <w:p>
            <w:pPr>
              <w:jc w:val="right"/>
              <w:ind w:right="613"/>
              <w:spacing w:after="0"/>
              <w:rPr>
                <w:sz w:val="20"/>
                <w:szCs w:val="20"/>
                <w:color w:val="auto"/>
              </w:rPr>
            </w:pPr>
            <w:r>
              <w:rPr>
                <w:rFonts w:ascii="Arial" w:cs="Arial" w:eastAsia="Arial" w:hAnsi="Arial"/>
                <w:sz w:val="18"/>
                <w:szCs w:val="18"/>
                <w:color w:val="auto"/>
                <w:w w:val="7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5"/>
                <w:szCs w:val="15"/>
                <w:color w:val="auto"/>
              </w:rPr>
            </w:pP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07"/>
        </w:trPr>
        <w:tc>
          <w:tcPr>
            <w:tcW w:w="5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Units</w:t>
            </w:r>
          </w:p>
        </w:tc>
        <w:tc>
          <w:tcPr>
            <w:tcW w:w="8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Basic weighted average Class A shares outstanding</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76"/>
        </w:trPr>
        <w:tc>
          <w:tcPr>
            <w:tcW w:w="58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Dilutive shares resulting from assumed exchange of AAP units and AAP</w:t>
            </w:r>
          </w:p>
        </w:tc>
        <w:tc>
          <w:tcPr>
            <w:tcW w:w="84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Units</w:t>
            </w:r>
          </w:p>
        </w:tc>
        <w:tc>
          <w:tcPr>
            <w:tcW w:w="84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ind w:left="100"/>
              <w:spacing w:after="0"/>
              <w:rPr>
                <w:sz w:val="20"/>
                <w:szCs w:val="20"/>
                <w:color w:val="auto"/>
              </w:rPr>
            </w:pPr>
            <w:r>
              <w:rPr>
                <w:rFonts w:ascii="Arial" w:cs="Arial" w:eastAsia="Arial" w:hAnsi="Arial"/>
                <w:sz w:val="18"/>
                <w:szCs w:val="18"/>
                <w:color w:val="auto"/>
              </w:rPr>
              <w:t>Diluted weighted average Class A shares outstanding</w:t>
            </w:r>
          </w:p>
        </w:tc>
        <w:tc>
          <w:tcPr>
            <w:tcW w:w="8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100"/>
              <w:spacing w:after="0" w:line="230" w:lineRule="exact"/>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3"/>
                <w:szCs w:val="23"/>
                <w:color w:val="auto"/>
                <w:vertAlign w:val="superscript"/>
              </w:rPr>
              <w:t>(1)</w:t>
            </w: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0.43</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(0.11)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1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40" w:right="300" w:hanging="332"/>
        <w:spacing w:after="0" w:line="246" w:lineRule="auto"/>
        <w:tabs>
          <w:tab w:leader="none" w:pos="334" w:val="left"/>
        </w:tabs>
        <w:numPr>
          <w:ilvl w:val="0"/>
          <w:numId w:val="23"/>
        </w:numPr>
        <w:rPr>
          <w:rFonts w:ascii="Arial" w:cs="Arial" w:eastAsia="Arial" w:hAnsi="Arial"/>
          <w:sz w:val="21"/>
          <w:szCs w:val="21"/>
          <w:color w:val="auto"/>
          <w:vertAlign w:val="superscript"/>
        </w:rPr>
      </w:pPr>
      <w:r>
        <w:rPr>
          <w:rFonts w:ascii="Arial" w:cs="Arial" w:eastAsia="Arial" w:hAnsi="Arial"/>
          <w:sz w:val="16"/>
          <w:szCs w:val="16"/>
          <w:color w:val="auto"/>
        </w:rPr>
        <w:t>For the three and twelve months ended December 31, 2021 and the three months ended December 31, 2020, the possible exchange of AAP units would not have had a dilutive effect on basic net income/(loss) per Class A share. For the three and twelve months ended December 31, 2021 and 2020, the possible exchange of AAP Management Units would not have had a dilutive effect on basic net income/(loss) per Class A share.</w:t>
      </w:r>
    </w:p>
    <w:p>
      <w:pPr>
        <w:spacing w:after="0" w:line="188" w:lineRule="exact"/>
        <w:rPr>
          <w:rFonts w:ascii="Arial" w:cs="Arial" w:eastAsia="Arial" w:hAnsi="Arial"/>
          <w:sz w:val="21"/>
          <w:szCs w:val="21"/>
          <w:color w:val="auto"/>
          <w:vertAlign w:val="superscript"/>
        </w:rPr>
      </w:pPr>
    </w:p>
    <w:p>
      <w:pPr>
        <w:ind w:left="5440" w:hanging="106"/>
        <w:spacing w:after="0"/>
        <w:tabs>
          <w:tab w:leader="none" w:pos="54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Page 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52"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211" w:lineRule="exact"/>
        <w:rPr>
          <w:sz w:val="20"/>
          <w:szCs w:val="20"/>
          <w:color w:val="auto"/>
        </w:rPr>
      </w:pPr>
    </w:p>
    <w:p>
      <w:pPr>
        <w:ind w:left="660" w:right="140" w:hanging="328"/>
        <w:spacing w:after="0" w:line="293" w:lineRule="auto"/>
        <w:tabs>
          <w:tab w:leader="none" w:pos="655"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declines in global crude oil demand and crude oil prices (whether due to the COVID-19 pandemic, future pandemics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56" w:lineRule="exact"/>
        <w:rPr>
          <w:rFonts w:ascii="Arial" w:cs="Arial" w:eastAsia="Arial" w:hAnsi="Arial"/>
          <w:sz w:val="16"/>
          <w:szCs w:val="16"/>
          <w:i w:val="1"/>
          <w:iCs w:val="1"/>
          <w:color w:val="auto"/>
        </w:rPr>
      </w:pPr>
    </w:p>
    <w:p>
      <w:pPr>
        <w:ind w:left="660" w:right="80" w:hanging="328"/>
        <w:spacing w:after="0" w:line="34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effects of competition and capacity overbuild in areas where we operate, including contract renewal risk and the risk of loss of business to other midstream operators who are willing or under pressure to aggressively reduce transportation rates in order to capture or preserve customers;</w:t>
      </w:r>
    </w:p>
    <w:p>
      <w:pPr>
        <w:spacing w:after="0" w:line="15" w:lineRule="exact"/>
        <w:rPr>
          <w:rFonts w:ascii="Arial" w:cs="Arial" w:eastAsia="Arial" w:hAnsi="Arial"/>
          <w:sz w:val="16"/>
          <w:szCs w:val="16"/>
          <w:color w:val="auto"/>
        </w:rPr>
      </w:pPr>
    </w:p>
    <w:p>
      <w:pPr>
        <w:ind w:left="660" w:right="180" w:hanging="328"/>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660" w:right="100" w:hanging="328"/>
        <w:spacing w:after="0" w:line="279"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coronavirus variants on growth, and the timing, pace and extent of economic recovery) that impact demand for crude oil, drilling and production activities and therefore the demand for the midstream services we provide and commercial opportunities available to us;</w:t>
      </w:r>
    </w:p>
    <w:p>
      <w:pPr>
        <w:spacing w:after="0" w:line="63" w:lineRule="exact"/>
        <w:rPr>
          <w:rFonts w:ascii="Arial" w:cs="Arial" w:eastAsia="Arial" w:hAnsi="Arial"/>
          <w:sz w:val="17"/>
          <w:szCs w:val="17"/>
          <w:color w:val="auto"/>
        </w:rPr>
      </w:pPr>
    </w:p>
    <w:p>
      <w:pPr>
        <w:ind w:left="660" w:hanging="328"/>
        <w:spacing w:after="0" w:line="25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executive orders, trade policies, accounting standards and statements, and related interpretations, including legislation, executive orders or regulatory initiatives that arise out of pandemic related concerns, that prohibit, restrict or regulate hydraulic fracturing or that prohibit the development of oil and gas resources and the related infrastructure on lands dedicated to or served by our pipelines;</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key personnel and inability to attract and retain new talent;</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17"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20"/>
          </w:cols>
          <w:pgMar w:left="320" w:top="368"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Page 23</w:t>
      </w:r>
    </w:p>
    <w:p>
      <w:pPr>
        <w:spacing w:after="0" w:line="200" w:lineRule="exact"/>
        <w:rPr>
          <w:sz w:val="20"/>
          <w:szCs w:val="20"/>
          <w:color w:val="auto"/>
        </w:rPr>
      </w:pPr>
    </w:p>
    <w:p>
      <w:pPr>
        <w:spacing w:after="0" w:line="241" w:lineRule="exact"/>
        <w:rPr>
          <w:sz w:val="20"/>
          <w:szCs w:val="20"/>
          <w:color w:val="auto"/>
        </w:rPr>
      </w:pPr>
    </w:p>
    <w:p>
      <w:pPr>
        <w:ind w:left="660" w:right="60" w:hanging="328"/>
        <w:spacing w:after="0" w:line="30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49" w:lineRule="exact"/>
        <w:rPr>
          <w:rFonts w:ascii="Arial" w:cs="Arial" w:eastAsia="Arial" w:hAnsi="Arial"/>
          <w:sz w:val="16"/>
          <w:szCs w:val="16"/>
          <w:color w:val="auto"/>
        </w:rPr>
      </w:pPr>
    </w:p>
    <w:p>
      <w:pPr>
        <w:ind w:left="660" w:hanging="328"/>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inability to perform our obligations under our contracts, whether due to non-performance by third parties, including our customers or counterparties, market constraints, third-party constraints, legal constraints (including governmental orders or guidance), or other factors or events;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incurrence of costs and expenses related to unexpected or unplanned capital expenditures, third-party claims or other factors;</w:t>
      </w:r>
    </w:p>
    <w:p>
      <w:pPr>
        <w:spacing w:after="0" w:line="117"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futures markets for crude oil, NGL and other petroleum products, which may impair our ability to execute our commercial or hedging strategies;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investment capital projects, whether due to permitting delays, permitting withdrawals or other factors;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amplification of other risks caused by volatile financial markets, capital constraints, liquidity concerns and 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use or availability of third-party assets upon which our operations depend and over which we have little or no control;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exchange rate of the Canadian dollar to the United States dollar;</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under-utilization of our assets and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and</w:t>
      </w:r>
    </w:p>
    <w:p>
      <w:pPr>
        <w:spacing w:after="0" w:line="117" w:lineRule="exact"/>
        <w:rPr>
          <w:rFonts w:ascii="Arial" w:cs="Arial" w:eastAsia="Arial" w:hAnsi="Arial"/>
          <w:sz w:val="18"/>
          <w:szCs w:val="18"/>
          <w:color w:val="auto"/>
        </w:rPr>
      </w:pPr>
    </w:p>
    <w:p>
      <w:pPr>
        <w:ind w:left="660" w:righ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Plains:</w:t>
      </w:r>
    </w:p>
    <w:p>
      <w:pPr>
        <w:spacing w:after="0" w:line="306"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6 million barrels per day of crude oil and NGL.</w:t>
      </w:r>
    </w:p>
    <w:p>
      <w:pPr>
        <w:spacing w:after="0" w:line="18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are headquartered in Houston, Texas. For more information, please visit www.plains.com.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151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Page 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Contacts</w:t>
      </w:r>
      <w:r>
        <w:rPr>
          <w:rFonts w:ascii="Arial" w:cs="Arial" w:eastAsia="Arial" w:hAnsi="Arial"/>
          <w:sz w:val="18"/>
          <w:szCs w:val="18"/>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 Lamoreaux</w:t>
      </w:r>
    </w:p>
    <w:p>
      <w:pPr>
        <w:spacing w:after="0" w:line="23" w:lineRule="exact"/>
        <w:rPr>
          <w:sz w:val="20"/>
          <w:szCs w:val="20"/>
          <w:color w:val="auto"/>
        </w:rPr>
      </w:pPr>
    </w:p>
    <w:p>
      <w:pPr>
        <w:ind w:left="20" w:right="4379"/>
        <w:spacing w:after="0" w:line="292" w:lineRule="auto"/>
        <w:rPr>
          <w:sz w:val="20"/>
          <w:szCs w:val="20"/>
          <w:color w:val="auto"/>
        </w:rPr>
      </w:pPr>
      <w:r>
        <w:rPr>
          <w:rFonts w:ascii="Arial" w:cs="Arial" w:eastAsia="Arial" w:hAnsi="Arial"/>
          <w:sz w:val="18"/>
          <w:szCs w:val="18"/>
          <w:color w:val="auto"/>
        </w:rPr>
        <w:t>Vice President, Investor Relations, Communications and Government Relations (866) 809-1291</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Brett Magill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(866) 809-1291</w:t>
      </w:r>
    </w:p>
    <w:p>
      <w:pPr>
        <w:spacing w:after="0" w:line="200" w:lineRule="exact"/>
        <w:rPr>
          <w:sz w:val="20"/>
          <w:szCs w:val="20"/>
          <w:color w:val="auto"/>
        </w:rPr>
      </w:pPr>
    </w:p>
    <w:p>
      <w:pPr>
        <w:spacing w:after="0" w:line="21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47" w:lineRule="exact"/>
        <w:rPr>
          <w:sz w:val="20"/>
          <w:szCs w:val="20"/>
          <w:color w:val="auto"/>
        </w:rPr>
      </w:pPr>
    </w:p>
    <w:p>
      <w:pPr>
        <w:jc w:val="right"/>
        <w:ind w:right="459"/>
        <w:spacing w:after="0"/>
        <w:tabs>
          <w:tab w:leader="none" w:pos="4880" w:val="left"/>
          <w:tab w:leader="none" w:pos="216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sectPr>
      <w:pgSz w:w="11900" w:h="16838" w:orient="portrait"/>
      <w:cols w:equalWidth="0" w:num="1">
        <w:col w:w="10139"/>
      </w:cols>
      <w:pgMar w:left="32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lvl w:ilvl="1">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lvl w:ilvl="1">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lvl w:ilvl="1">
      <w:lvlJc w:val="left"/>
      <w:lvlText w:val="-"/>
      <w:numFmt w:val="bullet"/>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1)"/>
      <w:numFmt w:val="decimal"/>
      <w:start w:val="1"/>
    </w:lvl>
    <w:lvl w:ilvl="1">
      <w:lvlJc w:val="left"/>
      <w:lvlText w:val="-"/>
      <w:numFmt w:val="bullet"/>
      <w:start w:val="1"/>
    </w:lvl>
  </w:abstractNum>
  <w:abstractNum w:abstractNumId="14">
    <w:nsid w:val="62BBD95A"/>
    <w:multiLevelType w:val="hybridMultilevel"/>
    <w:lvl w:ilvl="0">
      <w:lvlJc w:val="left"/>
      <w:lvlText w:val="(%1)"/>
      <w:numFmt w:val="decimal"/>
      <w:start w:val="3"/>
    </w:lvl>
    <w:lvl w:ilvl="1">
      <w:lvlJc w:val="left"/>
      <w:lvlText w:val="-"/>
      <w:numFmt w:val="bullet"/>
      <w:start w:val="1"/>
    </w:lvl>
  </w:abstractNum>
  <w:abstractNum w:abstractNumId="15">
    <w:nsid w:val="436C6125"/>
    <w:multiLevelType w:val="hybridMultilevel"/>
    <w:lvl w:ilvl="0">
      <w:lvlJc w:val="left"/>
      <w:lvlText w:val="(%1)"/>
      <w:numFmt w:val="decimal"/>
      <w:start w:val="3"/>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lvl w:ilvl="1">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2022-02-09T15:30:07Z</dcterms:created>
  <dcterms:modified xsi:type="dcterms:W3CDTF">2022-02-09T15:30:07Z</dcterms:modified>
</cp:coreProperties>
</file>