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75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SHACKOULS BOBBY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11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0000FF"/>
              </w:rPr>
              <w:t>PAA</w:t>
            </w:r>
            <w:r>
              <w:rPr>
                <w:rFonts w:ascii="Arial" w:cs="Arial" w:eastAsia="Arial" w:hAnsi="Arial"/>
                <w:sz w:val="13"/>
                <w:szCs w:val="13"/>
                <w:color w:val="auto"/>
              </w:rPr>
              <w:t xml:space="preserve"> ]</w:t>
            </w: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0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4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6"/>
            <w:vMerge w:val="continue"/>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w w:val="94"/>
              </w:rPr>
              <w:t>333 CLAY STREET, SUITE 1600</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01/30/2019</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gridSpan w:val="4"/>
          </w:tcPr>
          <w:p>
            <w:pPr>
              <w:spacing w:after="0"/>
              <w:rPr>
                <w:sz w:val="9"/>
                <w:szCs w:val="9"/>
                <w:color w:val="auto"/>
              </w:rPr>
            </w:pPr>
          </w:p>
        </w:tc>
        <w:tc>
          <w:tcPr>
            <w:tcW w:w="2180" w:type="dxa"/>
            <w:vAlign w:val="bottom"/>
            <w:tcBorders>
              <w:bottom w:val="single" w:sz="8" w:color="2C2C2C"/>
            </w:tcBorders>
            <w:gridSpan w:val="3"/>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2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5"/>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gridSpan w:val="5"/>
          </w:tcPr>
          <w:p>
            <w:pPr>
              <w:jc w:val="center"/>
              <w:ind w:left="608"/>
              <w:spacing w:after="0"/>
              <w:rPr>
                <w:sz w:val="20"/>
                <w:szCs w:val="20"/>
                <w:color w:val="auto"/>
              </w:rPr>
            </w:pPr>
            <w:r>
              <w:rPr>
                <w:rFonts w:ascii="Arial" w:cs="Arial" w:eastAsia="Arial" w:hAnsi="Arial"/>
                <w:sz w:val="18"/>
                <w:szCs w:val="18"/>
                <w:color w:val="0000FF"/>
                <w:w w:val="88"/>
              </w:rPr>
              <w:t>01/30/2019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9"/>
              <w:spacing w:after="0"/>
              <w:rPr>
                <w:sz w:val="20"/>
                <w:szCs w:val="20"/>
                <w:color w:val="auto"/>
              </w:rPr>
            </w:pPr>
            <w:r>
              <w:rPr>
                <w:rFonts w:ascii="Arial" w:cs="Arial" w:eastAsia="Arial" w:hAnsi="Arial"/>
                <w:sz w:val="14"/>
                <w:szCs w:val="14"/>
                <w:color w:val="0000FF"/>
                <w:w w:val="91"/>
              </w:rPr>
              <w:t>G</w:t>
            </w:r>
          </w:p>
        </w:tc>
        <w:tc>
          <w:tcPr>
            <w:tcW w:w="700" w:type="dxa"/>
            <w:vAlign w:val="bottom"/>
          </w:tcPr>
          <w:p>
            <w:pPr>
              <w:jc w:val="right"/>
              <w:spacing w:after="0"/>
              <w:rPr>
                <w:sz w:val="20"/>
                <w:szCs w:val="20"/>
                <w:color w:val="auto"/>
              </w:rPr>
            </w:pPr>
            <w:r>
              <w:rPr>
                <w:rFonts w:ascii="Arial" w:cs="Arial" w:eastAsia="Arial" w:hAnsi="Arial"/>
                <w:sz w:val="18"/>
                <w:szCs w:val="18"/>
                <w:color w:val="0000FF"/>
              </w:rPr>
              <w:t>1,875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1,875</w:t>
            </w:r>
          </w:p>
        </w:tc>
        <w:tc>
          <w:tcPr>
            <w:tcW w:w="960" w:type="dxa"/>
            <w:vAlign w:val="bottom"/>
          </w:tcPr>
          <w:p>
            <w:pPr>
              <w:jc w:val="center"/>
              <w:ind w:right="3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5"/>
            <w:vMerge w:val="restart"/>
          </w:tcPr>
          <w:p>
            <w:pPr>
              <w:jc w:val="center"/>
              <w:ind w:left="608"/>
              <w:spacing w:after="0"/>
              <w:rPr>
                <w:sz w:val="20"/>
                <w:szCs w:val="20"/>
                <w:color w:val="auto"/>
              </w:rPr>
            </w:pPr>
            <w:r>
              <w:rPr>
                <w:rFonts w:ascii="Arial" w:cs="Arial" w:eastAsia="Arial" w:hAnsi="Arial"/>
                <w:sz w:val="18"/>
                <w:szCs w:val="18"/>
                <w:color w:val="0000FF"/>
                <w:w w:val="88"/>
              </w:rPr>
              <w:t>01/30/2019</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39"/>
              <w:spacing w:after="0"/>
              <w:rPr>
                <w:sz w:val="20"/>
                <w:szCs w:val="20"/>
                <w:color w:val="auto"/>
              </w:rPr>
            </w:pPr>
            <w:r>
              <w:rPr>
                <w:rFonts w:ascii="Arial" w:cs="Arial" w:eastAsia="Arial" w:hAnsi="Arial"/>
                <w:sz w:val="14"/>
                <w:szCs w:val="14"/>
                <w:color w:val="0000FF"/>
                <w:w w:val="91"/>
              </w:rPr>
              <w:t>G</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0000FF"/>
              </w:rPr>
              <w:t>1,875</w:t>
            </w:r>
          </w:p>
        </w:tc>
        <w:tc>
          <w:tcPr>
            <w:tcW w:w="720" w:type="dxa"/>
            <w:vAlign w:val="bottom"/>
            <w:vMerge w:val="restart"/>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1,875</w:t>
            </w:r>
          </w:p>
        </w:tc>
        <w:tc>
          <w:tcPr>
            <w:tcW w:w="960" w:type="dxa"/>
            <w:vAlign w:val="bottom"/>
            <w:vMerge w:val="restart"/>
          </w:tcPr>
          <w:p>
            <w:pPr>
              <w:jc w:val="center"/>
              <w:ind w:right="37"/>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01/30/2019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5,568</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23.29</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7,443</w:t>
            </w:r>
          </w:p>
        </w:tc>
        <w:tc>
          <w:tcPr>
            <w:tcW w:w="960" w:type="dxa"/>
            <w:vAlign w:val="bottom"/>
            <w:tcBorders>
              <w:bottom w:val="single" w:sz="8" w:color="2C2C2C"/>
            </w:tcBorders>
          </w:tcPr>
          <w:p>
            <w:pPr>
              <w:jc w:val="center"/>
              <w:ind w:right="37"/>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5"/>
            <w:vMerge w:val="restart"/>
          </w:tcPr>
          <w:p>
            <w:pPr>
              <w:jc w:val="center"/>
              <w:ind w:left="608"/>
              <w:spacing w:after="0"/>
              <w:rPr>
                <w:sz w:val="20"/>
                <w:szCs w:val="20"/>
                <w:color w:val="auto"/>
              </w:rPr>
            </w:pPr>
            <w:r>
              <w:rPr>
                <w:rFonts w:ascii="Arial" w:cs="Arial" w:eastAsia="Arial" w:hAnsi="Arial"/>
                <w:sz w:val="18"/>
                <w:szCs w:val="18"/>
                <w:color w:val="0000FF"/>
                <w:w w:val="88"/>
              </w:rPr>
              <w:t>01/30/2019</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39"/>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0000FF"/>
              </w:rPr>
              <w:t>5,570</w:t>
            </w:r>
          </w:p>
        </w:tc>
        <w:tc>
          <w:tcPr>
            <w:tcW w:w="720" w:type="dxa"/>
            <w:vAlign w:val="bottom"/>
            <w:vMerge w:val="restart"/>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23.29</w:t>
            </w: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7,445</w:t>
            </w:r>
          </w:p>
        </w:tc>
        <w:tc>
          <w:tcPr>
            <w:tcW w:w="960" w:type="dxa"/>
            <w:vAlign w:val="bottom"/>
            <w:vMerge w:val="restart"/>
          </w:tcPr>
          <w:p>
            <w:pPr>
              <w:jc w:val="center"/>
              <w:ind w:right="37"/>
              <w:spacing w:after="0"/>
              <w:rPr>
                <w:sz w:val="20"/>
                <w:szCs w:val="20"/>
                <w:color w:val="auto"/>
              </w:rPr>
            </w:pPr>
            <w:r>
              <w:rPr>
                <w:rFonts w:ascii="Arial" w:cs="Arial" w:eastAsia="Arial" w:hAnsi="Arial"/>
                <w:sz w:val="35"/>
                <w:szCs w:val="35"/>
                <w:color w:val="0000FF"/>
                <w:w w:val="90"/>
                <w:vertAlign w:val="subscript"/>
              </w:rPr>
              <w:t>I</w:t>
            </w:r>
            <w:r>
              <w:rPr>
                <w:rFonts w:ascii="Arial" w:cs="Arial" w:eastAsia="Arial" w:hAnsi="Arial"/>
                <w:sz w:val="11"/>
                <w:szCs w:val="11"/>
                <w:color w:val="008000"/>
                <w:w w:val="90"/>
              </w:rPr>
              <w:t>(2)</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4,448</w:t>
            </w:r>
          </w:p>
        </w:tc>
        <w:tc>
          <w:tcPr>
            <w:tcW w:w="960" w:type="dxa"/>
            <w:vAlign w:val="bottom"/>
            <w:vMerge w:val="restart"/>
          </w:tcPr>
          <w:p>
            <w:pPr>
              <w:jc w:val="center"/>
              <w:ind w:right="37"/>
              <w:spacing w:after="0"/>
              <w:rPr>
                <w:sz w:val="20"/>
                <w:szCs w:val="20"/>
                <w:color w:val="auto"/>
              </w:rPr>
            </w:pPr>
            <w:r>
              <w:rPr>
                <w:rFonts w:ascii="Arial" w:cs="Arial" w:eastAsia="Arial" w:hAnsi="Arial"/>
                <w:sz w:val="35"/>
                <w:szCs w:val="35"/>
                <w:color w:val="0000FF"/>
                <w:w w:val="90"/>
                <w:vertAlign w:val="subscript"/>
              </w:rPr>
              <w:t>I</w:t>
            </w:r>
            <w:r>
              <w:rPr>
                <w:rFonts w:ascii="Arial" w:cs="Arial" w:eastAsia="Arial" w:hAnsi="Arial"/>
                <w:sz w:val="11"/>
                <w:szCs w:val="11"/>
                <w:color w:val="008000"/>
                <w:w w:val="90"/>
              </w:rPr>
              <w:t>(2)</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4,447</w:t>
            </w:r>
          </w:p>
        </w:tc>
        <w:tc>
          <w:tcPr>
            <w:tcW w:w="960" w:type="dxa"/>
            <w:vAlign w:val="bottom"/>
          </w:tcPr>
          <w:p>
            <w:pPr>
              <w:jc w:val="center"/>
              <w:ind w:right="37"/>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7"/>
              </w:rPr>
              <w:t>Spouse's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right="5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4"/>
          </w:tcPr>
          <w:p>
            <w:pPr>
              <w:jc w:val="center"/>
              <w:ind w:left="2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January 30, 2019, the reporting person and his spouse received 5,568 and 5,570 common units of PAA, respectively, in a distribution from their respective grantor retained annuity trusts in accordance with the terms of the GRATs. The distribution of units from the GRATs resulted in a decrease in the number of units beneficially owned indirectly through the GRATS, and a corresponding increase in the number of units beneficially owned directly and indirectly through spouse. The distribution of units from the GRATs constitutes a change in form of beneficial ownership, which is exempt under Rule 16a-13 of the Exchange Act.</w:t>
      </w:r>
    </w:p>
    <w:p>
      <w:pPr>
        <w:spacing w:after="0" w:line="31" w:lineRule="exact"/>
        <w:rPr>
          <w:rFonts w:ascii="Arial" w:cs="Arial" w:eastAsia="Arial" w:hAnsi="Arial"/>
          <w:sz w:val="14"/>
          <w:szCs w:val="14"/>
          <w:color w:val="008000"/>
        </w:rPr>
      </w:pPr>
    </w:p>
    <w:p>
      <w:pPr>
        <w:ind w:left="40" w:right="1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All units owned by the reporting person and his spouse and their respective GRATs, including the units received from the GRATs as described in footnote 1, were subsequently contributed to newly-created GRATs and are now beneficially owned indirectly as follows: 11,891 units are beneficially owned indirectly through the reporting person's 2019 GRAT, and 11,892 units are beneficially owned indirectly through the 2019 GRAT of the reporting person's spouse. The contributions of units to the 2019 GRATs are also exempt under Rule 16a-13 of the Exchange Act.</w:t>
      </w:r>
    </w:p>
    <w:p>
      <w:pPr>
        <w:sectPr>
          <w:pgSz w:w="11900" w:h="16838" w:orient="portrait"/>
          <w:cols w:equalWidth="0" w:num="1">
            <w:col w:w="11420"/>
          </w:cols>
          <w:pgMar w:left="240" w:top="226" w:right="239" w:bottom="752"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Ann F. Gullion,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in-fact for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77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7950"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02/14/2019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40" w:space="120"/>
            <w:col w:w="2260"/>
          </w:cols>
          <w:pgMar w:left="240" w:top="226" w:right="239" w:bottom="752"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64171"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2020-01-09T13:34:10Z</dcterms:created>
  <dcterms:modified xsi:type="dcterms:W3CDTF">2020-01-09T13:34:10Z</dcterms:modified>
</cp:coreProperties>
</file>