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4" w:space="1" w:color="000000"/>
        </w:pBdr>
        <w:spacing w:before="0" w:after="0"/>
        <w:rPr/>
      </w:pPr>
      <w:bookmarkStart w:id="0" w:name="d401296d8k.htm"/>
      <w:bookmarkStart w:id="1" w:name="ksd401296d8k"/>
      <w:bookmarkEnd w:id="0"/>
      <w:bookmarkEnd w:id="1"/>
      <w:r>
        <w:rPr/>
        <w:t> </w:t>
      </w:r>
    </w:p>
    <w:p>
      <w:pPr>
        <w:pStyle w:val="TextBody"/>
        <w:pBdr>
          <w:bottom w:val="single" w:sz="4" w:space="1" w:color="000000"/>
        </w:pBdr>
        <w:spacing w:lineRule="atLeast" w:line="141" w:before="0" w:after="30"/>
        <w:rPr/>
      </w:pPr>
      <w:r>
        <w:rPr/>
        <w:t> </w:t>
      </w:r>
    </w:p>
    <w:p>
      <w:pPr>
        <w:pStyle w:val="TextBody"/>
        <w:spacing w:before="6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36"/>
        </w:rPr>
      </w:pPr>
      <w:r>
        <w:rPr>
          <w:rFonts w:ascii="Times New Roman" w:hAnsi="Times New Roman"/>
          <w:b/>
          <w:sz w:val="36"/>
        </w:rPr>
        <w:t xml:space="preserve">FORM 8-K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8"/>
        </w:rPr>
      </w:pPr>
      <w:r>
        <w:rPr>
          <w:rFonts w:ascii="Times New Roman" w:hAnsi="Times New Roman"/>
          <w:b/>
          <w:sz w:val="28"/>
        </w:rPr>
        <w:t xml:space="preserve">CURRENT REPORT </w:t>
      </w:r>
    </w:p>
    <w:p>
      <w:pPr>
        <w:pStyle w:val="TextBody"/>
        <w:spacing w:before="180" w:after="0"/>
        <w:jc w:val="center"/>
        <w:rPr>
          <w:rFonts w:ascii="Times New Roman" w:hAnsi="Times New Roman"/>
          <w:b/>
          <w:sz w:val="24"/>
        </w:rPr>
      </w:pPr>
      <w:r>
        <w:rPr>
          <w:rFonts w:ascii="Times New Roman" w:hAnsi="Times New Roman"/>
          <w:b/>
          <w:sz w:val="24"/>
        </w:rPr>
        <w:t xml:space="preserve">Pursuant to Section 13 or 15(d) of the </w:t>
      </w:r>
    </w:p>
    <w:p>
      <w:pPr>
        <w:pStyle w:val="TextBody"/>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spacing w:before="180" w:after="0"/>
        <w:jc w:val="center"/>
        <w:rPr>
          <w:rFonts w:ascii="Times New Roman" w:hAnsi="Times New Roman"/>
          <w:b/>
          <w:sz w:val="24"/>
        </w:rPr>
      </w:pPr>
      <w:r>
        <w:rPr>
          <w:rFonts w:ascii="Times New Roman" w:hAnsi="Times New Roman"/>
          <w:b/>
          <w:sz w:val="24"/>
        </w:rPr>
        <w:t xml:space="preserve">Date of report (Date of earliest event reported): August 16, 2012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48"/>
        </w:rPr>
      </w:pPr>
      <w:r>
        <w:rPr>
          <w:rFonts w:ascii="Times New Roman" w:hAnsi="Times New Roman"/>
          <w:b/>
          <w:sz w:val="48"/>
        </w:rPr>
        <w:t xml:space="preserve">Plains All American Pipeline, L.P.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1-14569</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76-0582150</w:t>
            </w:r>
          </w:p>
        </w:tc>
      </w:tr>
      <w:tr>
        <w:trPr/>
        <w:tc>
          <w:tcPr>
            <w:tcW w:w="3469"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w:t>
            </w:r>
          </w:p>
          <w:p>
            <w:pPr>
              <w:pStyle w:val="TableContents"/>
              <w:spacing w:before="0" w:after="15"/>
              <w:jc w:val="center"/>
              <w:rPr>
                <w:rFonts w:ascii="Times New Roman" w:hAnsi="Times New Roman"/>
                <w:b/>
                <w:sz w:val="14"/>
              </w:rPr>
            </w:pPr>
            <w:r>
              <w:rPr>
                <w:rFonts w:ascii="Times New Roman" w:hAnsi="Times New Roman"/>
                <w:b/>
                <w:sz w:val="14"/>
              </w:rPr>
              <w:t>of incorporation)</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(Commission</w:t>
            </w:r>
          </w:p>
          <w:p>
            <w:pPr>
              <w:pStyle w:val="TableContents"/>
              <w:spacing w:before="0" w:after="15"/>
              <w:jc w:val="center"/>
              <w:rPr>
                <w:rFonts w:ascii="Times New Roman" w:hAnsi="Times New Roman"/>
                <w:b/>
                <w:sz w:val="14"/>
              </w:rPr>
            </w:pPr>
            <w:r>
              <w:rPr>
                <w:rFonts w:ascii="Times New Roman" w:hAnsi="Times New Roman"/>
                <w:b/>
                <w:sz w:val="14"/>
              </w:rPr>
              <w:t>File Number)</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333 Clay Street, Suite 1600 Houston, Texas 77002</w:t>
            </w:r>
          </w:p>
        </w:tc>
      </w:tr>
      <w:tr>
        <w:trPr/>
        <w:tc>
          <w:tcPr>
            <w:tcW w:w="10205"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(Address of principal executive offices) (Zip Code)</w:t>
            </w:r>
          </w:p>
        </w:tc>
      </w:tr>
    </w:tbl>
    <w:p>
      <w:pPr>
        <w:pStyle w:val="TextBody"/>
        <w:spacing w:before="180" w:after="0"/>
        <w:jc w:val="center"/>
        <w:rPr>
          <w:rFonts w:ascii="Times New Roman" w:hAnsi="Times New Roman"/>
          <w:b/>
          <w:sz w:val="20"/>
        </w:rPr>
      </w:pPr>
      <w:r>
        <w:rPr>
          <w:rFonts w:ascii="Times New Roman" w:hAnsi="Times New Roman"/>
          <w:b/>
          <w:sz w:val="20"/>
        </w:rPr>
        <w:t xml:space="preserve">Registrants telephone number, including area code: (713) 646-4100 </w:t>
      </w:r>
    </w:p>
    <w:p>
      <w:pPr>
        <w:pStyle w:val="TextBody"/>
        <w:spacing w:before="180" w:after="0"/>
        <w:jc w:val="center"/>
        <w:rPr>
          <w:rFonts w:ascii="Times New Roman" w:hAnsi="Times New Roman"/>
          <w:b/>
          <w:sz w:val="14"/>
        </w:rPr>
      </w:pPr>
      <w:r>
        <w:rPr>
          <w:rFonts w:ascii="Times New Roman" w:hAnsi="Times New Roman"/>
          <w:b/>
          <w:sz w:val="14"/>
        </w:rPr>
        <w:t xml:space="preserve">(Former name or former address, if changed since last report): Not applicable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(see General Instruction A.2. below):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7.01.</w:t>
            </w:r>
          </w:p>
        </w:tc>
        <w:tc>
          <w:tcPr>
            <w:tcW w:w="928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Regulation FD Disclosure. </w:t>
            </w:r>
          </w:p>
        </w:tc>
      </w:tr>
    </w:tbl>
    <w:p>
      <w:pPr>
        <w:pStyle w:val="TextBody"/>
        <w:spacing w:before="90" w:after="0"/>
        <w:rPr>
          <w:rFonts w:ascii="Times New Roman" w:hAnsi="Times New Roman"/>
          <w:sz w:val="20"/>
        </w:rPr>
      </w:pPr>
      <w:r>
        <w:rPr>
          <w:rFonts w:ascii="Times New Roman" w:hAnsi="Times New Roman"/>
          <w:sz w:val="20"/>
        </w:rPr>
        <w:t xml:space="preserve">On August 16, 2012, Plains All American Pipeline, L.P. (the Partnership) issued a press release announcing that the board of directors of its general partner approved a two-for-one split of the Partnerships common units. The two-for-one split will be effected on October 1, 2012, by a distribution of one additional common unit for each common unit outstanding and held by unitholders of record at the close of business on September 17, 2012. A copy of the press release is furnished as Exhibit 99.1 hereto. </w:t>
      </w:r>
    </w:p>
    <w:p>
      <w:pPr>
        <w:pStyle w:val="TextBody"/>
        <w:spacing w:before="180" w:after="0"/>
        <w:rPr>
          <w:rFonts w:ascii="Times New Roman" w:hAnsi="Times New Roman"/>
          <w:sz w:val="20"/>
        </w:rPr>
      </w:pPr>
      <w:r>
        <w:rPr>
          <w:rFonts w:ascii="Times New Roman" w:hAnsi="Times New Roman"/>
          <w:sz w:val="20"/>
        </w:rPr>
        <w:t xml:space="preserve">In accordance with General Instruction B.2 of Form 8-K, the press release is deemed to be furnished and shall not be deemed filed for the purpose of Section 18 of the Securities Exchange Act of 1934, as amended, or otherwise subject to the liabilities of that section, nor shall such information and exhibit be deemed incorporated by reference into any filing under the Securities Act of 1933 or the Securities Exchange Act of 1934, each as amended.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9.01.</w:t>
            </w:r>
          </w:p>
        </w:tc>
        <w:tc>
          <w:tcPr>
            <w:tcW w:w="928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Financial Statements and Exhibits. </w:t>
            </w:r>
          </w:p>
        </w:tc>
      </w:tr>
    </w:tbl>
    <w:p>
      <w:pPr>
        <w:pStyle w:val="TextBody"/>
        <w:spacing w:before="90" w:after="0"/>
        <w:rPr>
          <w:rFonts w:ascii="Times New Roman" w:hAnsi="Times New Roman"/>
          <w:sz w:val="20"/>
        </w:rPr>
      </w:pPr>
      <w:r>
        <w:rPr>
          <w:rFonts w:ascii="Times New Roman" w:hAnsi="Times New Roman"/>
          <w:sz w:val="20"/>
        </w:rPr>
        <w:t xml:space="preserve">(d) Exhibits.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95"/>
        <w:gridCol w:w="528"/>
        <w:gridCol w:w="9182"/>
      </w:tblGrid>
      <w:tr>
        <w:trPr/>
        <w:tc>
          <w:tcPr>
            <w:tcW w:w="495"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bottom"/>
          </w:tcPr>
          <w:p>
            <w:pPr>
              <w:pStyle w:val="TableContents"/>
              <w:spacing w:before="0" w:after="283"/>
              <w:rPr>
                <w:sz w:val="4"/>
                <w:szCs w:val="4"/>
              </w:rPr>
            </w:pPr>
            <w:r>
              <w:rPr>
                <w:sz w:val="4"/>
                <w:szCs w:val="4"/>
              </w:rPr>
            </w:r>
          </w:p>
        </w:tc>
        <w:tc>
          <w:tcPr>
            <w:tcW w:w="9182" w:type="dxa"/>
            <w:tcBorders/>
            <w:shd w:fill="auto" w:val="clear"/>
            <w:vAlign w:val="center"/>
          </w:tcPr>
          <w:p>
            <w:pPr>
              <w:pStyle w:val="TableContents"/>
              <w:spacing w:before="0" w:after="283"/>
              <w:rPr>
                <w:sz w:val="4"/>
                <w:szCs w:val="4"/>
              </w:rPr>
            </w:pPr>
            <w:r>
              <w:rPr>
                <w:sz w:val="4"/>
                <w:szCs w:val="4"/>
              </w:rPr>
            </w:r>
          </w:p>
        </w:tc>
      </w:tr>
      <w:tr>
        <w:trPr/>
        <w:tc>
          <w:tcPr>
            <w:tcW w:w="495" w:type="dxa"/>
            <w:tcBorders/>
            <w:shd w:fill="auto" w:val="clear"/>
            <w:vAlign w:val="bottom"/>
          </w:tcPr>
          <w:p>
            <w:pPr>
              <w:pStyle w:val="TableContents"/>
              <w:pBdr>
                <w:bottom w:val="single" w:sz="2" w:space="1" w:color="000000"/>
              </w:pBdr>
              <w:spacing w:before="0" w:after="283"/>
              <w:jc w:val="center"/>
              <w:rPr>
                <w:rFonts w:ascii="Times New Roman" w:hAnsi="Times New Roman"/>
                <w:sz w:val="14"/>
              </w:rPr>
            </w:pPr>
            <w:r>
              <w:rPr>
                <w:rFonts w:ascii="Times New Roman" w:hAnsi="Times New Roman"/>
                <w:sz w:val="14"/>
              </w:rPr>
              <w:t>Exhibit</w:t>
              <w:br/>
              <w:t>Number</w:t>
            </w:r>
          </w:p>
        </w:tc>
        <w:tc>
          <w:tcPr>
            <w:tcW w:w="528" w:type="dxa"/>
            <w:tcBorders/>
            <w:shd w:fill="auto" w:val="clear"/>
            <w:vAlign w:val="bottom"/>
          </w:tcPr>
          <w:p>
            <w:pPr>
              <w:pStyle w:val="TableContents"/>
              <w:spacing w:before="0" w:after="283"/>
              <w:rPr/>
            </w:pPr>
            <w:r>
              <w:rPr/>
              <w:t>  </w:t>
            </w:r>
          </w:p>
        </w:tc>
        <w:tc>
          <w:tcPr>
            <w:tcW w:w="9182" w:type="dxa"/>
            <w:tcBorders/>
            <w:shd w:fill="auto" w:val="clear"/>
            <w:vAlign w:val="bottom"/>
          </w:tcPr>
          <w:p>
            <w:pPr>
              <w:pStyle w:val="TableContents"/>
              <w:pBdr>
                <w:bottom w:val="single" w:sz="2" w:space="1" w:color="000000"/>
              </w:pBdr>
              <w:spacing w:before="0" w:after="283"/>
              <w:rPr>
                <w:rFonts w:ascii="Times New Roman" w:hAnsi="Times New Roman"/>
                <w:sz w:val="14"/>
              </w:rPr>
            </w:pPr>
            <w:r>
              <w:rPr>
                <w:rFonts w:ascii="Times New Roman" w:hAnsi="Times New Roman"/>
                <w:sz w:val="14"/>
              </w:rPr>
              <w:t>Description</w:t>
            </w:r>
          </w:p>
        </w:tc>
      </w:tr>
      <w:tr>
        <w:trPr/>
        <w:tc>
          <w:tcPr>
            <w:tcW w:w="495" w:type="dxa"/>
            <w:tcBorders/>
            <w:shd w:fill="auto" w:val="clear"/>
          </w:tcPr>
          <w:p>
            <w:pPr>
              <w:pStyle w:val="TableContents"/>
              <w:spacing w:before="0" w:after="283"/>
              <w:rPr>
                <w:rFonts w:ascii="Times New Roman" w:hAnsi="Times New Roman"/>
                <w:sz w:val="20"/>
              </w:rPr>
            </w:pPr>
            <w:r>
              <w:rPr>
                <w:rFonts w:ascii="Times New Roman" w:hAnsi="Times New Roman"/>
                <w:sz w:val="20"/>
              </w:rPr>
              <w:t>99.1</w:t>
            </w:r>
          </w:p>
        </w:tc>
        <w:tc>
          <w:tcPr>
            <w:tcW w:w="528" w:type="dxa"/>
            <w:tcBorders/>
            <w:shd w:fill="auto" w:val="clear"/>
            <w:vAlign w:val="bottom"/>
          </w:tcPr>
          <w:p>
            <w:pPr>
              <w:pStyle w:val="TableContents"/>
              <w:spacing w:before="0" w:after="283"/>
              <w:rPr/>
            </w:pPr>
            <w:r>
              <w:rPr/>
              <w:t>  </w:t>
            </w:r>
          </w:p>
        </w:tc>
        <w:tc>
          <w:tcPr>
            <w:tcW w:w="9182" w:type="dxa"/>
            <w:tcBorders/>
            <w:shd w:fill="auto" w:val="clear"/>
          </w:tcPr>
          <w:p>
            <w:pPr>
              <w:pStyle w:val="TableContents"/>
              <w:spacing w:before="0" w:after="283"/>
              <w:rPr>
                <w:rFonts w:ascii="Times New Roman" w:hAnsi="Times New Roman"/>
                <w:sz w:val="20"/>
              </w:rPr>
            </w:pPr>
            <w:r>
              <w:rPr>
                <w:rFonts w:ascii="Times New Roman" w:hAnsi="Times New Roman"/>
                <w:sz w:val="20"/>
              </w:rPr>
              <w:t>Press Release dated August 16, 2012, announcing two-for-one unit split.</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587"/>
        <w:gridCol w:w="60"/>
        <w:gridCol w:w="3435"/>
      </w:tblGrid>
      <w:tr>
        <w:trPr/>
        <w:tc>
          <w:tcPr>
            <w:tcW w:w="5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435"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ALL AMERICAN PIPELINE, L.P.</w:t>
            </w:r>
          </w:p>
        </w:tc>
      </w:tr>
      <w:tr>
        <w:trPr>
          <w:trHeight w:val="240" w:hRule="atLeast"/>
        </w:trPr>
        <w:tc>
          <w:tcPr>
            <w:tcW w:w="587" w:type="dxa"/>
            <w:tcBorders/>
            <w:shd w:fill="auto" w:val="clear"/>
            <w:vAlign w:val="center"/>
          </w:tcPr>
          <w:p>
            <w:pPr>
              <w:pStyle w:val="TableContents"/>
              <w:spacing w:before="0" w:after="283"/>
              <w:rPr>
                <w:sz w:val="4"/>
                <w:szCs w:val="4"/>
              </w:rPr>
            </w:pPr>
            <w:r>
              <w:rPr>
                <w:sz w:val="4"/>
                <w:szCs w:val="4"/>
              </w:rPr>
            </w:r>
          </w:p>
        </w:tc>
        <w:tc>
          <w:tcPr>
            <w:tcW w:w="3495" w:type="dxa"/>
            <w:gridSpan w:val="2"/>
            <w:tcBorders/>
            <w:shd w:fill="auto" w:val="clear"/>
            <w:vAlign w:val="center"/>
          </w:tcPr>
          <w:p>
            <w:pPr>
              <w:pStyle w:val="TableContents"/>
              <w:spacing w:before="0" w:after="283"/>
              <w:rPr>
                <w:sz w:val="4"/>
                <w:szCs w:val="4"/>
              </w:rPr>
            </w:pPr>
            <w:r>
              <w:rPr>
                <w:sz w:val="4"/>
                <w:szCs w:val="4"/>
              </w:rPr>
            </w:r>
          </w:p>
        </w:tc>
      </w:tr>
      <w:tr>
        <w:trPr/>
        <w:tc>
          <w:tcPr>
            <w:tcW w:w="587"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PAA GP LLC, its general partner</w:t>
            </w:r>
          </w:p>
        </w:tc>
      </w:tr>
      <w:tr>
        <w:trPr>
          <w:trHeight w:val="240" w:hRule="atLeast"/>
        </w:trPr>
        <w:tc>
          <w:tcPr>
            <w:tcW w:w="587" w:type="dxa"/>
            <w:tcBorders/>
            <w:shd w:fill="auto" w:val="clear"/>
            <w:vAlign w:val="center"/>
          </w:tcPr>
          <w:p>
            <w:pPr>
              <w:pStyle w:val="TableContents"/>
              <w:spacing w:before="0" w:after="283"/>
              <w:rPr>
                <w:sz w:val="4"/>
                <w:szCs w:val="4"/>
              </w:rPr>
            </w:pPr>
            <w:r>
              <w:rPr>
                <w:sz w:val="4"/>
                <w:szCs w:val="4"/>
              </w:rPr>
            </w:r>
          </w:p>
        </w:tc>
        <w:tc>
          <w:tcPr>
            <w:tcW w:w="3495" w:type="dxa"/>
            <w:gridSpan w:val="2"/>
            <w:tcBorders/>
            <w:shd w:fill="auto" w:val="clear"/>
            <w:vAlign w:val="center"/>
          </w:tcPr>
          <w:p>
            <w:pPr>
              <w:pStyle w:val="TableContents"/>
              <w:spacing w:before="0" w:after="283"/>
              <w:rPr>
                <w:sz w:val="4"/>
                <w:szCs w:val="4"/>
              </w:rPr>
            </w:pPr>
            <w:r>
              <w:rPr>
                <w:sz w:val="4"/>
                <w:szCs w:val="4"/>
              </w:rPr>
            </w:r>
          </w:p>
        </w:tc>
      </w:tr>
      <w:tr>
        <w:trPr/>
        <w:tc>
          <w:tcPr>
            <w:tcW w:w="587"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AAP, L.P., its sole member</w:t>
            </w:r>
          </w:p>
        </w:tc>
      </w:tr>
      <w:tr>
        <w:trPr>
          <w:trHeight w:val="240" w:hRule="atLeast"/>
        </w:trPr>
        <w:tc>
          <w:tcPr>
            <w:tcW w:w="587" w:type="dxa"/>
            <w:tcBorders/>
            <w:shd w:fill="auto" w:val="clear"/>
            <w:vAlign w:val="center"/>
          </w:tcPr>
          <w:p>
            <w:pPr>
              <w:pStyle w:val="TableContents"/>
              <w:spacing w:before="0" w:after="283"/>
              <w:rPr>
                <w:sz w:val="4"/>
                <w:szCs w:val="4"/>
              </w:rPr>
            </w:pPr>
            <w:r>
              <w:rPr>
                <w:sz w:val="4"/>
                <w:szCs w:val="4"/>
              </w:rPr>
            </w:r>
          </w:p>
        </w:tc>
        <w:tc>
          <w:tcPr>
            <w:tcW w:w="3495" w:type="dxa"/>
            <w:gridSpan w:val="2"/>
            <w:tcBorders/>
            <w:shd w:fill="auto" w:val="clear"/>
            <w:vAlign w:val="center"/>
          </w:tcPr>
          <w:p>
            <w:pPr>
              <w:pStyle w:val="TableContents"/>
              <w:spacing w:before="0" w:after="283"/>
              <w:rPr>
                <w:sz w:val="4"/>
                <w:szCs w:val="4"/>
              </w:rPr>
            </w:pPr>
            <w:r>
              <w:rPr>
                <w:sz w:val="4"/>
                <w:szCs w:val="4"/>
              </w:rPr>
            </w:r>
          </w:p>
        </w:tc>
      </w:tr>
      <w:tr>
        <w:trPr/>
        <w:tc>
          <w:tcPr>
            <w:tcW w:w="587"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ALL AMERICAN GP LLC, its general partner</w:t>
            </w:r>
          </w:p>
        </w:tc>
      </w:tr>
      <w:tr>
        <w:trPr>
          <w:trHeight w:val="240" w:hRule="atLeast"/>
        </w:trPr>
        <w:tc>
          <w:tcPr>
            <w:tcW w:w="587" w:type="dxa"/>
            <w:tcBorders/>
            <w:shd w:fill="auto" w:val="clear"/>
            <w:vAlign w:val="center"/>
          </w:tcPr>
          <w:p>
            <w:pPr>
              <w:pStyle w:val="TableContents"/>
              <w:spacing w:before="0" w:after="283"/>
              <w:rPr>
                <w:sz w:val="4"/>
                <w:szCs w:val="4"/>
              </w:rPr>
            </w:pPr>
            <w:r>
              <w:rPr>
                <w:sz w:val="4"/>
                <w:szCs w:val="4"/>
              </w:rPr>
            </w:r>
          </w:p>
        </w:tc>
        <w:tc>
          <w:tcPr>
            <w:tcW w:w="3495" w:type="dxa"/>
            <w:gridSpan w:val="2"/>
            <w:tcBorders/>
            <w:shd w:fill="auto" w:val="clear"/>
            <w:vAlign w:val="center"/>
          </w:tcPr>
          <w:p>
            <w:pPr>
              <w:pStyle w:val="TableContents"/>
              <w:spacing w:before="0" w:after="283"/>
              <w:rPr>
                <w:sz w:val="4"/>
                <w:szCs w:val="4"/>
              </w:rPr>
            </w:pPr>
            <w:r>
              <w:rPr>
                <w:sz w:val="4"/>
                <w:szCs w:val="4"/>
              </w:rPr>
            </w:r>
          </w:p>
        </w:tc>
      </w:tr>
      <w:tr>
        <w:trPr/>
        <w:tc>
          <w:tcPr>
            <w:tcW w:w="587"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435" w:type="dxa"/>
            <w:tcBorders>
              <w:bottom w:val="single" w:sz="2" w:space="0" w:color="000000"/>
            </w:tcBorders>
            <w:shd w:fill="auto" w:val="clear"/>
            <w:tcMar>
              <w:bottom w:w="28" w:type="dxa"/>
            </w:tcMar>
            <w:vAlign w:val="bottom"/>
          </w:tcPr>
          <w:p>
            <w:pPr>
              <w:pStyle w:val="TableContents"/>
              <w:spacing w:before="0" w:after="283"/>
              <w:rPr>
                <w:rFonts w:ascii="Times New Roman" w:hAnsi="Times New Roman"/>
                <w:sz w:val="20"/>
              </w:rPr>
            </w:pPr>
            <w:r>
              <w:rPr>
                <w:rFonts w:ascii="Times New Roman" w:hAnsi="Times New Roman"/>
                <w:sz w:val="20"/>
              </w:rPr>
              <w:t>/s/ Richard McGee</w:t>
            </w:r>
          </w:p>
        </w:tc>
      </w:tr>
      <w:tr>
        <w:trPr/>
        <w:tc>
          <w:tcPr>
            <w:tcW w:w="587"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34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Richard McGee</w:t>
            </w:r>
          </w:p>
        </w:tc>
      </w:tr>
      <w:tr>
        <w:trPr/>
        <w:tc>
          <w:tcPr>
            <w:tcW w:w="587"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34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Vice President</w:t>
            </w:r>
          </w:p>
        </w:tc>
      </w:tr>
    </w:tbl>
    <w:p>
      <w:pPr>
        <w:pStyle w:val="TextBody"/>
        <w:spacing w:before="180" w:after="0"/>
        <w:rPr>
          <w:rFonts w:ascii="Times New Roman" w:hAnsi="Times New Roman"/>
          <w:sz w:val="20"/>
        </w:rPr>
      </w:pPr>
      <w:r>
        <w:rPr>
          <w:rFonts w:ascii="Times New Roman" w:hAnsi="Times New Roman"/>
          <w:sz w:val="20"/>
        </w:rPr>
        <w:t xml:space="preserve">Date: August 22, 2012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EXHIBIT INDEX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95"/>
        <w:gridCol w:w="528"/>
        <w:gridCol w:w="9182"/>
      </w:tblGrid>
      <w:tr>
        <w:trPr/>
        <w:tc>
          <w:tcPr>
            <w:tcW w:w="495"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bottom"/>
          </w:tcPr>
          <w:p>
            <w:pPr>
              <w:pStyle w:val="TableContents"/>
              <w:spacing w:before="0" w:after="283"/>
              <w:rPr>
                <w:sz w:val="4"/>
                <w:szCs w:val="4"/>
              </w:rPr>
            </w:pPr>
            <w:r>
              <w:rPr>
                <w:sz w:val="4"/>
                <w:szCs w:val="4"/>
              </w:rPr>
            </w:r>
          </w:p>
        </w:tc>
        <w:tc>
          <w:tcPr>
            <w:tcW w:w="9182" w:type="dxa"/>
            <w:tcBorders/>
            <w:shd w:fill="auto" w:val="clear"/>
            <w:vAlign w:val="center"/>
          </w:tcPr>
          <w:p>
            <w:pPr>
              <w:pStyle w:val="TableContents"/>
              <w:spacing w:before="0" w:after="283"/>
              <w:rPr>
                <w:sz w:val="4"/>
                <w:szCs w:val="4"/>
              </w:rPr>
            </w:pPr>
            <w:r>
              <w:rPr>
                <w:sz w:val="4"/>
                <w:szCs w:val="4"/>
              </w:rPr>
            </w:r>
          </w:p>
        </w:tc>
      </w:tr>
      <w:tr>
        <w:trPr/>
        <w:tc>
          <w:tcPr>
            <w:tcW w:w="495" w:type="dxa"/>
            <w:tcBorders/>
            <w:shd w:fill="auto" w:val="clear"/>
            <w:vAlign w:val="bottom"/>
          </w:tcPr>
          <w:p>
            <w:pPr>
              <w:pStyle w:val="TableContents"/>
              <w:pBdr>
                <w:bottom w:val="single" w:sz="2" w:space="1" w:color="000000"/>
              </w:pBdr>
              <w:spacing w:before="0" w:after="283"/>
              <w:jc w:val="center"/>
              <w:rPr>
                <w:rFonts w:ascii="Times New Roman" w:hAnsi="Times New Roman"/>
                <w:sz w:val="14"/>
              </w:rPr>
            </w:pPr>
            <w:r>
              <w:rPr>
                <w:rFonts w:ascii="Times New Roman" w:hAnsi="Times New Roman"/>
                <w:sz w:val="14"/>
              </w:rPr>
              <w:t>Exhibit</w:t>
              <w:br/>
              <w:t>Number</w:t>
            </w:r>
          </w:p>
        </w:tc>
        <w:tc>
          <w:tcPr>
            <w:tcW w:w="528" w:type="dxa"/>
            <w:tcBorders/>
            <w:shd w:fill="auto" w:val="clear"/>
            <w:vAlign w:val="bottom"/>
          </w:tcPr>
          <w:p>
            <w:pPr>
              <w:pStyle w:val="TableContents"/>
              <w:spacing w:before="0" w:after="283"/>
              <w:rPr/>
            </w:pPr>
            <w:r>
              <w:rPr/>
              <w:t>  </w:t>
            </w:r>
          </w:p>
        </w:tc>
        <w:tc>
          <w:tcPr>
            <w:tcW w:w="9182" w:type="dxa"/>
            <w:tcBorders/>
            <w:shd w:fill="auto" w:val="clear"/>
            <w:vAlign w:val="bottom"/>
          </w:tcPr>
          <w:p>
            <w:pPr>
              <w:pStyle w:val="TableContents"/>
              <w:pBdr>
                <w:bottom w:val="single" w:sz="2" w:space="1" w:color="000000"/>
              </w:pBdr>
              <w:spacing w:before="0" w:after="283"/>
              <w:rPr>
                <w:rFonts w:ascii="Times New Roman" w:hAnsi="Times New Roman"/>
                <w:sz w:val="14"/>
              </w:rPr>
            </w:pPr>
            <w:r>
              <w:rPr>
                <w:rFonts w:ascii="Times New Roman" w:hAnsi="Times New Roman"/>
                <w:sz w:val="14"/>
              </w:rPr>
              <w:t>Description</w:t>
            </w:r>
          </w:p>
        </w:tc>
      </w:tr>
      <w:tr>
        <w:trPr/>
        <w:tc>
          <w:tcPr>
            <w:tcW w:w="495" w:type="dxa"/>
            <w:tcBorders/>
            <w:shd w:fill="auto" w:val="clear"/>
          </w:tcPr>
          <w:p>
            <w:pPr>
              <w:pStyle w:val="TableContents"/>
              <w:spacing w:before="0" w:after="283"/>
              <w:rPr>
                <w:rFonts w:ascii="Times New Roman" w:hAnsi="Times New Roman"/>
                <w:sz w:val="20"/>
              </w:rPr>
            </w:pPr>
            <w:r>
              <w:rPr>
                <w:rFonts w:ascii="Times New Roman" w:hAnsi="Times New Roman"/>
                <w:sz w:val="20"/>
              </w:rPr>
              <w:t>99.1</w:t>
            </w:r>
          </w:p>
        </w:tc>
        <w:tc>
          <w:tcPr>
            <w:tcW w:w="528" w:type="dxa"/>
            <w:tcBorders/>
            <w:shd w:fill="auto" w:val="clear"/>
            <w:vAlign w:val="bottom"/>
          </w:tcPr>
          <w:p>
            <w:pPr>
              <w:pStyle w:val="TableContents"/>
              <w:spacing w:before="0" w:after="283"/>
              <w:rPr/>
            </w:pPr>
            <w:r>
              <w:rPr/>
              <w:t>  </w:t>
            </w:r>
          </w:p>
        </w:tc>
        <w:tc>
          <w:tcPr>
            <w:tcW w:w="9182" w:type="dxa"/>
            <w:tcBorders/>
            <w:shd w:fill="auto" w:val="clear"/>
          </w:tcPr>
          <w:p>
            <w:pPr>
              <w:pStyle w:val="TableContents"/>
              <w:spacing w:before="0" w:after="283"/>
              <w:rPr>
                <w:rFonts w:ascii="Times New Roman" w:hAnsi="Times New Roman"/>
                <w:sz w:val="20"/>
              </w:rPr>
            </w:pPr>
            <w:r>
              <w:rPr>
                <w:rFonts w:ascii="Times New Roman" w:hAnsi="Times New Roman"/>
                <w:sz w:val="20"/>
              </w:rPr>
              <w:t>Press Release dated August 16, 2012, announcing two-for-one unit split.</w:t>
            </w:r>
          </w:p>
        </w:tc>
      </w:tr>
    </w:tbl>
    <w:p>
      <w:pPr>
        <w:pStyle w:val="TextBody"/>
        <w:spacing w:before="0" w:after="0"/>
        <w:jc w:val="right"/>
        <w:rPr>
          <w:rFonts w:ascii="Times New Roman" w:hAnsi="Times New Roman"/>
          <w:b/>
          <w:sz w:val="20"/>
        </w:rPr>
      </w:pPr>
      <w:r>
        <w:br w:type="page"/>
      </w:r>
      <w:bookmarkStart w:id="2" w:name="d401296dex991.htm"/>
      <w:bookmarkStart w:id="3" w:name="ksd401296dex991"/>
      <w:bookmarkEnd w:id="2"/>
      <w:bookmarkEnd w:id="3"/>
      <w:r>
        <w:rPr>
          <w:rFonts w:ascii="Times New Roman" w:hAnsi="Times New Roman"/>
          <w:b/>
          <w:sz w:val="20"/>
        </w:rPr>
        <w:t xml:space="preserve">Exhibit 99.1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4"/>
        <w:gridCol w:w="204"/>
        <w:gridCol w:w="4797"/>
      </w:tblGrid>
      <w:tr>
        <w:trPr/>
        <w:tc>
          <w:tcPr>
            <w:tcW w:w="5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pPr>
            <w:r>
              <w:rPr/>
              <w:drawing>
                <wp:inline distT="0" distB="0" distL="0" distR="0">
                  <wp:extent cx="2447925"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47925" cy="733425"/>
                          </a:xfrm>
                          <a:prstGeom prst="rect">
                            <a:avLst/>
                          </a:prstGeom>
                        </pic:spPr>
                      </pic:pic>
                    </a:graphicData>
                  </a:graphic>
                </wp:inline>
              </w:drawing>
            </w:r>
            <w:r>
              <w:rPr/>
              <w:t xml:space="preserve"> </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jc w:val="right"/>
              <w:rPr/>
            </w:pPr>
            <w:r>
              <w:rPr/>
              <w:drawing>
                <wp:inline distT="0" distB="0" distL="0" distR="0">
                  <wp:extent cx="2571750" cy="800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571750" cy="800100"/>
                          </a:xfrm>
                          <a:prstGeom prst="rect">
                            <a:avLst/>
                          </a:prstGeom>
                        </pic:spPr>
                      </pic:pic>
                    </a:graphicData>
                  </a:graphic>
                </wp:inline>
              </w:drawing>
            </w:r>
            <w:r>
              <w:rPr/>
              <w:t xml:space="preserve"> </w:t>
            </w:r>
          </w:p>
        </w:tc>
      </w:tr>
    </w:tbl>
    <w:p>
      <w:pPr>
        <w:pStyle w:val="TextBody"/>
        <w:spacing w:before="270" w:after="0"/>
        <w:rPr>
          <w:rFonts w:ascii="Times New Roman" w:hAnsi="Times New Roman"/>
          <w:b/>
          <w:sz w:val="20"/>
          <w:u w:val="single"/>
        </w:rPr>
      </w:pPr>
      <w:r>
        <w:rPr>
          <w:rFonts w:ascii="Times New Roman" w:hAnsi="Times New Roman"/>
          <w:b/>
          <w:sz w:val="20"/>
          <w:u w:val="single"/>
        </w:rPr>
        <w:t xml:space="preserve">FOR IMMEDIATE RELEASE </w:t>
      </w:r>
    </w:p>
    <w:p>
      <w:pPr>
        <w:pStyle w:val="TextBody"/>
        <w:spacing w:before="360" w:after="0"/>
        <w:jc w:val="center"/>
        <w:rPr>
          <w:rFonts w:ascii="Times New Roman" w:hAnsi="Times New Roman"/>
          <w:b/>
          <w:sz w:val="20"/>
        </w:rPr>
      </w:pPr>
      <w:r>
        <w:rPr>
          <w:rFonts w:ascii="Times New Roman" w:hAnsi="Times New Roman"/>
          <w:b/>
          <w:sz w:val="20"/>
        </w:rPr>
        <w:t xml:space="preserve">Plains All American Pipeline Announces </w:t>
      </w:r>
    </w:p>
    <w:p>
      <w:pPr>
        <w:pStyle w:val="TextBody"/>
        <w:spacing w:before="0" w:after="0"/>
        <w:jc w:val="center"/>
        <w:rPr>
          <w:rFonts w:ascii="Times New Roman" w:hAnsi="Times New Roman"/>
          <w:b/>
          <w:sz w:val="20"/>
        </w:rPr>
      </w:pPr>
      <w:r>
        <w:rPr>
          <w:rFonts w:ascii="Times New Roman" w:hAnsi="Times New Roman"/>
          <w:b/>
          <w:sz w:val="20"/>
        </w:rPr>
        <w:t xml:space="preserve">Two-for-One Unit Split </w:t>
      </w:r>
    </w:p>
    <w:p>
      <w:pPr>
        <w:pStyle w:val="TextBody"/>
        <w:spacing w:before="180" w:after="0"/>
        <w:rPr>
          <w:rFonts w:ascii="Times New Roman" w:hAnsi="Times New Roman"/>
          <w:sz w:val="20"/>
        </w:rPr>
      </w:pPr>
      <w:r>
        <w:rPr>
          <w:rFonts w:ascii="Times New Roman" w:hAnsi="Times New Roman"/>
          <w:sz w:val="20"/>
        </w:rPr>
        <w:t xml:space="preserve">HOUSTON  August 16, 2012  Plains All American Pipeline, L.P. (NYSE:PAA) today announced that the board of directors of its general partner has approved a two-for-one split of the Partnerships common units. </w:t>
      </w:r>
    </w:p>
    <w:p>
      <w:pPr>
        <w:pStyle w:val="TextBody"/>
        <w:spacing w:before="180" w:after="0"/>
        <w:rPr>
          <w:rFonts w:ascii="Times New Roman" w:hAnsi="Times New Roman"/>
          <w:sz w:val="20"/>
        </w:rPr>
      </w:pPr>
      <w:r>
        <w:rPr>
          <w:rFonts w:ascii="Times New Roman" w:hAnsi="Times New Roman"/>
          <w:sz w:val="20"/>
        </w:rPr>
        <w:t xml:space="preserve">Since its initial public offering in November 1998, PAA has generated a compounded annual total return for its unitholders, including the reinvestment of distributions, of over 19% per year, which has been driven by a 137% increase in our distribution per common unit and an approximate 330% increase in the value of our common units, said Greg L. Armstrong, Chairman and Chief Executive Officer of PAA. We look forward to continuing to deliver solid operating and financial results and to grow PAA. We believe this unit split, the first in our history, will make PAAs common units more accessible to a broader base of potential investors and enhance liquidity for all unitholders. </w:t>
      </w:r>
    </w:p>
    <w:p>
      <w:pPr>
        <w:pStyle w:val="TextBody"/>
        <w:spacing w:before="180" w:after="0"/>
        <w:rPr>
          <w:rFonts w:ascii="Times New Roman" w:hAnsi="Times New Roman"/>
          <w:sz w:val="20"/>
        </w:rPr>
      </w:pPr>
      <w:r>
        <w:rPr>
          <w:rFonts w:ascii="Times New Roman" w:hAnsi="Times New Roman"/>
          <w:sz w:val="20"/>
        </w:rPr>
        <w:t xml:space="preserve">The two-for-one unit split will be effected on October 1, 2012, by a distribution of one additional common unit for each common unit outstanding and held by unitholders of record at the close of business on September 17, 2012. As of August 15, 2012, PAA had 163,956,898 common units outstanding. </w:t>
      </w:r>
    </w:p>
    <w:p>
      <w:pPr>
        <w:pStyle w:val="TextBody"/>
        <w:spacing w:before="180" w:after="0"/>
        <w:rPr>
          <w:rFonts w:ascii="Times New Roman" w:hAnsi="Times New Roman"/>
          <w:sz w:val="20"/>
        </w:rPr>
      </w:pPr>
      <w:r>
        <w:rPr>
          <w:rFonts w:ascii="Times New Roman" w:hAnsi="Times New Roman"/>
          <w:sz w:val="20"/>
        </w:rPr>
        <w:t xml:space="preserve">Plains All American Pipeline, L.P. is a publicly traded master limited partnership engaged in the transportation, storage, terminalling and marketing of crude oil and refined products, as well as in the processing, transportation, fractionation, storage and marketing of natural gas liquids. Through its general partner interest and majority equity ownership position in PAA Natural Gas Storage, L.P. (NYSE: PNG), PAA owns and operates natural gas storage facilities. PAA is headquartered in Houston, Texas.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18"/>
        <w:gridCol w:w="306"/>
        <w:gridCol w:w="8981"/>
      </w:tblGrid>
      <w:tr>
        <w:trPr/>
        <w:tc>
          <w:tcPr>
            <w:tcW w:w="918"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bottom"/>
          </w:tcPr>
          <w:p>
            <w:pPr>
              <w:pStyle w:val="TableContents"/>
              <w:spacing w:before="0" w:after="283"/>
              <w:rPr>
                <w:sz w:val="4"/>
                <w:szCs w:val="4"/>
              </w:rPr>
            </w:pPr>
            <w:r>
              <w:rPr>
                <w:sz w:val="4"/>
                <w:szCs w:val="4"/>
              </w:rPr>
            </w:r>
          </w:p>
        </w:tc>
        <w:tc>
          <w:tcPr>
            <w:tcW w:w="8981" w:type="dxa"/>
            <w:tcBorders/>
            <w:shd w:fill="auto" w:val="clear"/>
            <w:vAlign w:val="center"/>
          </w:tcPr>
          <w:p>
            <w:pPr>
              <w:pStyle w:val="TableContents"/>
              <w:spacing w:before="0" w:after="283"/>
              <w:rPr>
                <w:sz w:val="4"/>
                <w:szCs w:val="4"/>
              </w:rPr>
            </w:pPr>
            <w:r>
              <w:rPr>
                <w:sz w:val="4"/>
                <w:szCs w:val="4"/>
              </w:rPr>
            </w:r>
          </w:p>
        </w:tc>
      </w:tr>
      <w:tr>
        <w:trPr/>
        <w:tc>
          <w:tcPr>
            <w:tcW w:w="918" w:type="dxa"/>
            <w:tcBorders/>
            <w:shd w:fill="auto" w:val="clear"/>
          </w:tcPr>
          <w:p>
            <w:pPr>
              <w:pStyle w:val="TableContents"/>
              <w:spacing w:before="0" w:after="283"/>
              <w:rPr>
                <w:rFonts w:ascii="Times New Roman" w:hAnsi="Times New Roman"/>
                <w:sz w:val="20"/>
              </w:rPr>
            </w:pPr>
            <w:r>
              <w:rPr>
                <w:rFonts w:ascii="Times New Roman" w:hAnsi="Times New Roman"/>
                <w:sz w:val="20"/>
                <w:u w:val="single"/>
              </w:rPr>
              <w:t>Contact</w:t>
            </w:r>
            <w:r>
              <w:rPr>
                <w:rFonts w:ascii="Times New Roman" w:hAnsi="Times New Roman"/>
                <w:sz w:val="20"/>
              </w:rPr>
              <w:t>:        </w:t>
            </w:r>
          </w:p>
        </w:tc>
        <w:tc>
          <w:tcPr>
            <w:tcW w:w="306" w:type="dxa"/>
            <w:tcBorders/>
            <w:shd w:fill="auto" w:val="clear"/>
            <w:vAlign w:val="bottom"/>
          </w:tcPr>
          <w:p>
            <w:pPr>
              <w:pStyle w:val="TableContents"/>
              <w:spacing w:before="0" w:after="283"/>
              <w:rPr/>
            </w:pPr>
            <w:r>
              <w:rPr/>
              <w:t>  </w:t>
            </w:r>
          </w:p>
        </w:tc>
        <w:tc>
          <w:tcPr>
            <w:tcW w:w="898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Roy I. Lamoreaux</w:t>
            </w:r>
          </w:p>
        </w:tc>
      </w:tr>
      <w:tr>
        <w:trPr/>
        <w:tc>
          <w:tcPr>
            <w:tcW w:w="918" w:type="dxa"/>
            <w:tcBorders/>
            <w:shd w:fill="auto" w:val="clear"/>
          </w:tcPr>
          <w:p>
            <w:pPr>
              <w:pStyle w:val="TableContents"/>
              <w:spacing w:before="0" w:after="283"/>
              <w:rPr>
                <w:sz w:val="4"/>
                <w:szCs w:val="4"/>
              </w:rPr>
            </w:pPr>
            <w:r>
              <w:rPr>
                <w:sz w:val="4"/>
                <w:szCs w:val="4"/>
              </w:rPr>
            </w:r>
          </w:p>
        </w:tc>
        <w:tc>
          <w:tcPr>
            <w:tcW w:w="306" w:type="dxa"/>
            <w:tcBorders/>
            <w:shd w:fill="auto" w:val="clear"/>
            <w:vAlign w:val="bottom"/>
          </w:tcPr>
          <w:p>
            <w:pPr>
              <w:pStyle w:val="TableContents"/>
              <w:spacing w:before="0" w:after="283"/>
              <w:rPr/>
            </w:pPr>
            <w:r>
              <w:rPr/>
              <w:t>  </w:t>
            </w:r>
          </w:p>
        </w:tc>
        <w:tc>
          <w:tcPr>
            <w:tcW w:w="898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Director, Investor Relations</w:t>
            </w:r>
          </w:p>
        </w:tc>
      </w:tr>
      <w:tr>
        <w:trPr/>
        <w:tc>
          <w:tcPr>
            <w:tcW w:w="918" w:type="dxa"/>
            <w:tcBorders/>
            <w:shd w:fill="auto" w:val="clear"/>
          </w:tcPr>
          <w:p>
            <w:pPr>
              <w:pStyle w:val="TableContents"/>
              <w:spacing w:before="0" w:after="283"/>
              <w:rPr>
                <w:sz w:val="4"/>
                <w:szCs w:val="4"/>
              </w:rPr>
            </w:pPr>
            <w:r>
              <w:rPr>
                <w:sz w:val="4"/>
                <w:szCs w:val="4"/>
              </w:rPr>
            </w:r>
          </w:p>
        </w:tc>
        <w:tc>
          <w:tcPr>
            <w:tcW w:w="306" w:type="dxa"/>
            <w:tcBorders/>
            <w:shd w:fill="auto" w:val="clear"/>
            <w:vAlign w:val="bottom"/>
          </w:tcPr>
          <w:p>
            <w:pPr>
              <w:pStyle w:val="TableContents"/>
              <w:spacing w:before="0" w:after="283"/>
              <w:rPr/>
            </w:pPr>
            <w:r>
              <w:rPr/>
              <w:t>  </w:t>
            </w:r>
          </w:p>
        </w:tc>
        <w:tc>
          <w:tcPr>
            <w:tcW w:w="898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713/646-4222  800/564-3036</w:t>
            </w:r>
          </w:p>
        </w:tc>
      </w:tr>
    </w:tbl>
    <w:p>
      <w:pPr>
        <w:pStyle w:val="TextBody"/>
        <w:spacing w:before="180" w:after="0"/>
        <w:jc w:val="center"/>
        <w:rPr>
          <w:rFonts w:ascii="Times New Roman" w:hAnsi="Times New Roman"/>
          <w:sz w:val="20"/>
        </w:rPr>
      </w:pPr>
      <w:r>
        <w:rPr>
          <w:rFonts w:ascii="Times New Roman" w:hAnsi="Times New Roman"/>
          <w:sz w:val="20"/>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780</Words>
  <CharactersWithSpaces>4936</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Press Release dated August 16, 2012, Announcing Two-for-One Unit Split</dc:title>
</cp:coreProperties>
</file>