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7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4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w w:val="99"/>
              </w:rPr>
              <w:t>LOS ANGELES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70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1"/>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w w:val="98"/>
              </w:rPr>
              <w:t>(Check all applicable)</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6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6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ind w:left="120"/>
              <w:spacing w:after="0" w:line="97" w:lineRule="exact"/>
              <w:rPr>
                <w:sz w:val="20"/>
                <w:szCs w:val="20"/>
                <w:color w:val="auto"/>
              </w:rPr>
            </w:pPr>
            <w:r>
              <w:rPr>
                <w:rFonts w:ascii="Arial" w:cs="Arial" w:eastAsia="Arial" w:hAnsi="Arial"/>
                <w:sz w:val="11"/>
                <w:szCs w:val="11"/>
                <w:color w:val="auto"/>
              </w:rPr>
              <w:t>below)</w:t>
            </w:r>
          </w:p>
        </w:tc>
        <w:tc>
          <w:tcPr>
            <w:tcW w:w="4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260" w:type="dxa"/>
            <w:vAlign w:val="bottom"/>
          </w:tcPr>
          <w:p>
            <w:pPr>
              <w:ind w:left="8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0"/>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7"/>
                <w:szCs w:val="17"/>
                <w:color w:val="0000FF"/>
                <w:w w:val="90"/>
              </w:rPr>
              <w:t>See remaks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06/29/2018</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60"/>
        <w:spacing w:after="0" w:line="21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 Person</w:t>
      </w:r>
    </w:p>
    <w:p>
      <w:pPr>
        <w:spacing w:after="0" w:line="314" w:lineRule="exact"/>
        <w:rPr>
          <w:sz w:val="20"/>
          <w:szCs w:val="20"/>
          <w:color w:val="auto"/>
        </w:rPr>
      </w:pPr>
    </w:p>
    <w:p>
      <w:pPr>
        <w:sectPr>
          <w:pgSz w:w="11900" w:h="16838" w:orient="portrait"/>
          <w:cols w:equalWidth="0" w:num="2">
            <w:col w:w="3920" w:space="80"/>
            <w:col w:w="752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60"/>
              <w:spacing w:after="0" w:line="127"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60"/>
              <w:spacing w:after="0" w:line="130" w:lineRule="exact"/>
              <w:rPr>
                <w:sz w:val="20"/>
                <w:szCs w:val="20"/>
                <w:color w:val="auto"/>
              </w:rPr>
            </w:pPr>
            <w:r>
              <w:rPr>
                <w:rFonts w:ascii="Arial" w:cs="Arial" w:eastAsia="Arial" w:hAnsi="Arial"/>
                <w:sz w:val="12"/>
                <w:szCs w:val="12"/>
                <w:b w:val="1"/>
                <w:bCs w:val="1"/>
                <w:color w:val="auto"/>
              </w:rPr>
              <w:t>(D) or Indirect</w:t>
            </w: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340" w:type="dxa"/>
            <w:vAlign w:val="bottom"/>
          </w:tcPr>
          <w:p>
            <w:pPr>
              <w:spacing w:after="0"/>
              <w:rPr>
                <w:sz w:val="11"/>
                <w:szCs w:val="11"/>
                <w:color w:val="auto"/>
              </w:rPr>
            </w:pPr>
          </w:p>
        </w:tc>
        <w:tc>
          <w:tcPr>
            <w:tcW w:w="3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7"/>
              </w:rPr>
              <w:t>(Instr. 3 and 4)</w:t>
            </w: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5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06/29/2018</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520,709</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520,709</w:t>
            </w:r>
          </w:p>
        </w:tc>
        <w:tc>
          <w:tcPr>
            <w:tcW w:w="96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line="268"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580" w:type="dxa"/>
            <w:vAlign w:val="bottom"/>
            <w:tcBorders>
              <w:top w:val="single" w:sz="8" w:color="2C2C2C"/>
            </w:tcBorders>
            <w:gridSpan w:val="2"/>
            <w:vMerge w:val="restart"/>
          </w:tcPr>
          <w:p>
            <w:pPr>
              <w:ind w:left="700"/>
              <w:spacing w:after="0"/>
              <w:rPr>
                <w:sz w:val="20"/>
                <w:szCs w:val="20"/>
                <w:color w:val="auto"/>
              </w:rPr>
            </w:pPr>
            <w:r>
              <w:rPr>
                <w:rFonts w:ascii="Arial" w:cs="Arial" w:eastAsia="Arial" w:hAnsi="Arial"/>
                <w:sz w:val="17"/>
                <w:szCs w:val="17"/>
                <w:color w:val="0000FF"/>
              </w:rPr>
              <w:t>06/29/2018</w:t>
            </w:r>
          </w:p>
        </w:tc>
        <w:tc>
          <w:tcPr>
            <w:tcW w:w="3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ind w:left="22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7"/>
              </w:rPr>
              <w:t>520,709</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202"/>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1"/>
                <w:szCs w:val="21"/>
                <w:color w:val="008000"/>
                <w:w w:val="95"/>
                <w:vertAlign w:val="superscript"/>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Acquired (A)</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of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06/29/2018</w:t>
            </w:r>
          </w:p>
        </w:tc>
        <w:tc>
          <w:tcPr>
            <w:tcW w:w="1100" w:type="dxa"/>
            <w:vAlign w:val="bottom"/>
          </w:tcPr>
          <w:p>
            <w:pPr>
              <w:spacing w:after="0"/>
              <w:rPr>
                <w:sz w:val="10"/>
                <w:szCs w:val="10"/>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10"/>
                <w:szCs w:val="10"/>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w w:val="85"/>
              </w:rPr>
              <w:t>520,709</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520,709</w:t>
            </w:r>
          </w:p>
        </w:tc>
        <w:tc>
          <w:tcPr>
            <w:tcW w:w="8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16,863,251</w:t>
            </w:r>
            <w:r>
              <w:rPr>
                <w:rFonts w:ascii="Arial" w:cs="Arial" w:eastAsia="Arial" w:hAnsi="Arial"/>
                <w:sz w:val="21"/>
                <w:szCs w:val="21"/>
                <w:color w:val="008000"/>
                <w:vertAlign w:val="superscript"/>
              </w:rPr>
              <w:t>(4)</w:t>
            </w:r>
          </w:p>
        </w:tc>
        <w:tc>
          <w:tcPr>
            <w:tcW w:w="34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Units</w:t>
            </w:r>
          </w:p>
        </w:tc>
        <w:tc>
          <w:tcPr>
            <w:tcW w:w="6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ind w:left="80"/>
              <w:spacing w:after="0" w:line="170" w:lineRule="exact"/>
              <w:rPr>
                <w:sz w:val="20"/>
                <w:szCs w:val="20"/>
                <w:color w:val="auto"/>
              </w:rPr>
            </w:pPr>
            <w:r>
              <w:rPr>
                <w:rFonts w:ascii="Arial" w:cs="Arial" w:eastAsia="Arial" w:hAnsi="Arial"/>
                <w:sz w:val="12"/>
                <w:szCs w:val="12"/>
                <w:color w:val="0000FF"/>
                <w:w w:val="97"/>
              </w:rPr>
              <w:t>footnotes</w:t>
            </w:r>
            <w:r>
              <w:rPr>
                <w:rFonts w:ascii="Arial" w:cs="Arial" w:eastAsia="Arial" w:hAnsi="Arial"/>
                <w:sz w:val="19"/>
                <w:szCs w:val="19"/>
                <w:color w:val="008000"/>
                <w:w w:val="97"/>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37"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June 29, 2018, KAFU Holdings (QP), L.P. exercised the Redemption Right with respect to an aggregate 520,709 Class A Units.</w:t>
      </w:r>
    </w:p>
    <w:p>
      <w:pPr>
        <w:spacing w:after="0" w:line="32" w:lineRule="exact"/>
        <w:rPr>
          <w:rFonts w:ascii="Arial" w:cs="Arial" w:eastAsia="Arial" w:hAnsi="Arial"/>
          <w:sz w:val="13"/>
          <w:szCs w:val="13"/>
          <w:color w:val="008000"/>
        </w:rPr>
      </w:pPr>
    </w:p>
    <w:p>
      <w:pPr>
        <w:ind w:left="40" w:right="28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5" w:lineRule="exact"/>
        <w:rPr>
          <w:rFonts w:ascii="Arial" w:cs="Arial" w:eastAsia="Arial" w:hAnsi="Arial"/>
          <w:sz w:val="13"/>
          <w:szCs w:val="13"/>
          <w:color w:val="008000"/>
        </w:rPr>
      </w:pPr>
    </w:p>
    <w:p>
      <w:pPr>
        <w:ind w:left="40" w:right="26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935,092 Class A Units, Class B Shares and GP Units were exchanged for a like number of PAGP Class A Shares. The number of derivative securities owned reflects both the redemption transaction reported herein and the simultaneous exchange transaction.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right="220"/>
        <w:spacing w:after="0"/>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0000FF"/>
                <w:w w:val="91"/>
              </w:rPr>
              <w:t>David Shladovsky</w:t>
            </w:r>
          </w:p>
        </w:tc>
        <w:tc>
          <w:tcPr>
            <w:tcW w:w="8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07/02/2018</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2020-01-13T15:00:34Z</dcterms:created>
  <dcterms:modified xsi:type="dcterms:W3CDTF">2020-01-13T15:00:34Z</dcterms:modified>
</cp:coreProperties>
</file>