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right="9740" w:firstLine="8"/>
        <w:spacing w:after="0" w:line="254" w:lineRule="auto"/>
        <w:tabs>
          <w:tab w:leader="none" w:pos="351"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13d-1(b) [ ] Rule 13d-1(c) [ ] Rule 13d-1(d)</w:t>
      </w:r>
    </w:p>
    <w:p>
      <w:pPr>
        <w:spacing w:after="0" w:line="188" w:lineRule="exact"/>
        <w:rPr>
          <w:sz w:val="24"/>
          <w:szCs w:val="24"/>
          <w:color w:val="auto"/>
        </w:rPr>
      </w:pPr>
    </w:p>
    <w:p>
      <w:pPr>
        <w:ind w:left="360" w:hanging="352"/>
        <w:spacing w:after="0" w:line="269" w:lineRule="auto"/>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40" w:hanging="571"/>
        <w:spacing w:after="0"/>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ALPS Advisors, Inc. (Tax ID: 84-1583423)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40" w:hanging="571"/>
        <w:spacing w:after="0"/>
        <w:tabs>
          <w:tab w:leader="none" w:pos="11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07" w:lineRule="exact"/>
        <w:rPr>
          <w:rFonts w:ascii="Times New Roman" w:cs="Times New Roman" w:eastAsia="Times New Roman" w:hAnsi="Times New Roman"/>
          <w:sz w:val="20"/>
          <w:szCs w:val="20"/>
          <w:color w:val="auto"/>
        </w:rPr>
      </w:pPr>
    </w:p>
    <w:p>
      <w:pPr>
        <w:spacing w:after="0"/>
        <w:tabs>
          <w:tab w:leader="none" w:pos="0" w:val="left"/>
        </w:tabs>
        <w:numPr>
          <w:ilvl w:val="1"/>
          <w:numId w:val="4"/>
        </w:numPr>
        <w:rPr>
          <w:rFonts w:ascii="Times New Roman" w:cs="Times New Roman" w:eastAsia="Times New Roman" w:hAnsi="Times New Roman"/>
          <w:sz w:val="20"/>
          <w:szCs w:val="20"/>
          <w:color w:val="auto"/>
        </w:rPr>
      </w:pPr>
    </w:p>
    <w:p>
      <w:pPr>
        <w:spacing w:after="0" w:line="107" w:lineRule="exact"/>
        <w:rPr>
          <w:rFonts w:ascii="Times New Roman" w:cs="Times New Roman" w:eastAsia="Times New Roman" w:hAnsi="Times New Roman"/>
          <w:sz w:val="20"/>
          <w:szCs w:val="20"/>
          <w:color w:val="auto"/>
        </w:rPr>
      </w:pPr>
    </w:p>
    <w:p>
      <w:pPr>
        <w:ind w:left="1680" w:hanging="544"/>
        <w:spacing w:after="0"/>
        <w:tabs>
          <w:tab w:leader="none" w:pos="16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121" w:lineRule="exact"/>
        <w:rPr>
          <w:rFonts w:ascii="Times New Roman" w:cs="Times New Roman" w:eastAsia="Times New Roman" w:hAnsi="Times New Roman"/>
          <w:sz w:val="20"/>
          <w:szCs w:val="20"/>
          <w:color w:val="auto"/>
        </w:rPr>
      </w:pPr>
    </w:p>
    <w:p>
      <w:pPr>
        <w:ind w:left="1140" w:hanging="571"/>
        <w:spacing w:after="0"/>
        <w:tabs>
          <w:tab w:leader="none" w:pos="11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121" w:lineRule="exact"/>
        <w:rPr>
          <w:rFonts w:ascii="Times New Roman" w:cs="Times New Roman" w:eastAsia="Times New Roman" w:hAnsi="Times New Roman"/>
          <w:sz w:val="20"/>
          <w:szCs w:val="20"/>
          <w:color w:val="auto"/>
        </w:rPr>
      </w:pPr>
    </w:p>
    <w:p>
      <w:pPr>
        <w:ind w:left="1140" w:hanging="571"/>
        <w:spacing w:after="0"/>
        <w:tabs>
          <w:tab w:leader="none" w:pos="11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-396875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2260" w:hanging="571"/>
        <w:spacing w:after="0"/>
        <w:tabs>
          <w:tab w:leader="none" w:pos="2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1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48"/>
        </w:trPr>
        <w:tc>
          <w:tcPr>
            <w:tcW w:w="16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w:t>
            </w:r>
          </w:p>
        </w:tc>
        <w:tc>
          <w:tcPr>
            <w:tcW w:w="9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400" w:type="dxa"/>
            <w:vAlign w:val="bottom"/>
          </w:tcPr>
          <w:p>
            <w:pPr>
              <w:spacing w:after="0"/>
              <w:rPr>
                <w:sz w:val="19"/>
                <w:szCs w:val="19"/>
                <w:color w:val="auto"/>
              </w:rPr>
            </w:pPr>
          </w:p>
        </w:tc>
        <w:tc>
          <w:tcPr>
            <w:tcW w:w="9140" w:type="dxa"/>
            <w:vAlign w:val="bottom"/>
            <w:vMerge w:val="restart"/>
          </w:tcPr>
          <w:p>
            <w:pPr>
              <w:ind w:left="860"/>
              <w:spacing w:after="0"/>
              <w:rPr>
                <w:sz w:val="20"/>
                <w:szCs w:val="20"/>
                <w:color w:val="auto"/>
              </w:rPr>
            </w:pPr>
            <w:r>
              <w:rPr>
                <w:rFonts w:ascii="Times New Roman" w:cs="Times New Roman" w:eastAsia="Times New Roman" w:hAnsi="Times New Roman"/>
                <w:sz w:val="20"/>
                <w:szCs w:val="20"/>
                <w:color w:val="auto"/>
              </w:rPr>
              <w:t>60,732,044**see Note 1**</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40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Owned by</w:t>
            </w:r>
          </w:p>
        </w:tc>
        <w:tc>
          <w:tcPr>
            <w:tcW w:w="400" w:type="dxa"/>
            <w:vAlign w:val="bottom"/>
            <w:tcBorders>
              <w:bottom w:val="single" w:sz="8" w:color="auto"/>
            </w:tcBorders>
          </w:tcPr>
          <w:p>
            <w:pPr>
              <w:spacing w:after="0" w:line="20" w:lineRule="exact"/>
              <w:rPr>
                <w:sz w:val="1"/>
                <w:szCs w:val="1"/>
                <w:color w:val="auto"/>
              </w:rPr>
            </w:pPr>
          </w:p>
        </w:tc>
        <w:tc>
          <w:tcPr>
            <w:tcW w:w="9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40" w:type="dxa"/>
            <w:vAlign w:val="bottom"/>
            <w:vMerge w:val="continue"/>
          </w:tcPr>
          <w:p>
            <w:pPr>
              <w:spacing w:after="0"/>
              <w:rPr>
                <w:sz w:val="16"/>
                <w:szCs w:val="16"/>
                <w:color w:val="auto"/>
              </w:rPr>
            </w:pPr>
          </w:p>
        </w:tc>
        <w:tc>
          <w:tcPr>
            <w:tcW w:w="40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7.</w:t>
            </w:r>
          </w:p>
        </w:tc>
        <w:tc>
          <w:tcPr>
            <w:tcW w:w="91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96"/>
        </w:trPr>
        <w:tc>
          <w:tcPr>
            <w:tcW w:w="1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Each Reporting</w:t>
            </w:r>
          </w:p>
        </w:tc>
        <w:tc>
          <w:tcPr>
            <w:tcW w:w="400" w:type="dxa"/>
            <w:vAlign w:val="bottom"/>
            <w:vMerge w:val="continue"/>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400" w:type="dxa"/>
            <w:vAlign w:val="bottom"/>
          </w:tcPr>
          <w:p>
            <w:pPr>
              <w:spacing w:after="0"/>
              <w:rPr>
                <w:sz w:val="22"/>
                <w:szCs w:val="22"/>
                <w:color w:val="auto"/>
              </w:rPr>
            </w:pPr>
          </w:p>
        </w:tc>
        <w:tc>
          <w:tcPr>
            <w:tcW w:w="9140" w:type="dxa"/>
            <w:vAlign w:val="bottom"/>
            <w:vMerge w:val="restart"/>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67"/>
        </w:trPr>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6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w:t>
            </w:r>
          </w:p>
        </w:tc>
        <w:tc>
          <w:tcPr>
            <w:tcW w:w="91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60,732,044**see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140" w:hanging="571"/>
        <w:spacing w:after="0"/>
        <w:tabs>
          <w:tab w:leader="none" w:pos="11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60,732,044**see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40" w:hanging="571"/>
        <w:spacing w:after="0"/>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w:t>
      </w:r>
    </w:p>
    <w:p>
      <w:pPr>
        <w:spacing w:after="0" w:line="2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40" w:hanging="571"/>
        <w:spacing w:after="0"/>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40" w:hanging="571"/>
        <w:spacing w:after="0"/>
        <w:tabs>
          <w:tab w:leader="none" w:pos="11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1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751"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60" w:hanging="571"/>
        <w:spacing w:after="0"/>
        <w:tabs>
          <w:tab w:leader="none" w:pos="11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1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Alerian MLP ETF (Tax ID: 27-3041076)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60" w:hanging="571"/>
        <w:spacing w:after="0"/>
        <w:tabs>
          <w:tab w:leader="none" w:pos="11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107" w:lineRule="exact"/>
        <w:rPr>
          <w:rFonts w:ascii="Times New Roman" w:cs="Times New Roman" w:eastAsia="Times New Roman" w:hAnsi="Times New Roman"/>
          <w:sz w:val="20"/>
          <w:szCs w:val="20"/>
          <w:color w:val="auto"/>
        </w:rPr>
      </w:pPr>
    </w:p>
    <w:p>
      <w:pPr>
        <w:spacing w:after="0"/>
        <w:tabs>
          <w:tab w:leader="none" w:pos="0" w:val="left"/>
        </w:tabs>
        <w:numPr>
          <w:ilvl w:val="1"/>
          <w:numId w:val="11"/>
        </w:numPr>
        <w:rPr>
          <w:rFonts w:ascii="Times New Roman" w:cs="Times New Roman" w:eastAsia="Times New Roman" w:hAnsi="Times New Roman"/>
          <w:sz w:val="20"/>
          <w:szCs w:val="20"/>
          <w:color w:val="auto"/>
        </w:rPr>
      </w:pPr>
    </w:p>
    <w:p>
      <w:pPr>
        <w:spacing w:after="0" w:line="107" w:lineRule="exact"/>
        <w:rPr>
          <w:rFonts w:ascii="Times New Roman" w:cs="Times New Roman" w:eastAsia="Times New Roman" w:hAnsi="Times New Roman"/>
          <w:sz w:val="20"/>
          <w:szCs w:val="20"/>
          <w:color w:val="auto"/>
        </w:rPr>
      </w:pPr>
    </w:p>
    <w:p>
      <w:pPr>
        <w:ind w:left="1700" w:hanging="544"/>
        <w:spacing w:after="0"/>
        <w:tabs>
          <w:tab w:leader="none" w:pos="17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121" w:lineRule="exact"/>
        <w:rPr>
          <w:rFonts w:ascii="Times New Roman" w:cs="Times New Roman" w:eastAsia="Times New Roman" w:hAnsi="Times New Roman"/>
          <w:sz w:val="20"/>
          <w:szCs w:val="20"/>
          <w:color w:val="auto"/>
        </w:rPr>
      </w:pPr>
    </w:p>
    <w:p>
      <w:pPr>
        <w:ind w:left="1160" w:hanging="571"/>
        <w:spacing w:after="0"/>
        <w:tabs>
          <w:tab w:leader="none" w:pos="11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121" w:lineRule="exact"/>
        <w:rPr>
          <w:rFonts w:ascii="Times New Roman" w:cs="Times New Roman" w:eastAsia="Times New Roman" w:hAnsi="Times New Roman"/>
          <w:sz w:val="20"/>
          <w:szCs w:val="20"/>
          <w:color w:val="auto"/>
        </w:rPr>
      </w:pPr>
    </w:p>
    <w:p>
      <w:pPr>
        <w:ind w:left="1160" w:hanging="571"/>
        <w:spacing w:after="0"/>
        <w:tabs>
          <w:tab w:leader="none" w:pos="11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-396875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4" w:lineRule="exact"/>
        <w:rPr>
          <w:sz w:val="20"/>
          <w:szCs w:val="20"/>
          <w:color w:val="auto"/>
        </w:rPr>
      </w:pPr>
    </w:p>
    <w:p>
      <w:pPr>
        <w:ind w:left="2240" w:hanging="558"/>
        <w:spacing w:after="0"/>
        <w:tabs>
          <w:tab w:leader="none" w:pos="22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1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w:t>
            </w:r>
          </w:p>
        </w:tc>
        <w:tc>
          <w:tcPr>
            <w:tcW w:w="9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380" w:type="dxa"/>
            <w:vAlign w:val="bottom"/>
          </w:tcPr>
          <w:p>
            <w:pPr>
              <w:spacing w:after="0"/>
              <w:rPr>
                <w:sz w:val="19"/>
                <w:szCs w:val="19"/>
                <w:color w:val="auto"/>
              </w:rPr>
            </w:pPr>
          </w:p>
        </w:tc>
        <w:tc>
          <w:tcPr>
            <w:tcW w:w="9160" w:type="dxa"/>
            <w:vAlign w:val="bottom"/>
            <w:vMerge w:val="restart"/>
          </w:tcPr>
          <w:p>
            <w:pPr>
              <w:ind w:left="860"/>
              <w:spacing w:after="0"/>
              <w:rPr>
                <w:sz w:val="20"/>
                <w:szCs w:val="20"/>
                <w:color w:val="auto"/>
              </w:rPr>
            </w:pPr>
            <w:r>
              <w:rPr>
                <w:rFonts w:ascii="Times New Roman" w:cs="Times New Roman" w:eastAsia="Times New Roman" w:hAnsi="Times New Roman"/>
                <w:sz w:val="20"/>
                <w:szCs w:val="20"/>
                <w:color w:val="auto"/>
              </w:rPr>
              <w:t>60,732,044**see Note 1**</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380" w:type="dxa"/>
            <w:vAlign w:val="bottom"/>
          </w:tcPr>
          <w:p>
            <w:pPr>
              <w:spacing w:after="0"/>
              <w:rPr>
                <w:sz w:val="19"/>
                <w:szCs w:val="19"/>
                <w:color w:val="auto"/>
              </w:rPr>
            </w:pPr>
          </w:p>
        </w:tc>
        <w:tc>
          <w:tcPr>
            <w:tcW w:w="9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Owned by</w:t>
            </w:r>
          </w:p>
        </w:tc>
        <w:tc>
          <w:tcPr>
            <w:tcW w:w="380" w:type="dxa"/>
            <w:vAlign w:val="bottom"/>
            <w:tcBorders>
              <w:bottom w:val="single" w:sz="8" w:color="auto"/>
            </w:tcBorders>
          </w:tcPr>
          <w:p>
            <w:pPr>
              <w:spacing w:after="0" w:line="20" w:lineRule="exact"/>
              <w:rPr>
                <w:sz w:val="1"/>
                <w:szCs w:val="1"/>
                <w:color w:val="auto"/>
              </w:rPr>
            </w:pPr>
          </w:p>
        </w:tc>
        <w:tc>
          <w:tcPr>
            <w:tcW w:w="9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660" w:type="dxa"/>
            <w:vAlign w:val="bottom"/>
            <w:vMerge w:val="continue"/>
          </w:tcPr>
          <w:p>
            <w:pPr>
              <w:spacing w:after="0"/>
              <w:rPr>
                <w:sz w:val="17"/>
                <w:szCs w:val="17"/>
                <w:color w:val="auto"/>
              </w:rPr>
            </w:pPr>
          </w:p>
        </w:tc>
        <w:tc>
          <w:tcPr>
            <w:tcW w:w="380" w:type="dxa"/>
            <w:vAlign w:val="bottom"/>
          </w:tcPr>
          <w:p>
            <w:pPr>
              <w:jc w:val="right"/>
              <w:ind w:right="101"/>
              <w:spacing w:after="0" w:line="196" w:lineRule="exact"/>
              <w:rPr>
                <w:sz w:val="20"/>
                <w:szCs w:val="20"/>
                <w:color w:val="auto"/>
              </w:rPr>
            </w:pPr>
            <w:r>
              <w:rPr>
                <w:rFonts w:ascii="Times New Roman" w:cs="Times New Roman" w:eastAsia="Times New Roman" w:hAnsi="Times New Roman"/>
                <w:sz w:val="20"/>
                <w:szCs w:val="20"/>
                <w:color w:val="auto"/>
              </w:rPr>
              <w:t>7.</w:t>
            </w:r>
          </w:p>
        </w:tc>
        <w:tc>
          <w:tcPr>
            <w:tcW w:w="9160" w:type="dxa"/>
            <w:vAlign w:val="bottom"/>
          </w:tcPr>
          <w:p>
            <w:pPr>
              <w:ind w:left="200"/>
              <w:spacing w:after="0" w:line="196" w:lineRule="exact"/>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20"/>
        </w:trPr>
        <w:tc>
          <w:tcPr>
            <w:tcW w:w="16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Each Reporting</w:t>
            </w:r>
          </w:p>
        </w:tc>
        <w:tc>
          <w:tcPr>
            <w:tcW w:w="38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66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380" w:type="dxa"/>
            <w:vAlign w:val="bottom"/>
          </w:tcPr>
          <w:p>
            <w:pPr>
              <w:spacing w:after="0"/>
              <w:rPr>
                <w:sz w:val="24"/>
                <w:szCs w:val="24"/>
                <w:color w:val="auto"/>
              </w:rPr>
            </w:pPr>
          </w:p>
        </w:tc>
        <w:tc>
          <w:tcPr>
            <w:tcW w:w="916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2"/>
                <w:szCs w:val="22"/>
                <w:color w:val="auto"/>
              </w:rPr>
            </w:pPr>
          </w:p>
        </w:tc>
        <w:tc>
          <w:tcPr>
            <w:tcW w:w="3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w:t>
            </w:r>
          </w:p>
        </w:tc>
        <w:tc>
          <w:tcPr>
            <w:tcW w:w="91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60,732,044**see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31115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1180" w:hanging="578"/>
        <w:spacing w:after="0"/>
        <w:tabs>
          <w:tab w:leader="none" w:pos="11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60,732,044**see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80" w:hanging="578"/>
        <w:spacing w:after="0"/>
        <w:tabs>
          <w:tab w:leader="none" w:pos="11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w:t>
      </w:r>
    </w:p>
    <w:p>
      <w:pPr>
        <w:spacing w:after="0" w:line="2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1180" w:hanging="578"/>
        <w:spacing w:after="0"/>
        <w:tabs>
          <w:tab w:leader="none" w:pos="11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180" w:hanging="578"/>
        <w:spacing w:after="0"/>
        <w:tabs>
          <w:tab w:leader="none" w:pos="11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18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75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Item 1.</w:t>
      </w:r>
    </w:p>
    <w:p>
      <w:pPr>
        <w:spacing w:after="0" w:line="229" w:lineRule="exact"/>
        <w:rPr>
          <w:sz w:val="20"/>
          <w:szCs w:val="20"/>
          <w:color w:val="auto"/>
        </w:rPr>
      </w:pPr>
    </w:p>
    <w:p>
      <w:pPr>
        <w:ind w:left="1700" w:hanging="558"/>
        <w:spacing w:after="0"/>
        <w:tabs>
          <w:tab w:leader="none" w:pos="17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rFonts w:ascii="Times New Roman" w:cs="Times New Roman" w:eastAsia="Times New Roman" w:hAnsi="Times New Roman"/>
          <w:sz w:val="20"/>
          <w:szCs w:val="20"/>
          <w:color w:val="auto"/>
        </w:rPr>
      </w:pPr>
    </w:p>
    <w:p>
      <w:pPr>
        <w:ind w:left="1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Plains All American Pipeline, L.P.</w:t>
      </w:r>
    </w:p>
    <w:p>
      <w:pPr>
        <w:spacing w:after="0" w:line="229" w:lineRule="exact"/>
        <w:rPr>
          <w:rFonts w:ascii="Times New Roman" w:cs="Times New Roman" w:eastAsia="Times New Roman" w:hAnsi="Times New Roman"/>
          <w:sz w:val="20"/>
          <w:szCs w:val="20"/>
          <w:color w:val="auto"/>
        </w:rPr>
      </w:pPr>
    </w:p>
    <w:p>
      <w:pPr>
        <w:ind w:left="1700" w:hanging="558"/>
        <w:spacing w:after="0"/>
        <w:tabs>
          <w:tab w:leader="none" w:pos="17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9" w:lineRule="exact"/>
        <w:rPr>
          <w:rFonts w:ascii="Times New Roman" w:cs="Times New Roman" w:eastAsia="Times New Roman" w:hAnsi="Times New Roman"/>
          <w:sz w:val="20"/>
          <w:szCs w:val="20"/>
          <w:color w:val="auto"/>
        </w:rPr>
      </w:pPr>
    </w:p>
    <w:p>
      <w:pPr>
        <w:ind w:left="1700" w:right="724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333 Clay Street, Suite 1600 Houston, TX 77002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w:t>
      </w:r>
    </w:p>
    <w:p>
      <w:pPr>
        <w:spacing w:after="0" w:line="229" w:lineRule="exact"/>
        <w:rPr>
          <w:sz w:val="20"/>
          <w:szCs w:val="20"/>
          <w:color w:val="auto"/>
        </w:rPr>
      </w:pPr>
    </w:p>
    <w:p>
      <w:pPr>
        <w:ind w:left="1700" w:hanging="558"/>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Person Filing</w:t>
      </w:r>
    </w:p>
    <w:p>
      <w:pPr>
        <w:spacing w:after="0" w:line="229" w:lineRule="exact"/>
        <w:rPr>
          <w:rFonts w:ascii="Times New Roman" w:cs="Times New Roman" w:eastAsia="Times New Roman" w:hAnsi="Times New Roman"/>
          <w:sz w:val="20"/>
          <w:szCs w:val="20"/>
          <w:color w:val="auto"/>
        </w:rPr>
      </w:pPr>
    </w:p>
    <w:p>
      <w:pPr>
        <w:ind w:left="2900" w:hanging="557"/>
        <w:spacing w:after="0"/>
        <w:tabs>
          <w:tab w:leader="none" w:pos="29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ALPS Advisors, Inc.</w:t>
      </w:r>
    </w:p>
    <w:p>
      <w:pPr>
        <w:spacing w:after="0" w:line="21" w:lineRule="exact"/>
        <w:rPr>
          <w:rFonts w:ascii="Times New Roman" w:cs="Times New Roman" w:eastAsia="Times New Roman" w:hAnsi="Times New Roman"/>
          <w:sz w:val="20"/>
          <w:szCs w:val="20"/>
          <w:color w:val="auto"/>
        </w:rPr>
      </w:pPr>
    </w:p>
    <w:p>
      <w:pPr>
        <w:ind w:left="2900" w:hanging="557"/>
        <w:spacing w:after="0"/>
        <w:tabs>
          <w:tab w:leader="none" w:pos="29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Alerian MLP ETF</w:t>
      </w:r>
    </w:p>
    <w:p>
      <w:pPr>
        <w:spacing w:after="0" w:line="207" w:lineRule="exact"/>
        <w:rPr>
          <w:rFonts w:ascii="Times New Roman" w:cs="Times New Roman" w:eastAsia="Times New Roman" w:hAnsi="Times New Roman"/>
          <w:sz w:val="20"/>
          <w:szCs w:val="20"/>
          <w:color w:val="auto"/>
        </w:rPr>
      </w:pPr>
    </w:p>
    <w:p>
      <w:pPr>
        <w:ind w:left="1700" w:hanging="558"/>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Principal Business Office or, if none, Residence</w:t>
      </w:r>
    </w:p>
    <w:p>
      <w:pPr>
        <w:spacing w:after="0" w:line="229" w:lineRule="exact"/>
        <w:rPr>
          <w:rFonts w:ascii="Times New Roman" w:cs="Times New Roman" w:eastAsia="Times New Roman" w:hAnsi="Times New Roman"/>
          <w:sz w:val="20"/>
          <w:szCs w:val="20"/>
          <w:color w:val="auto"/>
        </w:rPr>
      </w:pPr>
    </w:p>
    <w:p>
      <w:pPr>
        <w:ind w:left="2920" w:hanging="577"/>
        <w:spacing w:after="0"/>
        <w:tabs>
          <w:tab w:leader="none" w:pos="29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1" w:lineRule="exact"/>
        <w:rPr>
          <w:rFonts w:ascii="Times New Roman" w:cs="Times New Roman" w:eastAsia="Times New Roman" w:hAnsi="Times New Roman"/>
          <w:sz w:val="20"/>
          <w:szCs w:val="20"/>
          <w:color w:val="auto"/>
        </w:rPr>
      </w:pPr>
    </w:p>
    <w:p>
      <w:pPr>
        <w:ind w:left="2920" w:hanging="577"/>
        <w:spacing w:after="0"/>
        <w:tabs>
          <w:tab w:leader="none" w:pos="29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07" w:lineRule="exact"/>
        <w:rPr>
          <w:rFonts w:ascii="Times New Roman" w:cs="Times New Roman" w:eastAsia="Times New Roman" w:hAnsi="Times New Roman"/>
          <w:sz w:val="20"/>
          <w:szCs w:val="20"/>
          <w:color w:val="auto"/>
        </w:rPr>
      </w:pPr>
    </w:p>
    <w:p>
      <w:pPr>
        <w:ind w:left="1700" w:hanging="558"/>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29" w:lineRule="exact"/>
        <w:rPr>
          <w:rFonts w:ascii="Times New Roman" w:cs="Times New Roman" w:eastAsia="Times New Roman" w:hAnsi="Times New Roman"/>
          <w:sz w:val="20"/>
          <w:szCs w:val="20"/>
          <w:color w:val="auto"/>
        </w:rPr>
      </w:pPr>
    </w:p>
    <w:p>
      <w:pPr>
        <w:ind w:left="2920" w:hanging="577"/>
        <w:spacing w:after="0"/>
        <w:tabs>
          <w:tab w:leader="none" w:pos="29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Colorado</w:t>
      </w:r>
    </w:p>
    <w:p>
      <w:pPr>
        <w:spacing w:after="0" w:line="21" w:lineRule="exact"/>
        <w:rPr>
          <w:rFonts w:ascii="Times New Roman" w:cs="Times New Roman" w:eastAsia="Times New Roman" w:hAnsi="Times New Roman"/>
          <w:sz w:val="20"/>
          <w:szCs w:val="20"/>
          <w:color w:val="auto"/>
        </w:rPr>
      </w:pPr>
    </w:p>
    <w:p>
      <w:pPr>
        <w:ind w:left="2920" w:hanging="577"/>
        <w:spacing w:after="0"/>
        <w:tabs>
          <w:tab w:leader="none" w:pos="29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Delaware</w:t>
      </w:r>
    </w:p>
    <w:p>
      <w:pPr>
        <w:spacing w:after="0" w:line="207" w:lineRule="exact"/>
        <w:rPr>
          <w:rFonts w:ascii="Times New Roman" w:cs="Times New Roman" w:eastAsia="Times New Roman" w:hAnsi="Times New Roman"/>
          <w:sz w:val="20"/>
          <w:szCs w:val="20"/>
          <w:color w:val="auto"/>
        </w:rPr>
      </w:pPr>
    </w:p>
    <w:p>
      <w:pPr>
        <w:ind w:left="1700" w:hanging="558"/>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40" w:right="7880" w:hanging="1198"/>
        <w:spacing w:after="0" w:line="479" w:lineRule="auto"/>
        <w:tabs>
          <w:tab w:leader="none" w:pos="169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CUSIP Number 726503105</w:t>
      </w:r>
    </w:p>
    <w:tbl>
      <w:tblPr>
        <w:tblLayout w:type="fixed"/>
        <w:tblInd w:w="0" w:type="dxa"/>
        <w:tblCellMar>
          <w:top w:w="0" w:type="dxa"/>
          <w:left w:w="0" w:type="dxa"/>
          <w:bottom w:w="0" w:type="dxa"/>
          <w:right w:w="0" w:type="dxa"/>
        </w:tblCellMar>
      </w:tblP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1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8"/>
              </w:rPr>
              <w:t>If this statement is filed pursuant to §§240.13d-1(b) or 240.13d-2(b) or (c), check whether the person filing is a:</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7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78o);</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7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7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r>
    </w:tbl>
    <w:p>
      <w:pPr>
        <w:spacing w:after="0" w:line="201" w:lineRule="exact"/>
        <w:rPr>
          <w:sz w:val="20"/>
          <w:szCs w:val="20"/>
          <w:color w:val="auto"/>
        </w:rPr>
      </w:pPr>
    </w:p>
    <w:p>
      <w:pPr>
        <w:ind w:left="2380" w:right="240" w:hanging="1238"/>
        <w:spacing w:after="0" w:line="269" w:lineRule="auto"/>
        <w:tabs>
          <w:tab w:leader="none" w:pos="171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[X]Investment company registered under section 8 of the Investment Company Act of 1940 (15 U.S.C 80a-8) - </w:t>
      </w:r>
      <w:r>
        <w:rPr>
          <w:rFonts w:ascii="Times New Roman" w:cs="Times New Roman" w:eastAsia="Times New Roman" w:hAnsi="Times New Roman"/>
          <w:sz w:val="20"/>
          <w:szCs w:val="20"/>
          <w:b w:val="1"/>
          <w:bCs w:val="1"/>
          <w:color w:val="auto"/>
        </w:rPr>
        <w:t>Alerian MLP ETF</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left="1700" w:hanging="558"/>
        <w:spacing w:after="0"/>
        <w:tabs>
          <w:tab w:leader="none" w:pos="17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19"/>
          <w:szCs w:val="19"/>
          <w:color w:val="auto"/>
        </w:rPr>
        <w:t xml:space="preserve">An investment adviser in accordance with §240.13d-1(b)(1)(ii)(E) – </w:t>
      </w:r>
      <w:r>
        <w:rPr>
          <w:rFonts w:ascii="Times New Roman" w:cs="Times New Roman" w:eastAsia="Times New Roman" w:hAnsi="Times New Roman"/>
          <w:sz w:val="19"/>
          <w:szCs w:val="19"/>
          <w:b w:val="1"/>
          <w:bCs w:val="1"/>
          <w:color w:val="auto"/>
        </w:rPr>
        <w:t>ALPS Advisors,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0" w:type="dxa"/>
            <w:vAlign w:val="bottom"/>
          </w:tcPr>
          <w:p>
            <w:pPr>
              <w:spacing w:after="0"/>
              <w:rPr>
                <w:sz w:val="22"/>
                <w:szCs w:val="22"/>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§240.13d-1(b)(1)(ii)(F);</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 240.13d-1(b)(1)(ii)(G);</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(h)</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A savings associations as defined in Section 3(b) of the Federal Deposit Insurance Act (12 U.S.C. 1813);</w:t>
            </w:r>
          </w:p>
        </w:tc>
      </w:tr>
      <w:tr>
        <w:trPr>
          <w:trHeight w:val="430"/>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A church plan that is excluded from the definition of an investment company under section 3(c)(14) of the</w:t>
            </w:r>
          </w:p>
        </w:tc>
      </w:tr>
      <w:tr>
        <w:trPr>
          <w:trHeight w:val="258"/>
        </w:trPr>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 Company Act of 1940 (15 U.S.C. 80a-3);</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(j)</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 non-U.S. institution in accordance with § 240.13d-1(b)(1)(ii)(J);</w:t>
            </w:r>
          </w:p>
        </w:tc>
      </w:tr>
      <w:tr>
        <w:trPr>
          <w:trHeight w:val="459"/>
        </w:trPr>
        <w:tc>
          <w:tcPr>
            <w:tcW w:w="8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(k)</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85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Group, in accordance with §240.13d-1(b)(1)(ii)(J).</w:t>
            </w:r>
          </w:p>
        </w:tc>
      </w:tr>
      <w:tr>
        <w:trPr>
          <w:trHeight w:val="4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Ownership.</w:t>
            </w:r>
          </w:p>
        </w:tc>
        <w:tc>
          <w:tcPr>
            <w:tcW w:w="856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 the following information regarding the aggregate number and percentage of the class of securities of the issuer identified in Item 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ALPS Advisors, Inc.</w:t>
      </w:r>
    </w:p>
    <w:p>
      <w:pPr>
        <w:spacing w:after="0" w:line="229" w:lineRule="exact"/>
        <w:rPr>
          <w:sz w:val="20"/>
          <w:szCs w:val="20"/>
          <w:color w:val="auto"/>
        </w:rPr>
      </w:pPr>
    </w:p>
    <w:p>
      <w:pPr>
        <w:ind w:left="1700" w:hanging="558"/>
        <w:spacing w:after="0"/>
        <w:tabs>
          <w:tab w:leader="none" w:pos="17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w:t>
      </w:r>
    </w:p>
    <w:p>
      <w:pPr>
        <w:sectPr>
          <w:pgSz w:w="11900" w:h="16838" w:orient="portrait"/>
          <w:cols w:equalWidth="0" w:num="1">
            <w:col w:w="11120"/>
          </w:cols>
          <w:pgMar w:left="320" w:top="468" w:right="459" w:bottom="0" w:gutter="0" w:footer="0" w:header="0"/>
        </w:sectPr>
      </w:pPr>
    </w:p>
    <w:bookmarkStart w:id="4" w:name="page5"/>
    <w:bookmarkEnd w:id="4"/>
    <w:p>
      <w:pPr>
        <w:jc w:val="right"/>
        <w:ind w:right="5679"/>
        <w:spacing w:after="0"/>
        <w:rPr>
          <w:sz w:val="20"/>
          <w:szCs w:val="20"/>
          <w:color w:val="auto"/>
        </w:rPr>
      </w:pPr>
      <w:r>
        <w:rPr>
          <w:rFonts w:ascii="Times New Roman" w:cs="Times New Roman" w:eastAsia="Times New Roman" w:hAnsi="Times New Roman"/>
          <w:sz w:val="20"/>
          <w:szCs w:val="20"/>
          <w:color w:val="auto"/>
        </w:rPr>
        <w:t>60,732,044**see Note 1**</w:t>
      </w:r>
    </w:p>
    <w:p>
      <w:pPr>
        <w:spacing w:after="0" w:line="228" w:lineRule="exact"/>
        <w:rPr>
          <w:sz w:val="20"/>
          <w:szCs w:val="20"/>
          <w:color w:val="auto"/>
        </w:rPr>
      </w:pPr>
    </w:p>
    <w:p>
      <w:pPr>
        <w:ind w:left="1220" w:right="7139" w:hanging="1198"/>
        <w:spacing w:after="0" w:line="548" w:lineRule="auto"/>
        <w:tabs>
          <w:tab w:leader="none" w:pos="572"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Percent of class: 8.66%</w:t>
      </w:r>
    </w:p>
    <w:p>
      <w:pPr>
        <w:sectPr>
          <w:pgSz w:w="11900" w:h="16838" w:orient="portrait"/>
          <w:cols w:equalWidth="0" w:num="1">
            <w:col w:w="9019"/>
          </w:cols>
          <w:pgMar w:left="1440" w:top="118" w:right="1440" w:bottom="1440" w:gutter="0" w:footer="0" w:header="0"/>
        </w:sectPr>
      </w:pPr>
    </w:p>
    <w:bookmarkStart w:id="5" w:name="page6"/>
    <w:bookmarkEnd w:id="5"/>
    <w:p>
      <w:pPr>
        <w:ind w:left="1700" w:hanging="558"/>
        <w:spacing w:after="0"/>
        <w:tabs>
          <w:tab w:leader="none" w:pos="17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29" w:lineRule="exact"/>
        <w:rPr>
          <w:rFonts w:ascii="Times New Roman" w:cs="Times New Roman" w:eastAsia="Times New Roman" w:hAnsi="Times New Roman"/>
          <w:sz w:val="20"/>
          <w:szCs w:val="20"/>
          <w:color w:val="auto"/>
        </w:rPr>
      </w:pPr>
    </w:p>
    <w:p>
      <w:pPr>
        <w:ind w:left="3020" w:right="5720" w:hanging="1311"/>
        <w:spacing w:after="0" w:line="479" w:lineRule="auto"/>
        <w:tabs>
          <w:tab w:leader="none" w:pos="237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ind w:left="3020" w:right="5520" w:hanging="1311"/>
        <w:spacing w:after="0" w:line="479" w:lineRule="auto"/>
        <w:tabs>
          <w:tab w:leader="none" w:pos="237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60,732,044**see Note 1**</w:t>
      </w:r>
    </w:p>
    <w:p>
      <w:pPr>
        <w:ind w:left="3020" w:right="4740" w:hanging="1311"/>
        <w:spacing w:after="0" w:line="479" w:lineRule="auto"/>
        <w:tabs>
          <w:tab w:leader="none" w:pos="237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ind w:left="3020" w:right="4540" w:hanging="1311"/>
        <w:spacing w:after="0" w:line="479" w:lineRule="auto"/>
        <w:tabs>
          <w:tab w:leader="none" w:pos="237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60,732,044**see Note 1**</w:t>
      </w:r>
    </w:p>
    <w:p>
      <w:pPr>
        <w:ind w:left="2380"/>
        <w:spacing w:after="0"/>
        <w:rPr>
          <w:sz w:val="20"/>
          <w:szCs w:val="20"/>
          <w:color w:val="auto"/>
        </w:rPr>
      </w:pPr>
      <w:r>
        <w:rPr>
          <w:rFonts w:ascii="Times New Roman" w:cs="Times New Roman" w:eastAsia="Times New Roman" w:hAnsi="Times New Roman"/>
          <w:sz w:val="20"/>
          <w:szCs w:val="20"/>
          <w:u w:val="single" w:color="auto"/>
          <w:color w:val="auto"/>
        </w:rPr>
        <w:t>Alerian MLP ETF</w:t>
      </w:r>
    </w:p>
    <w:p>
      <w:pPr>
        <w:spacing w:after="0" w:line="229" w:lineRule="exact"/>
        <w:rPr>
          <w:sz w:val="20"/>
          <w:szCs w:val="20"/>
          <w:color w:val="auto"/>
        </w:rPr>
      </w:pPr>
    </w:p>
    <w:p>
      <w:pPr>
        <w:ind w:left="2360" w:right="6760" w:hanging="1218"/>
        <w:spacing w:after="0" w:line="504" w:lineRule="auto"/>
        <w:tabs>
          <w:tab w:leader="none" w:pos="171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 beneficially owned: 60,732,044**see Note 1**</w:t>
      </w:r>
    </w:p>
    <w:p>
      <w:pPr>
        <w:ind w:left="1700" w:hanging="558"/>
        <w:spacing w:after="0"/>
        <w:tabs>
          <w:tab w:leader="none" w:pos="17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8.66%</w:t>
      </w:r>
    </w:p>
    <w:p>
      <w:pPr>
        <w:spacing w:after="0" w:line="229" w:lineRule="exact"/>
        <w:rPr>
          <w:sz w:val="20"/>
          <w:szCs w:val="20"/>
          <w:color w:val="auto"/>
        </w:rPr>
      </w:pPr>
    </w:p>
    <w:p>
      <w:pPr>
        <w:ind w:left="1700" w:hanging="558"/>
        <w:spacing w:after="0"/>
        <w:tabs>
          <w:tab w:leader="none" w:pos="17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29" w:lineRule="exact"/>
        <w:rPr>
          <w:rFonts w:ascii="Times New Roman" w:cs="Times New Roman" w:eastAsia="Times New Roman" w:hAnsi="Times New Roman"/>
          <w:sz w:val="20"/>
          <w:szCs w:val="20"/>
          <w:color w:val="auto"/>
        </w:rPr>
      </w:pPr>
    </w:p>
    <w:p>
      <w:pPr>
        <w:ind w:left="3020" w:right="5720" w:hanging="1311"/>
        <w:spacing w:after="0" w:line="479" w:lineRule="auto"/>
        <w:tabs>
          <w:tab w:leader="none" w:pos="237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ind w:left="3020" w:right="5520" w:hanging="1311"/>
        <w:spacing w:after="0" w:line="479" w:lineRule="auto"/>
        <w:tabs>
          <w:tab w:leader="none" w:pos="237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60,732,044**see Note 1**</w:t>
      </w:r>
    </w:p>
    <w:p>
      <w:pPr>
        <w:ind w:left="3020" w:right="4740" w:hanging="1311"/>
        <w:spacing w:after="0" w:line="479" w:lineRule="auto"/>
        <w:tabs>
          <w:tab w:leader="none" w:pos="237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ind w:left="2380" w:hanging="671"/>
        <w:spacing w:after="0"/>
        <w:tabs>
          <w:tab w:leader="none" w:pos="23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60,732,044**see Note 1**</w:t>
      </w:r>
    </w:p>
    <w:p>
      <w:pPr>
        <w:spacing w:after="0" w:line="229" w:lineRule="exact"/>
        <w:rPr>
          <w:sz w:val="20"/>
          <w:szCs w:val="20"/>
          <w:color w:val="auto"/>
        </w:rPr>
      </w:pPr>
    </w:p>
    <w:p>
      <w:pPr>
        <w:ind w:left="1140" w:firstLine="2"/>
        <w:spacing w:after="0" w:line="243" w:lineRule="auto"/>
        <w:tabs>
          <w:tab w:leader="none" w:pos="138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3" w:lineRule="exact"/>
        <w:rPr>
          <w:sz w:val="20"/>
          <w:szCs w:val="20"/>
          <w:color w:val="auto"/>
        </w:rPr>
      </w:pPr>
    </w:p>
    <w:p>
      <w:pPr>
        <w:ind w:left="1140" w:right="80"/>
        <w:spacing w:after="0" w:line="269" w:lineRule="auto"/>
        <w:rPr>
          <w:sz w:val="20"/>
          <w:szCs w:val="20"/>
          <w:color w:val="auto"/>
        </w:rPr>
      </w:pPr>
      <w:r>
        <w:rPr>
          <w:rFonts w:ascii="Times New Roman" w:cs="Times New Roman" w:eastAsia="Times New Roman" w:hAnsi="Times New Roman"/>
          <w:sz w:val="20"/>
          <w:szCs w:val="20"/>
          <w:color w:val="auto"/>
        </w:rPr>
        <w:t>Alerian MLP ETF is an investment company registered under the Investment Company Act of 1940 and is one of the Funds to which AAI provides investment advice.</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240"/>
          </w:cols>
          <w:pgMar w:left="320" w:top="468" w:right="339" w:bottom="1440" w:gutter="0" w:footer="0" w:header="0"/>
        </w:sectPr>
      </w:pPr>
    </w:p>
    <w:bookmarkStart w:id="6" w:name="page7"/>
    <w:bookmarkEnd w:id="6"/>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2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60,732,044 shares or 8.66% of the total outstanding Common Units.</w:t>
      </w:r>
    </w:p>
    <w:p>
      <w:pPr>
        <w:spacing w:after="0" w:line="193" w:lineRule="exact"/>
        <w:rPr>
          <w:sz w:val="20"/>
          <w:szCs w:val="20"/>
          <w:color w:val="auto"/>
        </w:rPr>
      </w:pPr>
    </w:p>
    <w:p>
      <w:pPr>
        <w:ind w:left="1140" w:right="420" w:hanging="1133"/>
        <w:spacing w:after="0" w:line="269" w:lineRule="auto"/>
        <w:tabs>
          <w:tab w:leader="none" w:pos="11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 or Control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29" w:lineRule="exact"/>
        <w:rPr>
          <w:sz w:val="20"/>
          <w:szCs w:val="20"/>
          <w:color w:val="auto"/>
        </w:rPr>
      </w:pPr>
    </w:p>
    <w:p>
      <w:pPr>
        <w:ind w:left="1140" w:right="4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ALPS ADVISORS,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ALERIAN MLP ETF</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January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lvl w:ilvl="1">
      <w:lvlJc w:val="left"/>
      <w:lvlText w:val="(%2)"/>
      <w:numFmt w:val="lowerLetter"/>
      <w:start w:val="1"/>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9"/>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2"/>
    </w:lvl>
    <w:lvl w:ilvl="1">
      <w:lvlJc w:val="left"/>
      <w:lvlText w:val="(%2)"/>
      <w:numFmt w:val="lowerLetter"/>
      <w:start w:val="1"/>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lvl w:ilvl="1">
      <w:lvlJc w:val="left"/>
      <w:lvlText w:val="(%2)"/>
      <w:numFmt w:val="decimal"/>
      <w:start w:val="1"/>
    </w:lvl>
  </w:abstractNum>
  <w:abstractNum w:abstractNumId="18">
    <w:nsid w:val="2443A858"/>
    <w:multiLevelType w:val="hybridMultilevel"/>
    <w:lvl w:ilvl="0">
      <w:lvlJc w:val="left"/>
      <w:lvlText w:val="(%1)"/>
      <w:numFmt w:val="lowerLetter"/>
      <w:start w:val="5"/>
    </w:lvl>
  </w:abstractNum>
  <w:abstractNum w:abstractNumId="19">
    <w:nsid w:val="2D1D5AE9"/>
    <w:multiLevelType w:val="hybridMultilevel"/>
    <w:lvl w:ilvl="0">
      <w:lvlJc w:val="left"/>
      <w:lvlText w:val="(%1)"/>
      <w:numFmt w:val="lowerLetter"/>
      <w:start w:val="4"/>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Letter"/>
      <w:start w:val="3"/>
    </w:lvl>
    <w:lvl w:ilvl="1">
      <w:lvlJc w:val="left"/>
      <w:lvlText w:val="(%2)"/>
      <w:numFmt w:val="lowerRoman"/>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3"/>
    </w:lvl>
    <w:lvl w:ilvl="1">
      <w:lvlJc w:val="left"/>
      <w:lvlText w:val="(%2)"/>
      <w:numFmt w:val="lowerRoman"/>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2024-02-05T13:57:51Z</dcterms:created>
  <dcterms:modified xsi:type="dcterms:W3CDTF">2024-02-05T13:57:51Z</dcterms:modified>
</cp:coreProperties>
</file>