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9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80" w:type="dxa"/>
            <w:vAlign w:val="bottom"/>
            <w:vMerge w:val="restart"/>
          </w:tcPr>
          <w:p>
            <w:pPr>
              <w:jc w:val="center"/>
              <w:ind w:right="37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327265" cy="6260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626046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620"/>
            <w:col w:w="8680"/>
          </w:cols>
          <w:pgMar w:left="240" w:top="219" w:right="139" w:bottom="8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Swanson Al</w:t>
        </w:r>
      </w:hyperlink>
    </w:p>
    <w:p>
      <w:pPr>
        <w:spacing w:after="0" w:line="30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CLAY ST.,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8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01/14/2016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8" w:right="800" w:firstLine="8"/>
        <w:spacing w:after="0" w:line="234" w:lineRule="auto"/>
        <w:tabs>
          <w:tab w:leader="none" w:pos="13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12"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6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32"/>
        <w:spacing w:after="0"/>
        <w:rPr>
          <w:sz w:val="20"/>
          <w:szCs w:val="20"/>
          <w:color w:val="auto"/>
        </w:rPr>
      </w:pPr>
      <w:r>
        <w:rPr>
          <w:rFonts w:ascii="Arial" w:cs="Arial" w:eastAsia="Arial" w:hAnsi="Arial"/>
          <w:sz w:val="16"/>
          <w:szCs w:val="16"/>
          <w:color w:val="0000FF"/>
        </w:rPr>
        <w:t>Executive VP &amp; CFO</w:t>
      </w:r>
    </w:p>
    <w:p>
      <w:pPr>
        <w:spacing w:after="0" w:line="326" w:lineRule="exact"/>
        <w:rPr>
          <w:sz w:val="24"/>
          <w:szCs w:val="24"/>
          <w:color w:val="auto"/>
        </w:rPr>
      </w:pPr>
    </w:p>
    <w:p>
      <w:pPr>
        <w:sectPr>
          <w:pgSz w:w="11900" w:h="16838" w:orient="portrait"/>
          <w:cols w:equalWidth="0" w:num="3">
            <w:col w:w="3340" w:space="720"/>
            <w:col w:w="3268" w:space="720"/>
            <w:col w:w="3472"/>
          </w:cols>
          <w:pgMar w:left="240" w:top="219" w:right="139" w:bottom="805"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Borders>
              <w:top w:val="single" w:sz="8" w:color="2C2C2C"/>
            </w:tcBorders>
            <w:gridSpan w:val="6"/>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00" w:type="dxa"/>
            <w:vAlign w:val="bottom"/>
            <w:tcBorders>
              <w:top w:val="single" w:sz="8" w:color="2C2C2C"/>
            </w:tcBorders>
          </w:tcPr>
          <w:p>
            <w:pPr>
              <w:spacing w:after="0"/>
              <w:rPr>
                <w:sz w:val="15"/>
                <w:szCs w:val="15"/>
                <w:color w:val="auto"/>
              </w:rPr>
            </w:pPr>
          </w:p>
        </w:tc>
        <w:tc>
          <w:tcPr>
            <w:tcW w:w="540" w:type="dxa"/>
            <w:vAlign w:val="bottom"/>
            <w:tcBorders>
              <w:top w:val="single" w:sz="8" w:color="2C2C2C"/>
            </w:tcBorders>
          </w:tcPr>
          <w:p>
            <w:pPr>
              <w:spacing w:after="0"/>
              <w:rPr>
                <w:sz w:val="15"/>
                <w:szCs w:val="15"/>
                <w:color w:val="auto"/>
              </w:rPr>
            </w:pPr>
          </w:p>
        </w:tc>
        <w:tc>
          <w:tcPr>
            <w:tcW w:w="3380" w:type="dxa"/>
            <w:vAlign w:val="bottom"/>
            <w:tcBorders>
              <w:top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color w:val="0000FF"/>
              </w:rPr>
              <w:t>HOUSTON</w:t>
            </w:r>
          </w:p>
        </w:tc>
        <w:tc>
          <w:tcPr>
            <w:tcW w:w="14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TX</w:t>
            </w:r>
          </w:p>
        </w:tc>
        <w:tc>
          <w:tcPr>
            <w:tcW w:w="800" w:type="dxa"/>
            <w:vAlign w:val="bottom"/>
            <w:vMerge w:val="restart"/>
          </w:tcPr>
          <w:p>
            <w:pPr>
              <w:ind w:left="120"/>
              <w:spacing w:after="0"/>
              <w:rPr>
                <w:sz w:val="20"/>
                <w:szCs w:val="20"/>
                <w:color w:val="auto"/>
              </w:rPr>
            </w:pPr>
            <w:r>
              <w:rPr>
                <w:rFonts w:ascii="Arial" w:cs="Arial" w:eastAsia="Arial" w:hAnsi="Arial"/>
                <w:sz w:val="16"/>
                <w:szCs w:val="16"/>
                <w:color w:val="0000FF"/>
              </w:rPr>
              <w:t>77002</w:t>
            </w: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gridSpan w:val="6"/>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380" w:type="dxa"/>
            <w:vAlign w:val="bottom"/>
            <w:gridSpan w:val="10"/>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80" w:type="dxa"/>
            <w:vAlign w:val="bottom"/>
            <w:gridSpan w:val="9"/>
          </w:tcPr>
          <w:p>
            <w:pPr>
              <w:ind w:left="2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3160" w:type="dxa"/>
            <w:vAlign w:val="bottom"/>
            <w:gridSpan w:val="9"/>
            <w:vMerge w:val="restart"/>
          </w:tcPr>
          <w:p>
            <w:pPr>
              <w:ind w:left="2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7"/>
                <w:szCs w:val="7"/>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3"/>
                <w:szCs w:val="13"/>
                <w:color w:val="auto"/>
              </w:rPr>
              <w:t>(State)</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31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540" w:type="dxa"/>
            <w:vAlign w:val="bottom"/>
            <w:tcBorders>
              <w:top w:val="single" w:sz="8" w:color="2C2C2C"/>
            </w:tcBorders>
            <w:gridSpan w:val="16"/>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4"/>
          </w:tcPr>
          <w:p>
            <w:pPr>
              <w:jc w:val="center"/>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6"/>
          </w:tcPr>
          <w:p>
            <w:pPr>
              <w:ind w:left="1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jc w:val="center"/>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(D) or Indirect</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(I) (Instr. 4)</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540" w:type="dxa"/>
            <w:vAlign w:val="bottom"/>
            <w:vMerge w:val="restart"/>
          </w:tcPr>
          <w:p>
            <w:pPr>
              <w:jc w:val="center"/>
              <w:ind w:left="64"/>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340" w:type="dxa"/>
            <w:vAlign w:val="bottom"/>
            <w:tcBorders>
              <w:bottom w:val="single" w:sz="8" w:color="2C2C2C"/>
            </w:tcBorders>
            <w:gridSpan w:val="6"/>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gridSpan w:val="6"/>
          </w:tcPr>
          <w:p>
            <w:pPr>
              <w:ind w:left="60"/>
              <w:spacing w:after="0"/>
              <w:rPr>
                <w:sz w:val="20"/>
                <w:szCs w:val="20"/>
                <w:color w:val="auto"/>
              </w:rPr>
            </w:pPr>
            <w:r>
              <w:rPr>
                <w:rFonts w:ascii="Arial" w:cs="Arial" w:eastAsia="Arial" w:hAnsi="Arial"/>
                <w:sz w:val="16"/>
                <w:szCs w:val="16"/>
                <w:color w:val="0000FF"/>
              </w:rPr>
              <w:t>Class A Shares representing limited partner</w:t>
            </w:r>
          </w:p>
        </w:tc>
        <w:tc>
          <w:tcPr>
            <w:tcW w:w="10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94"/>
              </w:rPr>
              <w:t>01/14/2016</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color w:val="0000FF"/>
              </w:rPr>
              <w:t>1,000,000</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ind w:right="1"/>
              <w:spacing w:after="0"/>
              <w:rPr>
                <w:sz w:val="20"/>
                <w:szCs w:val="20"/>
                <w:color w:val="auto"/>
              </w:rPr>
            </w:pPr>
            <w:r>
              <w:rPr>
                <w:rFonts w:ascii="Arial" w:cs="Arial" w:eastAsia="Arial" w:hAnsi="Arial"/>
                <w:sz w:val="16"/>
                <w:szCs w:val="16"/>
                <w:color w:val="0000FF"/>
                <w:w w:val="92"/>
              </w:rPr>
              <w:t>2,000,000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color w:val="0000FF"/>
              </w:rPr>
              <w:t>interests</w:t>
            </w: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40" w:type="dxa"/>
            <w:vAlign w:val="bottom"/>
            <w:tcBorders>
              <w:bottom w:val="single" w:sz="8" w:color="2C2C2C"/>
            </w:tcBorders>
            <w:gridSpan w:val="6"/>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gridSpan w:val="6"/>
          </w:tcPr>
          <w:p>
            <w:pPr>
              <w:ind w:left="60"/>
              <w:spacing w:after="0"/>
              <w:rPr>
                <w:sz w:val="20"/>
                <w:szCs w:val="20"/>
                <w:color w:val="auto"/>
              </w:rPr>
            </w:pPr>
            <w:r>
              <w:rPr>
                <w:rFonts w:ascii="Arial" w:cs="Arial" w:eastAsia="Arial" w:hAnsi="Arial"/>
                <w:sz w:val="16"/>
                <w:szCs w:val="16"/>
                <w:color w:val="0000FF"/>
              </w:rPr>
              <w:t>Class B Shares representing limited partner</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ind w:right="1"/>
              <w:spacing w:after="0"/>
              <w:rPr>
                <w:sz w:val="20"/>
                <w:szCs w:val="20"/>
                <w:color w:val="auto"/>
              </w:rPr>
            </w:pPr>
            <w:r>
              <w:rPr>
                <w:rFonts w:ascii="Arial" w:cs="Arial" w:eastAsia="Arial" w:hAnsi="Arial"/>
                <w:sz w:val="16"/>
                <w:szCs w:val="16"/>
                <w:color w:val="0000FF"/>
                <w:w w:val="85"/>
              </w:rPr>
              <w:t>1,154,716</w:t>
            </w:r>
            <w:r>
              <w:rPr>
                <w:rFonts w:ascii="Arial" w:cs="Arial" w:eastAsia="Arial" w:hAnsi="Arial"/>
                <w:sz w:val="21"/>
                <w:szCs w:val="21"/>
                <w:color w:val="008000"/>
                <w:w w:val="85"/>
                <w:vertAlign w:val="superscript"/>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0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color w:val="0000FF"/>
              </w:rPr>
              <w:t>interests</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1"/>
                <w:szCs w:val="21"/>
                <w:color w:val="008000"/>
                <w:w w:val="99"/>
                <w:vertAlign w:val="superscript"/>
              </w:rPr>
              <w:t>(2)(3)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Units in PAA GP Holdings LLC</w:t>
            </w:r>
          </w:p>
        </w:tc>
        <w:tc>
          <w:tcPr>
            <w:tcW w:w="8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ind w:right="1"/>
              <w:spacing w:after="0"/>
              <w:rPr>
                <w:sz w:val="20"/>
                <w:szCs w:val="20"/>
                <w:color w:val="auto"/>
              </w:rPr>
            </w:pPr>
            <w:r>
              <w:rPr>
                <w:rFonts w:ascii="Arial" w:cs="Arial" w:eastAsia="Arial" w:hAnsi="Arial"/>
                <w:sz w:val="16"/>
                <w:szCs w:val="16"/>
                <w:color w:val="0000FF"/>
                <w:w w:val="85"/>
              </w:rPr>
              <w:t>1,154,716</w:t>
            </w:r>
            <w:r>
              <w:rPr>
                <w:rFonts w:ascii="Arial" w:cs="Arial" w:eastAsia="Arial" w:hAnsi="Arial"/>
                <w:sz w:val="21"/>
                <w:szCs w:val="21"/>
                <w:color w:val="008000"/>
                <w:w w:val="85"/>
                <w:vertAlign w:val="superscript"/>
              </w:rPr>
              <w:t>(2)(3)</w:t>
            </w: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1"/>
                <w:szCs w:val="21"/>
                <w:color w:val="008000"/>
                <w:w w:val="99"/>
                <w:vertAlign w:val="superscript"/>
              </w:rPr>
              <w:t>(2)(3)</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540" w:type="dxa"/>
            <w:vAlign w:val="bottom"/>
            <w:gridSpan w:val="16"/>
          </w:tcPr>
          <w:p>
            <w:pPr>
              <w:jc w:val="center"/>
              <w:ind w:right="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80" w:type="dxa"/>
            <w:vAlign w:val="bottom"/>
            <w:gridSpan w:val="11"/>
          </w:tcPr>
          <w:p>
            <w:pPr>
              <w:jc w:val="center"/>
              <w:ind w:left="7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3 and 4)</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Units in</w:t>
            </w: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jc w:val="center"/>
              <w:ind w:right="277"/>
              <w:spacing w:after="0" w:line="202"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restart"/>
          </w:tcPr>
          <w:p>
            <w:pPr>
              <w:jc w:val="center"/>
              <w:ind w:right="34"/>
              <w:spacing w:after="0"/>
              <w:rPr>
                <w:sz w:val="20"/>
                <w:szCs w:val="20"/>
                <w:color w:val="auto"/>
              </w:rPr>
            </w:pPr>
            <w:r>
              <w:rPr>
                <w:rFonts w:ascii="Arial" w:cs="Arial" w:eastAsia="Arial" w:hAnsi="Arial"/>
                <w:sz w:val="16"/>
                <w:szCs w:val="16"/>
                <w:color w:val="0000FF"/>
                <w:w w:val="92"/>
              </w:rPr>
              <w:t>1,000,000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vMerge w:val="restart"/>
          </w:tcPr>
          <w:p>
            <w:pPr>
              <w:ind w:left="320"/>
              <w:spacing w:after="0"/>
              <w:rPr>
                <w:sz w:val="20"/>
                <w:szCs w:val="20"/>
                <w:color w:val="auto"/>
              </w:rPr>
            </w:pPr>
            <w:r>
              <w:rPr>
                <w:rFonts w:ascii="Arial" w:cs="Arial" w:eastAsia="Arial" w:hAnsi="Arial"/>
                <w:sz w:val="11"/>
                <w:szCs w:val="11"/>
                <w:color w:val="auto"/>
                <w:w w:val="97"/>
              </w:rPr>
              <w:t>$</w:t>
            </w:r>
          </w:p>
        </w:tc>
        <w:tc>
          <w:tcPr>
            <w:tcW w:w="360" w:type="dxa"/>
            <w:vAlign w:val="bottom"/>
            <w:vMerge w:val="restart"/>
          </w:tcPr>
          <w:p>
            <w:pPr>
              <w:jc w:val="right"/>
              <w:ind w:right="242"/>
              <w:spacing w:after="0"/>
              <w:rPr>
                <w:sz w:val="20"/>
                <w:szCs w:val="20"/>
                <w:color w:val="auto"/>
              </w:rPr>
            </w:pPr>
            <w:r>
              <w:rPr>
                <w:rFonts w:ascii="Arial" w:cs="Arial" w:eastAsia="Arial" w:hAnsi="Arial"/>
                <w:sz w:val="9"/>
                <w:szCs w:val="9"/>
                <w:color w:val="0000FF"/>
                <w:w w:val="78"/>
              </w:rPr>
              <w:t>0</w:t>
            </w:r>
          </w:p>
        </w:tc>
        <w:tc>
          <w:tcPr>
            <w:tcW w:w="1040" w:type="dxa"/>
            <w:vAlign w:val="bottom"/>
            <w:vMerge w:val="restart"/>
          </w:tcPr>
          <w:p>
            <w:pPr>
              <w:jc w:val="right"/>
              <w:ind w:right="141"/>
              <w:spacing w:after="0" w:line="139" w:lineRule="exact"/>
              <w:rPr>
                <w:sz w:val="20"/>
                <w:szCs w:val="20"/>
                <w:color w:val="auto"/>
              </w:rPr>
            </w:pPr>
            <w:r>
              <w:rPr>
                <w:rFonts w:ascii="Arial" w:cs="Arial" w:eastAsia="Arial" w:hAnsi="Arial"/>
                <w:sz w:val="13"/>
                <w:szCs w:val="13"/>
                <w:color w:val="0000FF"/>
              </w:rPr>
              <w:t>01/14/2016</w:t>
            </w: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1,000,000</w:t>
            </w:r>
          </w:p>
        </w:tc>
        <w:tc>
          <w:tcPr>
            <w:tcW w:w="760" w:type="dxa"/>
            <w:vAlign w:val="bottom"/>
            <w:gridSpan w:val="2"/>
            <w:vMerge w:val="restart"/>
          </w:tcPr>
          <w:p>
            <w:pPr>
              <w:jc w:val="center"/>
              <w:ind w:right="4"/>
              <w:spacing w:after="0" w:line="139" w:lineRule="exact"/>
              <w:rPr>
                <w:sz w:val="20"/>
                <w:szCs w:val="20"/>
                <w:color w:val="auto"/>
              </w:rPr>
            </w:pPr>
            <w:r>
              <w:rPr>
                <w:rFonts w:ascii="Arial" w:cs="Arial" w:eastAsia="Arial" w:hAnsi="Arial"/>
                <w:sz w:val="13"/>
                <w:szCs w:val="13"/>
                <w:color w:val="0000FF"/>
                <w:w w:val="89"/>
              </w:rPr>
              <w:t>12/31/2015</w:t>
            </w:r>
          </w:p>
        </w:tc>
        <w:tc>
          <w:tcPr>
            <w:tcW w:w="660" w:type="dxa"/>
            <w:vAlign w:val="bottom"/>
            <w:vMerge w:val="continue"/>
          </w:tcPr>
          <w:p>
            <w:pPr>
              <w:spacing w:after="0"/>
              <w:rPr>
                <w:sz w:val="6"/>
                <w:szCs w:val="6"/>
                <w:color w:val="auto"/>
              </w:rPr>
            </w:pPr>
          </w:p>
        </w:tc>
        <w:tc>
          <w:tcPr>
            <w:tcW w:w="4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1"/>
              </w:rPr>
              <w:t>A</w:t>
            </w: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3"/>
            <w:vMerge w:val="restart"/>
          </w:tcPr>
          <w:p>
            <w:pPr>
              <w:ind w:left="180"/>
              <w:spacing w:after="0" w:line="139" w:lineRule="exact"/>
              <w:rPr>
                <w:sz w:val="20"/>
                <w:szCs w:val="20"/>
                <w:color w:val="auto"/>
              </w:rPr>
            </w:pPr>
            <w:r>
              <w:rPr>
                <w:rFonts w:ascii="Arial" w:cs="Arial" w:eastAsia="Arial" w:hAnsi="Arial"/>
                <w:sz w:val="13"/>
                <w:szCs w:val="13"/>
                <w:color w:val="0000FF"/>
              </w:rPr>
              <w:t>445,189</w:t>
            </w:r>
          </w:p>
        </w:tc>
        <w:tc>
          <w:tcPr>
            <w:tcW w:w="540" w:type="dxa"/>
            <w:vAlign w:val="bottom"/>
            <w:vMerge w:val="restart"/>
          </w:tcPr>
          <w:p>
            <w:pPr>
              <w:jc w:val="center"/>
              <w:ind w:left="255"/>
              <w:spacing w:after="0" w:line="139"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w w:val="96"/>
              </w:rPr>
              <w:t>Plains AAP,</w:t>
            </w:r>
          </w:p>
        </w:tc>
        <w:tc>
          <w:tcPr>
            <w:tcW w:w="4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77"/>
              </w:rPr>
              <w:t>Shares</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L.P.</w:t>
            </w: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Shares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w w:val="91"/>
              </w:rPr>
              <w:t>representing</w:t>
            </w: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restart"/>
          </w:tcPr>
          <w:p>
            <w:pPr>
              <w:jc w:val="center"/>
              <w:ind w:right="277"/>
              <w:spacing w:after="0" w:line="202"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restart"/>
          </w:tcPr>
          <w:p>
            <w:pPr>
              <w:jc w:val="center"/>
              <w:ind w:right="34"/>
              <w:spacing w:after="0"/>
              <w:rPr>
                <w:sz w:val="20"/>
                <w:szCs w:val="20"/>
                <w:color w:val="auto"/>
              </w:rPr>
            </w:pPr>
            <w:r>
              <w:rPr>
                <w:rFonts w:ascii="Arial" w:cs="Arial" w:eastAsia="Arial" w:hAnsi="Arial"/>
                <w:sz w:val="16"/>
                <w:szCs w:val="16"/>
                <w:color w:val="0000FF"/>
                <w:w w:val="92"/>
              </w:rPr>
              <w:t>1,000,000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vMerge w:val="restart"/>
          </w:tcPr>
          <w:p>
            <w:pPr>
              <w:ind w:left="320"/>
              <w:spacing w:after="0"/>
              <w:rPr>
                <w:sz w:val="20"/>
                <w:szCs w:val="20"/>
                <w:color w:val="auto"/>
              </w:rPr>
            </w:pPr>
            <w:r>
              <w:rPr>
                <w:rFonts w:ascii="Arial" w:cs="Arial" w:eastAsia="Arial" w:hAnsi="Arial"/>
                <w:sz w:val="11"/>
                <w:szCs w:val="11"/>
                <w:color w:val="auto"/>
                <w:w w:val="97"/>
              </w:rPr>
              <w:t>$</w:t>
            </w:r>
          </w:p>
        </w:tc>
        <w:tc>
          <w:tcPr>
            <w:tcW w:w="360" w:type="dxa"/>
            <w:vAlign w:val="bottom"/>
            <w:vMerge w:val="restart"/>
          </w:tcPr>
          <w:p>
            <w:pPr>
              <w:jc w:val="right"/>
              <w:ind w:right="242"/>
              <w:spacing w:after="0"/>
              <w:rPr>
                <w:sz w:val="20"/>
                <w:szCs w:val="20"/>
                <w:color w:val="auto"/>
              </w:rPr>
            </w:pPr>
            <w:r>
              <w:rPr>
                <w:rFonts w:ascii="Arial" w:cs="Arial" w:eastAsia="Arial" w:hAnsi="Arial"/>
                <w:sz w:val="9"/>
                <w:szCs w:val="9"/>
                <w:color w:val="0000FF"/>
                <w:w w:val="78"/>
              </w:rPr>
              <w:t>0</w:t>
            </w:r>
          </w:p>
        </w:tc>
        <w:tc>
          <w:tcPr>
            <w:tcW w:w="1040" w:type="dxa"/>
            <w:vAlign w:val="bottom"/>
            <w:vMerge w:val="restart"/>
          </w:tcPr>
          <w:p>
            <w:pPr>
              <w:jc w:val="right"/>
              <w:ind w:right="141"/>
              <w:spacing w:after="0" w:line="139" w:lineRule="exact"/>
              <w:rPr>
                <w:sz w:val="20"/>
                <w:szCs w:val="20"/>
                <w:color w:val="auto"/>
              </w:rPr>
            </w:pPr>
            <w:r>
              <w:rPr>
                <w:rFonts w:ascii="Arial" w:cs="Arial" w:eastAsia="Arial" w:hAnsi="Arial"/>
                <w:sz w:val="13"/>
                <w:szCs w:val="13"/>
                <w:color w:val="0000FF"/>
              </w:rPr>
              <w:t>01/14/2016</w:t>
            </w: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1,000,000</w:t>
            </w:r>
          </w:p>
        </w:tc>
        <w:tc>
          <w:tcPr>
            <w:tcW w:w="760" w:type="dxa"/>
            <w:vAlign w:val="bottom"/>
            <w:gridSpan w:val="2"/>
            <w:vMerge w:val="restart"/>
          </w:tcPr>
          <w:p>
            <w:pPr>
              <w:jc w:val="center"/>
              <w:ind w:right="4"/>
              <w:spacing w:after="0" w:line="139" w:lineRule="exact"/>
              <w:rPr>
                <w:sz w:val="20"/>
                <w:szCs w:val="20"/>
                <w:color w:val="auto"/>
              </w:rPr>
            </w:pPr>
            <w:r>
              <w:rPr>
                <w:rFonts w:ascii="Arial" w:cs="Arial" w:eastAsia="Arial" w:hAnsi="Arial"/>
                <w:sz w:val="13"/>
                <w:szCs w:val="13"/>
                <w:color w:val="0000FF"/>
                <w:w w:val="89"/>
              </w:rPr>
              <w:t>12/31/2015</w:t>
            </w:r>
          </w:p>
        </w:tc>
        <w:tc>
          <w:tcPr>
            <w:tcW w:w="660" w:type="dxa"/>
            <w:vAlign w:val="bottom"/>
            <w:vMerge w:val="continue"/>
          </w:tcPr>
          <w:p>
            <w:pPr>
              <w:spacing w:after="0"/>
              <w:rPr>
                <w:sz w:val="6"/>
                <w:szCs w:val="6"/>
                <w:color w:val="auto"/>
              </w:rPr>
            </w:pPr>
          </w:p>
        </w:tc>
        <w:tc>
          <w:tcPr>
            <w:tcW w:w="4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1"/>
              </w:rPr>
              <w:t>A</w:t>
            </w: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3"/>
            <w:vMerge w:val="restart"/>
          </w:tcPr>
          <w:p>
            <w:pPr>
              <w:ind w:left="180"/>
              <w:spacing w:after="0" w:line="139" w:lineRule="exact"/>
              <w:rPr>
                <w:sz w:val="20"/>
                <w:szCs w:val="20"/>
                <w:color w:val="auto"/>
              </w:rPr>
            </w:pPr>
            <w:r>
              <w:rPr>
                <w:rFonts w:ascii="Arial" w:cs="Arial" w:eastAsia="Arial" w:hAnsi="Arial"/>
                <w:sz w:val="13"/>
                <w:szCs w:val="13"/>
                <w:color w:val="0000FF"/>
              </w:rPr>
              <w:t>445,189</w:t>
            </w:r>
          </w:p>
        </w:tc>
        <w:tc>
          <w:tcPr>
            <w:tcW w:w="540" w:type="dxa"/>
            <w:vAlign w:val="bottom"/>
            <w:vMerge w:val="restart"/>
          </w:tcPr>
          <w:p>
            <w:pPr>
              <w:jc w:val="center"/>
              <w:ind w:left="255"/>
              <w:spacing w:after="0" w:line="139"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limited</w:t>
            </w:r>
          </w:p>
        </w:tc>
        <w:tc>
          <w:tcPr>
            <w:tcW w:w="4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77"/>
              </w:rPr>
              <w:t>Shares</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partner</w:t>
            </w: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interests</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rPr>
              <w:t>Units in</w:t>
            </w: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008000"/>
                <w:w w:val="89"/>
              </w:rPr>
              <w:t>(2)(3)</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460" w:type="dxa"/>
            <w:vAlign w:val="bottom"/>
            <w:vMerge w:val="continue"/>
          </w:tcPr>
          <w:p>
            <w:pPr>
              <w:spacing w:after="0"/>
              <w:rPr>
                <w:sz w:val="5"/>
                <w:szCs w:val="5"/>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0000FF"/>
              </w:rPr>
              <w:t>1,154,716</w:t>
            </w:r>
          </w:p>
        </w:tc>
        <w:tc>
          <w:tcPr>
            <w:tcW w:w="260" w:type="dxa"/>
            <w:vAlign w:val="bottom"/>
            <w:gridSpan w:val="2"/>
            <w:vMerge w:val="restart"/>
          </w:tcPr>
          <w:p>
            <w:pPr>
              <w:spacing w:after="0"/>
              <w:rPr>
                <w:sz w:val="20"/>
                <w:szCs w:val="20"/>
                <w:color w:val="auto"/>
              </w:rPr>
            </w:pPr>
            <w:r>
              <w:rPr>
                <w:rFonts w:ascii="Arial" w:cs="Arial" w:eastAsia="Arial" w:hAnsi="Arial"/>
                <w:sz w:val="11"/>
                <w:szCs w:val="11"/>
                <w:color w:val="008000"/>
                <w:w w:val="89"/>
              </w:rPr>
              <w:t>(2)(3)</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008000"/>
                <w:w w:val="81"/>
              </w:rPr>
              <w:t>(2)(3)</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00" w:type="dxa"/>
            <w:vAlign w:val="bottom"/>
            <w:vMerge w:val="restart"/>
          </w:tcPr>
          <w:p>
            <w:pPr>
              <w:ind w:left="320"/>
              <w:spacing w:after="0"/>
              <w:rPr>
                <w:sz w:val="20"/>
                <w:szCs w:val="20"/>
                <w:color w:val="auto"/>
              </w:rPr>
            </w:pPr>
            <w:r>
              <w:rPr>
                <w:rFonts w:ascii="Arial" w:cs="Arial" w:eastAsia="Arial" w:hAnsi="Arial"/>
                <w:sz w:val="11"/>
                <w:szCs w:val="11"/>
                <w:color w:val="auto"/>
                <w:w w:val="97"/>
              </w:rPr>
              <w:t>$</w:t>
            </w:r>
          </w:p>
        </w:tc>
        <w:tc>
          <w:tcPr>
            <w:tcW w:w="360" w:type="dxa"/>
            <w:vAlign w:val="bottom"/>
            <w:vMerge w:val="restart"/>
          </w:tcPr>
          <w:p>
            <w:pPr>
              <w:jc w:val="right"/>
              <w:ind w:right="242"/>
              <w:spacing w:after="0"/>
              <w:rPr>
                <w:sz w:val="20"/>
                <w:szCs w:val="20"/>
                <w:color w:val="auto"/>
              </w:rPr>
            </w:pPr>
            <w:r>
              <w:rPr>
                <w:rFonts w:ascii="Arial" w:cs="Arial" w:eastAsia="Arial" w:hAnsi="Arial"/>
                <w:sz w:val="9"/>
                <w:szCs w:val="9"/>
                <w:color w:val="0000FF"/>
                <w:w w:val="78"/>
              </w:rPr>
              <w:t>0</w:t>
            </w: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1"/>
              </w:rPr>
              <w:t>A</w:t>
            </w:r>
          </w:p>
        </w:tc>
        <w:tc>
          <w:tcPr>
            <w:tcW w:w="7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gridSpan w:val="2"/>
            <w:vMerge w:val="restart"/>
          </w:tcPr>
          <w:p>
            <w:pPr>
              <w:ind w:left="20"/>
              <w:spacing w:after="0" w:line="123" w:lineRule="exact"/>
              <w:rPr>
                <w:sz w:val="20"/>
                <w:szCs w:val="20"/>
                <w:color w:val="auto"/>
              </w:rPr>
            </w:pPr>
            <w:r>
              <w:rPr>
                <w:rFonts w:ascii="Arial" w:cs="Arial" w:eastAsia="Arial" w:hAnsi="Arial"/>
                <w:sz w:val="13"/>
                <w:szCs w:val="13"/>
                <w:color w:val="0000FF"/>
                <w:w w:val="82"/>
              </w:rPr>
              <w:t>1,154,716</w:t>
            </w:r>
          </w:p>
        </w:tc>
        <w:tc>
          <w:tcPr>
            <w:tcW w:w="260" w:type="dxa"/>
            <w:vAlign w:val="bottom"/>
            <w:vMerge w:val="continue"/>
          </w:tcPr>
          <w:p>
            <w:pPr>
              <w:spacing w:after="0"/>
              <w:rPr>
                <w:sz w:val="5"/>
                <w:szCs w:val="5"/>
                <w:color w:val="auto"/>
              </w:rPr>
            </w:pPr>
          </w:p>
        </w:tc>
        <w:tc>
          <w:tcPr>
            <w:tcW w:w="540" w:type="dxa"/>
            <w:vAlign w:val="bottom"/>
            <w:vMerge w:val="restart"/>
          </w:tcPr>
          <w:p>
            <w:pPr>
              <w:jc w:val="center"/>
              <w:ind w:left="235"/>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color w:val="0000FF"/>
              </w:rPr>
              <w:t>Plains AAP,</w:t>
            </w:r>
          </w:p>
        </w:tc>
        <w:tc>
          <w:tcPr>
            <w:tcW w:w="4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3"/>
          </w:tcPr>
          <w:p>
            <w:pPr>
              <w:ind w:left="20"/>
              <w:spacing w:after="0" w:line="64"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vMerge w:val="restart"/>
          </w:tcPr>
          <w:p>
            <w:pPr>
              <w:spacing w:after="0"/>
              <w:rPr>
                <w:sz w:val="20"/>
                <w:szCs w:val="20"/>
                <w:color w:val="auto"/>
              </w:rPr>
            </w:pPr>
            <w:r>
              <w:rPr>
                <w:rFonts w:ascii="Arial" w:cs="Arial" w:eastAsia="Arial" w:hAnsi="Arial"/>
                <w:sz w:val="13"/>
                <w:szCs w:val="13"/>
                <w:color w:val="0000FF"/>
              </w:rPr>
              <w:t>L.P.</w:t>
            </w:r>
          </w:p>
        </w:tc>
        <w:tc>
          <w:tcPr>
            <w:tcW w:w="3640" w:type="dxa"/>
            <w:vAlign w:val="bottom"/>
          </w:tcPr>
          <w:p>
            <w:pPr>
              <w:ind w:left="3320"/>
              <w:spacing w:after="0"/>
              <w:rPr>
                <w:sz w:val="20"/>
                <w:szCs w:val="20"/>
                <w:color w:val="auto"/>
              </w:rPr>
            </w:pPr>
            <w:r>
              <w:rPr>
                <w:rFonts w:ascii="Arial" w:cs="Arial" w:eastAsia="Arial" w:hAnsi="Arial"/>
                <w:sz w:val="13"/>
                <w:szCs w:val="13"/>
                <w:color w:val="0000FF"/>
                <w:w w:val="72"/>
              </w:rPr>
              <w:t>Shares</w:t>
            </w:r>
          </w:p>
        </w:tc>
        <w:tc>
          <w:tcPr>
            <w:tcW w:w="0" w:type="dxa"/>
            <w:vAlign w:val="bottom"/>
          </w:tcPr>
          <w:p>
            <w:pPr>
              <w:spacing w:after="0"/>
              <w:rPr>
                <w:sz w:val="1"/>
                <w:szCs w:val="1"/>
                <w:color w:val="auto"/>
              </w:rPr>
            </w:pPr>
          </w:p>
        </w:tc>
      </w:tr>
      <w:tr>
        <w:trPr>
          <w:trHeight w:val="66"/>
        </w:trPr>
        <w:tc>
          <w:tcPr>
            <w:tcW w:w="3520" w:type="dxa"/>
            <w:vAlign w:val="bottom"/>
            <w:vMerge w:val="continue"/>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3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Following such conversion, the Class A Units and Class B shares are then together exchangeable for an equal number of Class A shares of the Issuer (the "Class A shares"). On 1/14/2016, the Reporting Person elected to exchange 1,000,000 Class A Units and 1,000,000 Class B shares for 1,000,000 Class A shares.</w:t>
      </w:r>
    </w:p>
    <w:p>
      <w:pPr>
        <w:spacing w:after="0" w:line="29" w:lineRule="exact"/>
        <w:rPr>
          <w:rFonts w:ascii="Arial" w:cs="Arial" w:eastAsia="Arial" w:hAnsi="Arial"/>
          <w:sz w:val="13"/>
          <w:szCs w:val="13"/>
          <w:color w:val="008000"/>
        </w:rPr>
      </w:pPr>
    </w:p>
    <w:p>
      <w:pPr>
        <w:ind w:left="40" w:right="200" w:hanging="1"/>
        <w:spacing w:after="0" w:line="23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9" w:lineRule="exact"/>
        <w:rPr>
          <w:rFonts w:ascii="Arial" w:cs="Arial" w:eastAsia="Arial" w:hAnsi="Arial"/>
          <w:sz w:val="13"/>
          <w:szCs w:val="13"/>
          <w:color w:val="008000"/>
        </w:rPr>
      </w:pPr>
    </w:p>
    <w:p>
      <w:pPr>
        <w:jc w:val="both"/>
        <w:ind w:left="40" w:right="200" w:hanging="1"/>
        <w:spacing w:after="0" w:line="23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right to exchange Class A Units and Class B shares (acquired in a conversion from Class B Units) for Class A shares does not expire.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/s/ Al Swanson</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01/19/2016</w:t>
            </w:r>
          </w:p>
        </w:tc>
      </w:tr>
      <w:tr>
        <w:trPr>
          <w:trHeight w:val="22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418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2020-01-19T05:35:23Z</dcterms:created>
  <dcterms:modified xsi:type="dcterms:W3CDTF">2020-01-19T05:35:23Z</dcterms:modified>
</cp:coreProperties>
</file>