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1005840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929005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9, 2021</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73"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7"/>
          <w:szCs w:val="17"/>
          <w:color w:val="auto"/>
        </w:rPr>
        <w:t>(IRS Employer Identification No.)</w:t>
      </w:r>
    </w:p>
    <w:p>
      <w:pPr>
        <w:spacing w:after="0" w:line="26" w:lineRule="exact"/>
        <w:rPr>
          <w:sz w:val="24"/>
          <w:szCs w:val="24"/>
          <w:color w:val="auto"/>
        </w:rPr>
      </w:pPr>
    </w:p>
    <w:p>
      <w:pPr>
        <w:sectPr>
          <w:pgSz w:w="11900" w:h="16838" w:orient="portrait"/>
          <w:cols w:equalWidth="0" w:num="3">
            <w:col w:w="3900" w:space="720"/>
            <w:col w:w="2520" w:space="720"/>
            <w:col w:w="3360"/>
          </w:cols>
          <w:pgMar w:left="320" w:top="1440" w:right="359" w:bottom="1440" w:gutter="0" w:footer="0" w:header="0"/>
          <w:type w:val="continuous"/>
        </w:sectPr>
      </w:pPr>
    </w:p>
    <w:p>
      <w:pPr>
        <w:ind w:left="16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220"/>
          </w:cols>
          <w:pgMar w:left="320" w:top="1440" w:right="359" w:bottom="1440" w:gutter="0" w:footer="0" w:header="0"/>
          <w:type w:val="continuous"/>
        </w:sectPr>
      </w:pPr>
    </w:p>
    <w:p>
      <w:pPr>
        <w:spacing w:after="0" w:line="333"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36"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2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219075</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158750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On February 9, 2021, the Registrant issued a press release reporting its fourth-quarter 2020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3080" w:type="dxa"/>
            <w:vAlign w:val="bottom"/>
          </w:tcPr>
          <w:p>
            <w:pPr>
              <w:jc w:val="center"/>
              <w:ind w:right="2399"/>
              <w:spacing w:after="0"/>
              <w:rPr>
                <w:sz w:val="20"/>
                <w:szCs w:val="20"/>
                <w:color w:val="auto"/>
              </w:rPr>
            </w:pPr>
            <w:r>
              <w:rPr>
                <w:rFonts w:ascii="Arial" w:cs="Arial" w:eastAsia="Arial" w:hAnsi="Arial"/>
                <w:sz w:val="16"/>
                <w:szCs w:val="16"/>
                <w:b w:val="1"/>
                <w:bCs w:val="1"/>
                <w:color w:val="auto"/>
                <w:w w:val="97"/>
              </w:rPr>
              <w:t>Exhibit</w:t>
            </w:r>
          </w:p>
        </w:tc>
        <w:tc>
          <w:tcPr>
            <w:tcW w:w="3280" w:type="dxa"/>
            <w:vAlign w:val="bottom"/>
            <w:vMerge w:val="restart"/>
          </w:tcPr>
          <w:p>
            <w:pPr>
              <w:ind w:left="2480"/>
              <w:spacing w:after="0"/>
              <w:rPr>
                <w:sz w:val="20"/>
                <w:szCs w:val="20"/>
                <w:color w:val="auto"/>
              </w:rPr>
            </w:pPr>
            <w:r>
              <w:rPr>
                <w:rFonts w:ascii="Arial" w:cs="Arial" w:eastAsia="Arial" w:hAnsi="Arial"/>
                <w:sz w:val="16"/>
                <w:szCs w:val="16"/>
                <w:b w:val="1"/>
                <w:bCs w:val="1"/>
                <w:color w:val="auto"/>
                <w:w w:val="88"/>
              </w:rPr>
              <w:t>Description</w:t>
            </w:r>
          </w:p>
        </w:tc>
        <w:tc>
          <w:tcPr>
            <w:tcW w:w="0" w:type="dxa"/>
            <w:vAlign w:val="bottom"/>
          </w:tcPr>
          <w:p>
            <w:pPr>
              <w:spacing w:after="0"/>
              <w:rPr>
                <w:sz w:val="1"/>
                <w:szCs w:val="1"/>
                <w:color w:val="auto"/>
              </w:rPr>
            </w:pPr>
          </w:p>
        </w:tc>
      </w:tr>
      <w:tr>
        <w:trPr>
          <w:trHeight w:val="210"/>
        </w:trPr>
        <w:tc>
          <w:tcPr>
            <w:tcW w:w="3080" w:type="dxa"/>
            <w:vAlign w:val="bottom"/>
          </w:tcPr>
          <w:p>
            <w:pPr>
              <w:jc w:val="center"/>
              <w:ind w:right="2419"/>
              <w:spacing w:after="0"/>
              <w:rPr>
                <w:sz w:val="20"/>
                <w:szCs w:val="20"/>
                <w:color w:val="auto"/>
              </w:rPr>
            </w:pPr>
            <w:r>
              <w:rPr>
                <w:rFonts w:ascii="Arial" w:cs="Arial" w:eastAsia="Arial" w:hAnsi="Arial"/>
                <w:sz w:val="16"/>
                <w:szCs w:val="16"/>
                <w:b w:val="1"/>
                <w:bCs w:val="1"/>
                <w:color w:val="auto"/>
                <w:w w:val="95"/>
              </w:rPr>
              <w:t>Number</w:t>
            </w:r>
          </w:p>
        </w:tc>
        <w:tc>
          <w:tcPr>
            <w:tcW w:w="3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00"/>
        <w:spacing w:after="0"/>
        <w:tabs>
          <w:tab w:leader="none" w:pos="120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dated February 9, 2021</w:t>
        </w:r>
      </w:hyperlink>
    </w:p>
    <w:p>
      <w:pPr>
        <w:spacing w:after="0" w:line="23" w:lineRule="exact"/>
        <w:rPr>
          <w:sz w:val="20"/>
          <w:szCs w:val="20"/>
          <w:color w:val="auto"/>
        </w:rPr>
      </w:pPr>
    </w:p>
    <w:p>
      <w:pPr>
        <w:ind w:left="1220" w:hanging="800"/>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2"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700"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PLAINS ALL AMERICAN PIPELINE, L.P.</w:t>
            </w:r>
          </w:p>
        </w:tc>
      </w:tr>
      <w:tr>
        <w:trPr>
          <w:trHeight w:val="500"/>
        </w:trPr>
        <w:tc>
          <w:tcPr>
            <w:tcW w:w="308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By:  PAA GP LLC, its general partner</w:t>
            </w:r>
          </w:p>
        </w:tc>
      </w:tr>
      <w:tr>
        <w:trPr>
          <w:trHeight w:val="499"/>
        </w:trPr>
        <w:tc>
          <w:tcPr>
            <w:tcW w:w="308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By:  Plains AAP, L.P., its sole member</w:t>
            </w:r>
          </w:p>
        </w:tc>
      </w:tr>
      <w:tr>
        <w:trPr>
          <w:trHeight w:val="499"/>
        </w:trPr>
        <w:tc>
          <w:tcPr>
            <w:tcW w:w="308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By:  Plains All American GP LLC, its general partner</w:t>
            </w:r>
          </w:p>
        </w:tc>
      </w:tr>
      <w:tr>
        <w:trPr>
          <w:trHeight w:val="499"/>
        </w:trPr>
        <w:tc>
          <w:tcPr>
            <w:tcW w:w="3080" w:type="dxa"/>
            <w:vAlign w:val="bottom"/>
          </w:tcPr>
          <w:p>
            <w:pPr>
              <w:spacing w:after="0"/>
              <w:rPr>
                <w:sz w:val="20"/>
                <w:szCs w:val="20"/>
                <w:color w:val="auto"/>
              </w:rPr>
            </w:pPr>
            <w:r>
              <w:rPr>
                <w:rFonts w:ascii="Arial" w:cs="Arial" w:eastAsia="Arial" w:hAnsi="Arial"/>
                <w:sz w:val="18"/>
                <w:szCs w:val="18"/>
                <w:color w:val="auto"/>
              </w:rPr>
              <w:t>Date: February 9, 2021</w:t>
            </w: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By:  /s/ Sharon Spurlin</w:t>
            </w:r>
          </w:p>
        </w:tc>
      </w:tr>
      <w:tr>
        <w:trPr>
          <w:trHeight w:val="222"/>
        </w:trPr>
        <w:tc>
          <w:tcPr>
            <w:tcW w:w="3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5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Sharon Spurlin</w:t>
            </w:r>
          </w:p>
        </w:tc>
      </w:tr>
      <w:tr>
        <w:trPr>
          <w:trHeight w:val="230"/>
        </w:trPr>
        <w:tc>
          <w:tcPr>
            <w:tcW w:w="3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5560" w:type="dxa"/>
            <w:vAlign w:val="bottom"/>
          </w:tcPr>
          <w:p>
            <w:pPr>
              <w:ind w:left="160"/>
              <w:spacing w:after="0"/>
              <w:rPr>
                <w:sz w:val="20"/>
                <w:szCs w:val="20"/>
                <w:color w:val="auto"/>
              </w:rPr>
            </w:pPr>
            <w:r>
              <w:rPr>
                <w:rFonts w:ascii="Arial" w:cs="Arial" w:eastAsia="Arial" w:hAnsi="Arial"/>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445770</wp:posOffset>
            </wp:positionV>
            <wp:extent cx="5846445"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644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and Plains GP Holdings Report Fourth-Quarter and Full-Year 2020 Results</w:t>
      </w:r>
    </w:p>
    <w:p>
      <w:pPr>
        <w:spacing w:after="0" w:line="256"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(Houston — February 9, 2021) Plains All American Pipeline, L.P. (Nasdaq: PAA) and Plains GP Holdings (Nasdaq: PAGP) today reported fourth-quarter and full-year 2020 results and provided an update on other matters, as highlighted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Highlights</w:t>
      </w:r>
    </w:p>
    <w:p>
      <w:pPr>
        <w:spacing w:after="0" w:line="256" w:lineRule="exact"/>
        <w:rPr>
          <w:sz w:val="20"/>
          <w:szCs w:val="20"/>
          <w:color w:val="auto"/>
        </w:rPr>
      </w:pPr>
    </w:p>
    <w:p>
      <w:pPr>
        <w:ind w:left="660" w:right="22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fourth-quarter and full-year 2020 net cash flow from operations of $258 million and $1,514 million, respectively, and a net loss of $28 million and $2,590 million, respectively. Reported full-year net loss incorporates the impact of $3.4 billion of non-cash goodwill and asset impairment charges incurred in the year</w:t>
      </w:r>
    </w:p>
    <w:p>
      <w:pPr>
        <w:spacing w:after="0" w:line="176" w:lineRule="exact"/>
        <w:rPr>
          <w:rFonts w:ascii="Arial" w:cs="Arial" w:eastAsia="Arial" w:hAnsi="Arial"/>
          <w:sz w:val="18"/>
          <w:szCs w:val="18"/>
          <w:color w:val="auto"/>
        </w:rPr>
      </w:pPr>
    </w:p>
    <w:p>
      <w:pPr>
        <w:ind w:left="660" w:right="30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fourth-quarter and full-year 2020 Adjusted EBITDA of $559 million and $2,560 million, respectively (full-year results within 1% of original guidance furnished in February of 2020)</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~$450 million of assets sales in 2020</w:t>
      </w:r>
    </w:p>
    <w:p>
      <w:pPr>
        <w:spacing w:after="0" w:line="225" w:lineRule="exact"/>
        <w:rPr>
          <w:rFonts w:ascii="Arial" w:cs="Arial" w:eastAsia="Arial" w:hAnsi="Arial"/>
          <w:sz w:val="18"/>
          <w:szCs w:val="18"/>
          <w:color w:val="auto"/>
        </w:rPr>
      </w:pPr>
    </w:p>
    <w:p>
      <w:pPr>
        <w:ind w:left="660" w:right="18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full-year 2020 field operating costs and general and administrative expenses by approximately $250 million, or 16%, versus 2019, with expectation for approximately 50% of these cost savings to endure in future years</w:t>
      </w:r>
    </w:p>
    <w:p>
      <w:pPr>
        <w:spacing w:after="0" w:line="196" w:lineRule="exact"/>
        <w:rPr>
          <w:rFonts w:ascii="Arial" w:cs="Arial" w:eastAsia="Arial" w:hAnsi="Arial"/>
          <w:sz w:val="18"/>
          <w:szCs w:val="18"/>
          <w:color w:val="auto"/>
        </w:rPr>
      </w:pPr>
    </w:p>
    <w:p>
      <w:pPr>
        <w:ind w:left="660" w:right="54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Achieved our annual 20%+ reduction goal in key Safety and Environmental metrics (represents more than a 50% reduction in each of these metrics since 2017 and reflects our best year since formally tracking these metrics)</w:t>
      </w:r>
    </w:p>
    <w:p>
      <w:pPr>
        <w:spacing w:after="0" w:line="196"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 2021 Free Cash Flow after distributions of +/- $300 million, or more than $1 billion when including anticipated proceeds from asset sales targeted in 2021</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2021 asset sales target to +/- $750 million (+$150 million)</w:t>
      </w:r>
    </w:p>
    <w:p>
      <w:pPr>
        <w:spacing w:after="0" w:line="239"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“From almost any perspective, 2020 was an extremely challenging year for the world in general and our industry in particular,” stated Willie Chiang, Chairman and CEO of Plains. “Despite the challenges, we capitalized on the opportunity to advance several key initiatives, which accelerated our transition to maximizing free cash flow. The collective result of our actions enabled us to improve our 2020 cash positioning significantly, position the company to generate meaningful free cash flow in 2021 and beyond and activate an equity repurchase program as an additional method of returning cash to equity holders, which we are balancing with our priorities of reducing debt and maintaining an investment-grade balance sheet. We have conviction in the long-term need for crude oil as part of any energy transition and the value of our business and sustainability of our cash flow stream, and we are well</w:t>
      </w:r>
    </w:p>
    <w:p>
      <w:pPr>
        <w:spacing w:after="0" w:line="4" w:lineRule="exact"/>
        <w:rPr>
          <w:sz w:val="20"/>
          <w:szCs w:val="20"/>
          <w:color w:val="auto"/>
        </w:rPr>
      </w:pPr>
    </w:p>
    <w:p>
      <w:pPr>
        <w:ind w:left="5340" w:right="2380" w:hanging="5325"/>
        <w:spacing w:after="0" w:line="226" w:lineRule="auto"/>
        <w:rPr>
          <w:sz w:val="20"/>
          <w:szCs w:val="20"/>
          <w:color w:val="auto"/>
        </w:rPr>
      </w:pPr>
      <w:r>
        <w:rPr>
          <w:rFonts w:ascii="Arial" w:cs="Arial" w:eastAsia="Arial" w:hAnsi="Arial"/>
          <w:sz w:val="18"/>
          <w:szCs w:val="18"/>
          <w:color w:val="auto"/>
        </w:rPr>
        <w:t>positioned to generate a significant level of positive free cash flow after distributions on a multi-year basis going forward.” -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86995</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3"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5060" w:type="dxa"/>
            <w:vAlign w:val="bottom"/>
            <w:tcBorders>
              <w:top w:val="single" w:sz="8" w:color="auto"/>
            </w:tcBorders>
          </w:tcPr>
          <w:p>
            <w:pPr>
              <w:ind w:left="20"/>
              <w:spacing w:after="0" w:line="223" w:lineRule="exact"/>
              <w:rPr>
                <w:sz w:val="20"/>
                <w:szCs w:val="20"/>
                <w:color w:val="auto"/>
              </w:rPr>
            </w:pPr>
            <w:r>
              <w:rPr>
                <w:rFonts w:ascii="Arial" w:cs="Arial" w:eastAsia="Arial" w:hAnsi="Arial"/>
                <w:sz w:val="18"/>
                <w:szCs w:val="18"/>
                <w:color w:val="auto"/>
              </w:rPr>
              <w:t xml:space="preserve">Net income/(loss) attributable to PAA </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4"/>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5"/>
        </w:trPr>
        <w:tc>
          <w:tcPr>
            <w:tcW w:w="5160" w:type="dxa"/>
            <w:vAlign w:val="bottom"/>
            <w:gridSpan w:val="2"/>
          </w:tcPr>
          <w:p>
            <w:pPr>
              <w:ind w:left="20"/>
              <w:spacing w:after="0" w:line="235" w:lineRule="exact"/>
              <w:rPr>
                <w:sz w:val="20"/>
                <w:szCs w:val="20"/>
                <w:color w:val="auto"/>
              </w:rPr>
            </w:pPr>
            <w:r>
              <w:rPr>
                <w:rFonts w:ascii="Arial" w:cs="Arial" w:eastAsia="Arial" w:hAnsi="Arial"/>
                <w:sz w:val="18"/>
                <w:szCs w:val="18"/>
                <w:color w:val="auto"/>
              </w:rPr>
              <w:t xml:space="preserve">Diluted weighted average common units outstanding </w:t>
            </w:r>
            <w:r>
              <w:rPr>
                <w:rFonts w:ascii="Arial" w:cs="Arial" w:eastAsia="Arial" w:hAnsi="Arial"/>
                <w:sz w:val="23"/>
                <w:szCs w:val="23"/>
                <w:color w:val="auto"/>
                <w:vertAlign w:val="superscript"/>
              </w:rPr>
              <w:t>(2)</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737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Twelve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1,514</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2,504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080" w:space="220"/>
            <w:col w:w="2940"/>
          </w:cols>
          <w:pgMar w:left="320" w:top="368" w:right="339" w:bottom="1440" w:gutter="0" w:footer="0" w:header="0"/>
        </w:sectPr>
      </w:pPr>
    </w:p>
    <w:p>
      <w:pPr>
        <w:spacing w:after="0" w:line="339" w:lineRule="exact"/>
        <w:rPr>
          <w:sz w:val="20"/>
          <w:szCs w:val="20"/>
          <w:color w:val="auto"/>
        </w:rPr>
      </w:pPr>
    </w:p>
    <w:p>
      <w:pPr>
        <w:ind w:left="340" w:right="220" w:hanging="332"/>
        <w:spacing w:after="0" w:line="267" w:lineRule="auto"/>
        <w:tabs>
          <w:tab w:leader="none" w:pos="32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Reported results for the twelve months ended December 31, 2020 include aggregate non-cash goodwill and asset impairments and the write-down of certain of our investments in unconsolidated entities totaling $3.4 billion representing a twelve-month net loss of $4.69 after tax per common unit.</w:t>
      </w:r>
    </w:p>
    <w:p>
      <w:pPr>
        <w:spacing w:after="0" w:line="66" w:lineRule="exact"/>
        <w:rPr>
          <w:rFonts w:ascii="Arial" w:cs="Arial" w:eastAsia="Arial" w:hAnsi="Arial"/>
          <w:sz w:val="21"/>
          <w:szCs w:val="21"/>
          <w:color w:val="auto"/>
          <w:vertAlign w:val="superscript"/>
        </w:rPr>
      </w:pPr>
    </w:p>
    <w:p>
      <w:pPr>
        <w:ind w:left="340" w:right="40" w:hanging="332"/>
        <w:spacing w:after="0" w:line="234"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For the twelve months ended December 31, 2019, includes all potentially dilutive securities (our Series A preferred units and equity-indexed compensation awards) outstanding during the period. See the “Computation of Basic and Diluted Net Income/(Loss) Per Common Unit” table attached hereto for additional information.</w:t>
      </w:r>
    </w:p>
    <w:p>
      <w:pPr>
        <w:sectPr>
          <w:pgSz w:w="11900" w:h="16838" w:orient="portrait"/>
          <w:cols w:equalWidth="0" w:num="1">
            <w:col w:w="11240"/>
          </w:cols>
          <w:pgMar w:left="320" w:top="368"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ind w:left="20"/>
              <w:spacing w:after="0" w:line="185" w:lineRule="exact"/>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18"/>
                <w:szCs w:val="18"/>
                <w:b w:val="1"/>
                <w:bCs w:val="1"/>
                <w:i w:val="1"/>
                <w:iCs w:val="1"/>
                <w:color w:val="auto"/>
                <w:vertAlign w:val="superscript"/>
              </w:rPr>
              <w:t>(1)</w:t>
            </w: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2"/>
        </w:trPr>
        <w:tc>
          <w:tcPr>
            <w:tcW w:w="50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882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26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Twelve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9"/>
                <w:szCs w:val="19"/>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92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09" w:lineRule="exact"/>
        <w:rPr>
          <w:sz w:val="20"/>
          <w:szCs w:val="20"/>
          <w:color w:val="auto"/>
        </w:rPr>
      </w:pPr>
    </w:p>
    <w:p>
      <w:pPr>
        <w:sectPr>
          <w:pgSz w:w="11900" w:h="16838" w:orient="portrait"/>
          <w:cols w:equalWidth="0" w:num="2">
            <w:col w:w="8080" w:space="220"/>
            <w:col w:w="2940"/>
          </w:cols>
          <w:pgMar w:left="320" w:top="368" w:right="339" w:bottom="1440" w:gutter="0" w:footer="0" w:header="0"/>
          <w:type w:val="continuous"/>
        </w:sectPr>
      </w:pPr>
    </w:p>
    <w:p>
      <w:pPr>
        <w:ind w:left="340" w:right="200" w:hanging="332"/>
        <w:spacing w:after="0"/>
        <w:tabs>
          <w:tab w:leader="none" w:pos="32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Implied DCF, Free Cash Flow and Free Cash Flow After Distributions) and their reconciliation to the most directly comparable measures as reported in accordance with GAAP.</w:t>
      </w:r>
    </w:p>
    <w:p>
      <w:pPr>
        <w:ind w:left="5440" w:hanging="106"/>
        <w:spacing w:after="0"/>
        <w:tabs>
          <w:tab w:leader="none" w:pos="5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Segment Adjusted EBITDA for the fourth quarter and full year of 2020 and 2019 is presented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6"/>
          </w:tcPr>
          <w:p>
            <w:pPr>
              <w:jc w:val="center"/>
              <w:ind w:left="713"/>
              <w:spacing w:after="0"/>
              <w:rPr>
                <w:sz w:val="20"/>
                <w:szCs w:val="20"/>
                <w:color w:val="auto"/>
              </w:rPr>
            </w:pPr>
            <w:r>
              <w:rPr>
                <w:rFonts w:ascii="Arial" w:cs="Arial" w:eastAsia="Arial" w:hAnsi="Arial"/>
                <w:sz w:val="16"/>
                <w:szCs w:val="16"/>
                <w:b w:val="1"/>
                <w:bCs w:val="1"/>
                <w:color w:val="auto"/>
                <w:w w:val="93"/>
              </w:rPr>
              <w:t>Segment Adjusted EBITDA</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Transportation</w:t>
            </w:r>
          </w:p>
        </w:tc>
        <w:tc>
          <w:tcPr>
            <w:tcW w:w="3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Facilities</w:t>
            </w:r>
          </w:p>
        </w:tc>
        <w:tc>
          <w:tcPr>
            <w:tcW w:w="16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3"/>
              </w:rPr>
              <w:t>Supply and Logistics</w:t>
            </w:r>
          </w:p>
        </w:tc>
        <w:tc>
          <w:tcPr>
            <w:tcW w:w="0" w:type="dxa"/>
            <w:vAlign w:val="bottom"/>
          </w:tcPr>
          <w:p>
            <w:pPr>
              <w:spacing w:after="0"/>
              <w:rPr>
                <w:sz w:val="1"/>
                <w:szCs w:val="1"/>
                <w:color w:val="auto"/>
              </w:rPr>
            </w:pPr>
          </w:p>
        </w:tc>
      </w:tr>
      <w:tr>
        <w:trPr>
          <w:trHeight w:val="251"/>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December 31,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tcPr>
          <w:p>
            <w:pPr>
              <w:spacing w:after="0" w:line="203" w:lineRule="exact"/>
              <w:rPr>
                <w:sz w:val="20"/>
                <w:szCs w:val="20"/>
                <w:color w:val="auto"/>
              </w:rPr>
            </w:pPr>
            <w:r>
              <w:rPr>
                <w:rFonts w:ascii="Arial" w:cs="Arial" w:eastAsia="Arial" w:hAnsi="Arial"/>
                <w:sz w:val="18"/>
                <w:szCs w:val="18"/>
                <w:color w:val="auto"/>
              </w:rPr>
              <w:t>Three Months Ended December 31, 2019</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451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176</w:t>
            </w:r>
          </w:p>
        </w:tc>
        <w:tc>
          <w:tcPr>
            <w:tcW w:w="120" w:type="dxa"/>
            <w:vAlign w:val="bottom"/>
          </w:tcPr>
          <w:p>
            <w:pPr>
              <w:spacing w:after="0"/>
              <w:rPr>
                <w:sz w:val="17"/>
                <w:szCs w:val="17"/>
                <w:color w:val="auto"/>
              </w:rPr>
            </w:pPr>
          </w:p>
        </w:tc>
        <w:tc>
          <w:tcPr>
            <w:tcW w:w="620" w:type="dxa"/>
            <w:vAlign w:val="bottom"/>
            <w:tcBorders>
              <w:bottom w:val="single" w:sz="8" w:color="auto"/>
            </w:tcBorders>
          </w:tcPr>
          <w:p>
            <w:pPr>
              <w:jc w:val="right"/>
              <w:ind w:right="433"/>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2019 period</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line="163" w:lineRule="exact"/>
              <w:rPr>
                <w:sz w:val="20"/>
                <w:szCs w:val="20"/>
                <w:color w:val="auto"/>
              </w:rPr>
            </w:pPr>
            <w:r>
              <w:rPr>
                <w:rFonts w:ascii="Arial" w:cs="Arial" w:eastAsia="Arial" w:hAnsi="Arial"/>
                <w:sz w:val="18"/>
                <w:szCs w:val="18"/>
                <w:b w:val="1"/>
                <w:bCs w:val="1"/>
                <w:i w:val="1"/>
                <w:iCs w:val="1"/>
                <w:color w:val="auto"/>
                <w:w w:val="92"/>
              </w:rPr>
              <w:t>Percentage change in Segment Adjusted EBITDA versus 2019 period further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3"/>
        </w:trPr>
        <w:tc>
          <w:tcPr>
            <w:tcW w:w="6060" w:type="dxa"/>
            <w:vAlign w:val="bottom"/>
          </w:tcPr>
          <w:p>
            <w:pPr>
              <w:ind w:left="160"/>
              <w:spacing w:after="0" w:line="202" w:lineRule="exact"/>
              <w:rPr>
                <w:sz w:val="20"/>
                <w:szCs w:val="20"/>
                <w:color w:val="auto"/>
              </w:rPr>
            </w:pPr>
            <w:r>
              <w:rPr>
                <w:rFonts w:ascii="Arial" w:cs="Arial" w:eastAsia="Arial" w:hAnsi="Arial"/>
                <w:sz w:val="18"/>
                <w:szCs w:val="18"/>
                <w:b w:val="1"/>
                <w:bCs w:val="1"/>
                <w:i w:val="1"/>
                <w:iCs w:val="1"/>
                <w:color w:val="auto"/>
              </w:rPr>
              <w:t xml:space="preserve">adjusted for impact of divested assets </w:t>
            </w:r>
            <w:r>
              <w:rPr>
                <w:rFonts w:ascii="Arial" w:cs="Arial" w:eastAsia="Arial" w:hAnsi="Arial"/>
                <w:sz w:val="23"/>
                <w:szCs w:val="23"/>
                <w:b w:val="1"/>
                <w:bCs w:val="1"/>
                <w:i w:val="1"/>
                <w:i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6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6"/>
          </w:tcPr>
          <w:p>
            <w:pPr>
              <w:jc w:val="center"/>
              <w:ind w:left="713"/>
              <w:spacing w:after="0"/>
              <w:rPr>
                <w:sz w:val="20"/>
                <w:szCs w:val="20"/>
                <w:color w:val="auto"/>
              </w:rPr>
            </w:pPr>
            <w:r>
              <w:rPr>
                <w:rFonts w:ascii="Arial" w:cs="Arial" w:eastAsia="Arial" w:hAnsi="Arial"/>
                <w:sz w:val="16"/>
                <w:szCs w:val="16"/>
                <w:b w:val="1"/>
                <w:bCs w:val="1"/>
                <w:color w:val="auto"/>
                <w:w w:val="93"/>
              </w:rPr>
              <w:t>Segment Adjusted EBITDA</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Transportation</w:t>
            </w:r>
          </w:p>
        </w:tc>
        <w:tc>
          <w:tcPr>
            <w:tcW w:w="3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Facilities</w:t>
            </w:r>
          </w:p>
        </w:tc>
        <w:tc>
          <w:tcPr>
            <w:tcW w:w="16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3"/>
              </w:rPr>
              <w:t>Supply and Logistics</w:t>
            </w:r>
          </w:p>
        </w:tc>
        <w:tc>
          <w:tcPr>
            <w:tcW w:w="0" w:type="dxa"/>
            <w:vAlign w:val="bottom"/>
          </w:tcPr>
          <w:p>
            <w:pPr>
              <w:spacing w:after="0"/>
              <w:rPr>
                <w:sz w:val="1"/>
                <w:szCs w:val="1"/>
                <w:color w:val="auto"/>
              </w:rPr>
            </w:pPr>
          </w:p>
        </w:tc>
      </w:tr>
      <w:tr>
        <w:trPr>
          <w:trHeight w:val="251"/>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Twelve Months Ended December 31, 2020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tcPr>
          <w:p>
            <w:pPr>
              <w:spacing w:after="0" w:line="203" w:lineRule="exact"/>
              <w:rPr>
                <w:sz w:val="20"/>
                <w:szCs w:val="20"/>
                <w:color w:val="auto"/>
              </w:rPr>
            </w:pPr>
            <w:r>
              <w:rPr>
                <w:rFonts w:ascii="Arial" w:cs="Arial" w:eastAsia="Arial" w:hAnsi="Arial"/>
                <w:sz w:val="18"/>
                <w:szCs w:val="18"/>
                <w:color w:val="auto"/>
              </w:rPr>
              <w:t>Twelve Months Ended December 31, 2019</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53"/>
              <w:spacing w:after="0" w:line="203" w:lineRule="exact"/>
              <w:rPr>
                <w:sz w:val="20"/>
                <w:szCs w:val="20"/>
                <w:color w:val="auto"/>
              </w:rPr>
            </w:pPr>
            <w:r>
              <w:rPr>
                <w:rFonts w:ascii="Arial" w:cs="Arial" w:eastAsia="Arial" w:hAnsi="Arial"/>
                <w:sz w:val="18"/>
                <w:szCs w:val="18"/>
                <w:color w:val="auto"/>
              </w:rPr>
              <w:t>1,722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705</w:t>
            </w:r>
          </w:p>
        </w:tc>
        <w:tc>
          <w:tcPr>
            <w:tcW w:w="120" w:type="dxa"/>
            <w:vAlign w:val="bottom"/>
          </w:tcPr>
          <w:p>
            <w:pPr>
              <w:spacing w:after="0"/>
              <w:rPr>
                <w:sz w:val="17"/>
                <w:szCs w:val="17"/>
                <w:color w:val="auto"/>
              </w:rPr>
            </w:pPr>
          </w:p>
        </w:tc>
        <w:tc>
          <w:tcPr>
            <w:tcW w:w="620" w:type="dxa"/>
            <w:vAlign w:val="bottom"/>
            <w:tcBorders>
              <w:bottom w:val="single" w:sz="8" w:color="auto"/>
            </w:tcBorders>
          </w:tcPr>
          <w:p>
            <w:pPr>
              <w:jc w:val="right"/>
              <w:ind w:right="433"/>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Percentage change in Segment Adjusted EBITDA versus 2019 period</w:t>
            </w: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line="163" w:lineRule="exact"/>
              <w:rPr>
                <w:sz w:val="20"/>
                <w:szCs w:val="20"/>
                <w:color w:val="auto"/>
              </w:rPr>
            </w:pPr>
            <w:r>
              <w:rPr>
                <w:rFonts w:ascii="Arial" w:cs="Arial" w:eastAsia="Arial" w:hAnsi="Arial"/>
                <w:sz w:val="18"/>
                <w:szCs w:val="18"/>
                <w:b w:val="1"/>
                <w:bCs w:val="1"/>
                <w:i w:val="1"/>
                <w:iCs w:val="1"/>
                <w:color w:val="auto"/>
                <w:w w:val="92"/>
              </w:rPr>
              <w:t>Percentage change in Segment Adjusted EBITDA versus 2019 period further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7 %</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03"/>
        </w:trPr>
        <w:tc>
          <w:tcPr>
            <w:tcW w:w="6060" w:type="dxa"/>
            <w:vAlign w:val="bottom"/>
          </w:tcPr>
          <w:p>
            <w:pPr>
              <w:ind w:left="160"/>
              <w:spacing w:after="0" w:line="202" w:lineRule="exact"/>
              <w:rPr>
                <w:sz w:val="20"/>
                <w:szCs w:val="20"/>
                <w:color w:val="auto"/>
              </w:rPr>
            </w:pPr>
            <w:r>
              <w:rPr>
                <w:rFonts w:ascii="Arial" w:cs="Arial" w:eastAsia="Arial" w:hAnsi="Arial"/>
                <w:sz w:val="18"/>
                <w:szCs w:val="18"/>
                <w:b w:val="1"/>
                <w:bCs w:val="1"/>
                <w:i w:val="1"/>
                <w:iCs w:val="1"/>
                <w:color w:val="auto"/>
              </w:rPr>
              <w:t xml:space="preserve">adjusted for impact of divested assets </w:t>
            </w:r>
            <w:r>
              <w:rPr>
                <w:rFonts w:ascii="Arial" w:cs="Arial" w:eastAsia="Arial" w:hAnsi="Arial"/>
                <w:sz w:val="23"/>
                <w:szCs w:val="23"/>
                <w:b w:val="1"/>
                <w:bCs w:val="1"/>
                <w:i w:val="1"/>
                <w:i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40" w:right="140" w:hanging="332"/>
        <w:spacing w:after="0" w:line="249" w:lineRule="auto"/>
        <w:tabs>
          <w:tab w:leader="none" w:pos="32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2019 and 2020, assuming an effective date of January 1, 2019. Divested assets primarily included certain NGL storage terminals and Los Angeles Basin crude oil storage terminals that were previously included in our Facilities segment and the sale of a portion of our interest in a joint venture pipeline that was previously reported in our Transportation segment.</w:t>
      </w:r>
    </w:p>
    <w:p>
      <w:pPr>
        <w:spacing w:after="0" w:line="200" w:lineRule="exact"/>
        <w:rPr>
          <w:sz w:val="20"/>
          <w:szCs w:val="20"/>
          <w:color w:val="auto"/>
        </w:rPr>
      </w:pPr>
    </w:p>
    <w:p>
      <w:pPr>
        <w:spacing w:after="0" w:line="239" w:lineRule="exact"/>
        <w:rPr>
          <w:sz w:val="20"/>
          <w:szCs w:val="20"/>
          <w:color w:val="auto"/>
        </w:rPr>
      </w:pPr>
    </w:p>
    <w:p>
      <w:pPr>
        <w:ind w:right="100" w:firstLine="180"/>
        <w:spacing w:after="0" w:line="248" w:lineRule="auto"/>
        <w:rPr>
          <w:sz w:val="20"/>
          <w:szCs w:val="20"/>
          <w:color w:val="auto"/>
        </w:rPr>
      </w:pPr>
      <w:r>
        <w:rPr>
          <w:rFonts w:ascii="Arial" w:cs="Arial" w:eastAsia="Arial" w:hAnsi="Arial"/>
          <w:sz w:val="18"/>
          <w:szCs w:val="18"/>
          <w:color w:val="auto"/>
        </w:rPr>
        <w:t>Fourth-quarter 2020 Transportation Segment Adjusted EBITDA decreased 15% versus comparable 2019 results due to reductions in tariff volumes in multiple regions resulting from lower crude oil prices, reduced drilling and completion activity and compressed regional basis differentials, partially offset by the benefit of operational cost savings.</w:t>
      </w:r>
    </w:p>
    <w:p>
      <w:pPr>
        <w:spacing w:after="0" w:line="209" w:lineRule="exact"/>
        <w:rPr>
          <w:sz w:val="20"/>
          <w:szCs w:val="20"/>
          <w:color w:val="auto"/>
        </w:rPr>
      </w:pPr>
    </w:p>
    <w:p>
      <w:pPr>
        <w:ind w:firstLine="180"/>
        <w:spacing w:after="0" w:line="286" w:lineRule="auto"/>
        <w:rPr>
          <w:sz w:val="20"/>
          <w:szCs w:val="20"/>
          <w:color w:val="auto"/>
        </w:rPr>
      </w:pPr>
      <w:r>
        <w:rPr>
          <w:rFonts w:ascii="Arial" w:cs="Arial" w:eastAsia="Arial" w:hAnsi="Arial"/>
          <w:sz w:val="17"/>
          <w:szCs w:val="17"/>
          <w:color w:val="auto"/>
        </w:rPr>
        <w:t>Fourth-quarter 2020 Facilities Segment Adjusted EBITDA decreased 2% versus comparable 2019 results primarily due to the impact of asset sales and decreased activity at certain of our rail terminals resulting from less favorable market conditions, partially offset by the favorable impact of operational cost savings and increased capacity at certain of our Mid-Continent and Gulf Coast crude oil storage terminals.</w:t>
      </w:r>
    </w:p>
    <w:p>
      <w:pPr>
        <w:spacing w:after="0" w:line="165" w:lineRule="exact"/>
        <w:rPr>
          <w:sz w:val="20"/>
          <w:szCs w:val="20"/>
          <w:color w:val="auto"/>
        </w:rPr>
      </w:pPr>
    </w:p>
    <w:p>
      <w:pPr>
        <w:jc w:val="both"/>
        <w:ind w:right="240" w:firstLine="180"/>
        <w:spacing w:after="0" w:line="248" w:lineRule="auto"/>
        <w:rPr>
          <w:sz w:val="20"/>
          <w:szCs w:val="20"/>
          <w:color w:val="auto"/>
        </w:rPr>
      </w:pPr>
      <w:r>
        <w:rPr>
          <w:rFonts w:ascii="Arial" w:cs="Arial" w:eastAsia="Arial" w:hAnsi="Arial"/>
          <w:sz w:val="18"/>
          <w:szCs w:val="18"/>
          <w:color w:val="auto"/>
        </w:rPr>
        <w:t>Fourth-quarter 2020 Supply and Logistics Segment Adjusted EBITDA decreased 98% versus comparable 2019 results due to less favorable crude oil differentials in both the Permian Basin and Canada as well as a less favorable Canadian NGL market due to warmer seasonal weather, partially offset by the benefit of contango-based margin opportunities.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Full-Year Guidance</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our full-year 2021 financial and operating guidance: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7"/>
              </w:rPr>
              <w:t>Twelve Months Ended December 31,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 (G)</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571"/>
              <w:spacing w:after="0"/>
              <w:rPr>
                <w:sz w:val="20"/>
                <w:szCs w:val="20"/>
                <w:color w:val="auto"/>
              </w:rPr>
            </w:pPr>
            <w:r>
              <w:rPr>
                <w:rFonts w:ascii="Arial" w:cs="Arial" w:eastAsia="Arial" w:hAnsi="Arial"/>
                <w:sz w:val="16"/>
                <w:szCs w:val="16"/>
                <w:color w:val="auto"/>
              </w:rPr>
              <w:t>+ / -</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Transportation</w:t>
            </w:r>
          </w:p>
        </w:tc>
        <w:tc>
          <w:tcPr>
            <w:tcW w:w="920" w:type="dxa"/>
            <w:vAlign w:val="bottom"/>
          </w:tcPr>
          <w:p>
            <w:pPr>
              <w:spacing w:after="0"/>
              <w:rPr>
                <w:sz w:val="19"/>
                <w:szCs w:val="19"/>
                <w:color w:val="auto"/>
              </w:rPr>
            </w:pPr>
          </w:p>
        </w:tc>
        <w:tc>
          <w:tcPr>
            <w:tcW w:w="20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280"/>
              <w:spacing w:after="0"/>
              <w:rPr>
                <w:sz w:val="20"/>
                <w:szCs w:val="20"/>
                <w:color w:val="auto"/>
              </w:rPr>
            </w:pPr>
            <w:r>
              <w:rPr>
                <w:rFonts w:ascii="Arial" w:cs="Arial" w:eastAsia="Arial" w:hAnsi="Arial"/>
                <w:sz w:val="18"/>
                <w:szCs w:val="18"/>
                <w:b w:val="1"/>
                <w:bCs w:val="1"/>
                <w:color w:val="auto"/>
              </w:rPr>
              <w:t>Fee-Based</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2,427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2,347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Adjusted other income/(expense), net</w:t>
            </w:r>
          </w:p>
        </w:tc>
        <w:tc>
          <w:tcPr>
            <w:tcW w:w="9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9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tcBorders>
              <w:top w:val="single" w:sz="8" w:color="CCEEFF"/>
              <w:bottom w:val="single" w:sz="8" w:color="CCEEFF"/>
            </w:tcBorders>
            <w:gridSpan w:val="2"/>
            <w:vMerge w:val="restart"/>
          </w:tcPr>
          <w:p>
            <w:pPr>
              <w:ind w:left="160"/>
              <w:spacing w:after="0" w:line="243"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(2)</w:t>
            </w:r>
          </w:p>
        </w:tc>
        <w:tc>
          <w:tcPr>
            <w:tcW w:w="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(407)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(415)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Current income tax expense</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line="223"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2,376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3"/>
          </w:tcPr>
          <w:p>
            <w:pPr>
              <w:spacing w:after="0" w:line="230" w:lineRule="exact"/>
              <w:rPr>
                <w:sz w:val="20"/>
                <w:szCs w:val="20"/>
                <w:color w:val="auto"/>
              </w:rPr>
            </w:pPr>
            <w:r>
              <w:rPr>
                <w:rFonts w:ascii="Arial" w:cs="Arial" w:eastAsia="Arial" w:hAnsi="Arial"/>
                <w:sz w:val="18"/>
                <w:szCs w:val="18"/>
                <w:b w:val="1"/>
                <w:bCs w:val="1"/>
                <w:color w:val="auto"/>
                <w:w w:val="96"/>
              </w:rPr>
              <w:t xml:space="preserve">Implied DCF per Common Unit and Common Equivalent Unit </w:t>
            </w:r>
            <w:r>
              <w:rPr>
                <w:rFonts w:ascii="Arial" w:cs="Arial" w:eastAsia="Arial" w:hAnsi="Arial"/>
                <w:sz w:val="23"/>
                <w:szCs w:val="23"/>
                <w:b w:val="1"/>
                <w:bCs w:val="1"/>
                <w:color w:val="auto"/>
                <w:w w:val="96"/>
                <w:vertAlign w:val="superscript"/>
              </w:rPr>
              <w:t>(1)</w:t>
            </w:r>
          </w:p>
        </w:tc>
        <w:tc>
          <w:tcPr>
            <w:tcW w:w="20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line="230"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920" w:type="dxa"/>
            <w:vAlign w:val="bottom"/>
          </w:tcPr>
          <w:p>
            <w:pPr>
              <w:spacing w:after="0"/>
              <w:rPr>
                <w:sz w:val="19"/>
                <w:szCs w:val="19"/>
                <w:color w:val="auto"/>
              </w:rPr>
            </w:pPr>
          </w:p>
        </w:tc>
        <w:tc>
          <w:tcPr>
            <w:tcW w:w="20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2.17x</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2.57x</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(1)</w:t>
            </w:r>
          </w:p>
        </w:tc>
        <w:tc>
          <w:tcPr>
            <w:tcW w:w="9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b w:val="1"/>
                <w:bCs w:val="1"/>
                <w:color w:val="auto"/>
              </w:rPr>
              <w:t>Transportation</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Segment Adjusted EBITDA per barrel</w:t>
            </w:r>
          </w:p>
        </w:tc>
        <w:tc>
          <w:tcPr>
            <w:tcW w:w="920" w:type="dxa"/>
            <w:vAlign w:val="bottom"/>
          </w:tcPr>
          <w:p>
            <w:pPr>
              <w:spacing w:after="0"/>
              <w:rPr>
                <w:sz w:val="19"/>
                <w:szCs w:val="19"/>
                <w:color w:val="auto"/>
              </w:rPr>
            </w:pPr>
          </w:p>
        </w:tc>
        <w:tc>
          <w:tcPr>
            <w:tcW w:w="20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b w:val="1"/>
                <w:bCs w:val="1"/>
                <w:color w:val="auto"/>
              </w:rPr>
              <w:t>Facilities</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capacity (MMBbls/Mo)</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Segment Adjusted EBITDA per barrel</w:t>
            </w:r>
          </w:p>
        </w:tc>
        <w:tc>
          <w:tcPr>
            <w:tcW w:w="920" w:type="dxa"/>
            <w:vAlign w:val="bottom"/>
          </w:tcPr>
          <w:p>
            <w:pPr>
              <w:spacing w:after="0"/>
              <w:rPr>
                <w:sz w:val="19"/>
                <w:szCs w:val="19"/>
                <w:color w:val="auto"/>
              </w:rPr>
            </w:pPr>
          </w:p>
        </w:tc>
        <w:tc>
          <w:tcPr>
            <w:tcW w:w="20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daily volumes (MBbls/d)</w:t>
            </w:r>
          </w:p>
        </w:tc>
        <w:tc>
          <w:tcPr>
            <w:tcW w:w="9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ind w:left="340"/>
              <w:spacing w:after="0"/>
              <w:rPr>
                <w:sz w:val="20"/>
                <w:szCs w:val="20"/>
                <w:color w:val="auto"/>
              </w:rPr>
            </w:pPr>
            <w:r>
              <w:rPr>
                <w:rFonts w:ascii="Arial" w:cs="Arial" w:eastAsia="Arial" w:hAnsi="Arial"/>
                <w:sz w:val="18"/>
                <w:szCs w:val="18"/>
                <w:color w:val="auto"/>
              </w:rPr>
              <w:t>Segment Adjusted EBITDA per barrel</w:t>
            </w:r>
          </w:p>
        </w:tc>
        <w:tc>
          <w:tcPr>
            <w:tcW w:w="920" w:type="dxa"/>
            <w:vAlign w:val="bottom"/>
          </w:tcPr>
          <w:p>
            <w:pPr>
              <w:spacing w:after="0"/>
              <w:rPr>
                <w:sz w:val="19"/>
                <w:szCs w:val="19"/>
                <w:color w:val="auto"/>
              </w:rPr>
            </w:pPr>
          </w:p>
        </w:tc>
        <w:tc>
          <w:tcPr>
            <w:tcW w:w="200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Investment Capital</w:t>
            </w:r>
          </w:p>
        </w:tc>
        <w:tc>
          <w:tcPr>
            <w:tcW w:w="920" w:type="dxa"/>
            <w:vAlign w:val="bottom"/>
          </w:tcPr>
          <w:p>
            <w:pPr>
              <w:spacing w:after="0"/>
              <w:rPr>
                <w:sz w:val="19"/>
                <w:szCs w:val="19"/>
                <w:color w:val="auto"/>
              </w:rPr>
            </w:pPr>
          </w:p>
        </w:tc>
        <w:tc>
          <w:tcPr>
            <w:tcW w:w="2000" w:type="dxa"/>
            <w:vAlign w:val="bottom"/>
            <w:gridSpan w:val="2"/>
          </w:tcPr>
          <w:p>
            <w:pPr>
              <w:jc w:val="right"/>
              <w:ind w:right="832"/>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1,340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921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3"/>
          </w:tcPr>
          <w:p>
            <w:pPr>
              <w:spacing w:after="0"/>
              <w:rPr>
                <w:sz w:val="20"/>
                <w:szCs w:val="20"/>
                <w:color w:val="auto"/>
              </w:rPr>
            </w:pPr>
            <w:r>
              <w:rPr>
                <w:rFonts w:ascii="Arial" w:cs="Arial" w:eastAsia="Arial" w:hAnsi="Arial"/>
                <w:sz w:val="18"/>
                <w:szCs w:val="18"/>
                <w:b w:val="1"/>
                <w:bCs w:val="1"/>
                <w:color w:val="auto"/>
                <w:w w:val="93"/>
              </w:rPr>
              <w:t>First-Quarter 2021 Adjusted EBITDA as a Percentage of Full Year</w:t>
            </w: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427"/>
        </w:trPr>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gridSpan w:val="2"/>
            <w:vMerge w:val="restart"/>
          </w:tcPr>
          <w:p>
            <w:pPr>
              <w:jc w:val="right"/>
              <w:ind w:right="1252"/>
              <w:spacing w:after="0"/>
              <w:rPr>
                <w:sz w:val="20"/>
                <w:szCs w:val="20"/>
                <w:color w:val="auto"/>
              </w:rPr>
            </w:pPr>
            <w:r>
              <w:rPr>
                <w:rFonts w:ascii="Arial" w:cs="Arial" w:eastAsia="Arial" w:hAnsi="Arial"/>
                <w:sz w:val="18"/>
                <w:szCs w:val="18"/>
                <w:color w:val="auto"/>
              </w:rPr>
              <w:t>- more -</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300" w:type="dxa"/>
            <w:vAlign w:val="bottom"/>
            <w:tcBorders>
              <w:bottom w:val="single" w:sz="8" w:color="auto"/>
            </w:tcBorders>
            <w:gridSpan w:val="2"/>
          </w:tcPr>
          <w:p>
            <w:pPr>
              <w:spacing w:after="0"/>
              <w:rPr>
                <w:sz w:val="11"/>
                <w:szCs w:val="11"/>
                <w:color w:val="auto"/>
              </w:rPr>
            </w:pPr>
          </w:p>
        </w:tc>
        <w:tc>
          <w:tcPr>
            <w:tcW w:w="2920" w:type="dxa"/>
            <w:vAlign w:val="bottom"/>
            <w:tcBorders>
              <w:bottom w:val="single" w:sz="8" w:color="auto"/>
            </w:tcBorders>
            <w:gridSpan w:val="3"/>
          </w:tcPr>
          <w:p>
            <w:pPr>
              <w:spacing w:after="0"/>
              <w:rPr>
                <w:sz w:val="11"/>
                <w:szCs w:val="11"/>
                <w:color w:val="auto"/>
              </w:rPr>
            </w:pPr>
          </w:p>
        </w:tc>
        <w:tc>
          <w:tcPr>
            <w:tcW w:w="2800" w:type="dxa"/>
            <w:vAlign w:val="bottom"/>
            <w:tcBorders>
              <w:bottom w:val="single" w:sz="8" w:color="auto"/>
            </w:tcBorders>
            <w:gridSpan w:val="6"/>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2"/>
          </w:tcPr>
          <w:p>
            <w:pPr>
              <w:ind w:left="1620"/>
              <w:spacing w:after="0"/>
              <w:rPr>
                <w:sz w:val="20"/>
                <w:szCs w:val="20"/>
                <w:color w:val="auto"/>
              </w:rPr>
            </w:pPr>
            <w:r>
              <w:rPr>
                <w:rFonts w:ascii="Arial" w:cs="Arial" w:eastAsia="Arial" w:hAnsi="Arial"/>
                <w:sz w:val="18"/>
                <w:szCs w:val="18"/>
                <w:b w:val="1"/>
                <w:bCs w:val="1"/>
                <w:color w:val="auto"/>
              </w:rPr>
              <w:t>333 Clay Street, Suite 1600</w:t>
            </w:r>
          </w:p>
        </w:tc>
        <w:tc>
          <w:tcPr>
            <w:tcW w:w="2920" w:type="dxa"/>
            <w:vAlign w:val="bottom"/>
            <w:gridSpan w:val="3"/>
          </w:tcPr>
          <w:p>
            <w:pPr>
              <w:jc w:val="right"/>
              <w:ind w:right="712"/>
              <w:spacing w:after="0"/>
              <w:rPr>
                <w:sz w:val="20"/>
                <w:szCs w:val="20"/>
                <w:color w:val="auto"/>
              </w:rPr>
            </w:pPr>
            <w:r>
              <w:rPr>
                <w:rFonts w:ascii="Arial" w:cs="Arial" w:eastAsia="Arial" w:hAnsi="Arial"/>
                <w:sz w:val="18"/>
                <w:szCs w:val="18"/>
                <w:b w:val="1"/>
                <w:bCs w:val="1"/>
                <w:color w:val="auto"/>
              </w:rPr>
              <w:t>Houston, Texas 77002</w:t>
            </w:r>
          </w:p>
        </w:tc>
        <w:tc>
          <w:tcPr>
            <w:tcW w:w="280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713-646-4100 / 866-809-1291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6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(G) 2021 Guidance forecasts are intended to be + / - amounts.</w:t>
      </w:r>
    </w:p>
    <w:p>
      <w:pPr>
        <w:spacing w:after="0" w:line="117" w:lineRule="exact"/>
        <w:rPr>
          <w:sz w:val="20"/>
          <w:szCs w:val="20"/>
          <w:color w:val="auto"/>
        </w:rPr>
      </w:pPr>
    </w:p>
    <w:p>
      <w:pPr>
        <w:ind w:left="340" w:right="100" w:hanging="332"/>
        <w:spacing w:after="0" w:line="259" w:lineRule="auto"/>
        <w:tabs>
          <w:tab w:leader="none" w:pos="32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2019 and 2020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58"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3" w:lineRule="exact"/>
        <w:rPr>
          <w:rFonts w:ascii="Arial" w:cs="Arial" w:eastAsia="Arial" w:hAnsi="Arial"/>
          <w:sz w:val="22"/>
          <w:szCs w:val="22"/>
          <w:color w:val="auto"/>
          <w:vertAlign w:val="superscript"/>
        </w:rPr>
      </w:pPr>
    </w:p>
    <w:p>
      <w:pPr>
        <w:ind w:left="340" w:right="260" w:hanging="332"/>
        <w:spacing w:after="0" w:line="234"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2019 and 2020. 2021(G) reflects the current annualized distribution requirement of $2.10 per Series A preferred unit and the current annualized distribution requirement of $61.25 per Series B preferred unit. Distributions on our Series B preferred units are payable in cash semi-annually in arrears on May 15 and November 15.</w:t>
      </w:r>
    </w:p>
    <w:p>
      <w:pPr>
        <w:spacing w:after="0" w:line="83"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Cash distributions per common unit paid during 2019 and 2020. 2021(G) reflects the current annualized distribution rate of $0.72 per common unit.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ind w:right="160" w:firstLine="180"/>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Q4 2020</w:t>
            </w:r>
          </w:p>
        </w:tc>
        <w:tc>
          <w:tcPr>
            <w:tcW w:w="24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Q3 2020</w:t>
            </w:r>
          </w:p>
        </w:tc>
        <w:tc>
          <w:tcPr>
            <w:tcW w:w="240" w:type="dxa"/>
            <w:vAlign w:val="bottom"/>
          </w:tcPr>
          <w:p>
            <w:pPr>
              <w:spacing w:after="0"/>
              <w:rPr>
                <w:sz w:val="18"/>
                <w:szCs w:val="18"/>
                <w:color w:val="auto"/>
              </w:rPr>
            </w:pPr>
          </w:p>
        </w:tc>
        <w:tc>
          <w:tcPr>
            <w:tcW w:w="1060" w:type="dxa"/>
            <w:vAlign w:val="bottom"/>
          </w:tcPr>
          <w:p>
            <w:pPr>
              <w:jc w:val="right"/>
              <w:ind w:right="273"/>
              <w:spacing w:after="0"/>
              <w:rPr>
                <w:sz w:val="20"/>
                <w:szCs w:val="20"/>
                <w:color w:val="auto"/>
              </w:rPr>
            </w:pPr>
            <w:r>
              <w:rPr>
                <w:rFonts w:ascii="Arial" w:cs="Arial" w:eastAsia="Arial" w:hAnsi="Arial"/>
                <w:sz w:val="16"/>
                <w:szCs w:val="16"/>
                <w:b w:val="1"/>
                <w:bCs w:val="1"/>
                <w:color w:val="auto"/>
              </w:rPr>
              <w:t>Q4 2019</w:t>
            </w:r>
          </w:p>
        </w:tc>
      </w:tr>
      <w:tr>
        <w:trPr>
          <w:trHeight w:val="22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0.36</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Q4 2020 distribution percentage change from prior periods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
        </w:trPr>
        <w:tc>
          <w:tcPr>
            <w:tcW w:w="7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PAA and PAGP will hold a joint conference call at 4:30 p.m. CT on Tuesday, February 9, 2021 to discuss the following items:</w:t>
      </w:r>
    </w:p>
    <w:p>
      <w:pPr>
        <w:spacing w:after="0" w:line="252" w:lineRule="exact"/>
        <w:rPr>
          <w:sz w:val="20"/>
          <w:szCs w:val="20"/>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PAA’s fourth-quarter and full-year 2020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operating guidance.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https://event.webcasts.com/starthere.jsp?ei=1418937&amp;tp_key=f158236b02.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Alternatively, the webcast can be accessed on our website (www.plainsallamerican.com) under Investor Relations (Navigate to: Investor Relations</w:t>
      </w:r>
    </w:p>
    <w:p>
      <w:pPr>
        <w:spacing w:after="0" w:line="46" w:lineRule="exact"/>
        <w:rPr>
          <w:sz w:val="20"/>
          <w:szCs w:val="20"/>
          <w:color w:val="auto"/>
        </w:rPr>
      </w:pPr>
    </w:p>
    <w:p>
      <w:pPr>
        <w:jc w:val="both"/>
        <w:ind w:right="420" w:firstLine="8"/>
        <w:spacing w:after="0" w:line="255" w:lineRule="auto"/>
        <w:tabs>
          <w:tab w:leader="none" w:pos="95"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 “PAA” or “PAGP” / News &amp; Events / Quarterly Earnings). Following the live webcast, an audio replay in MP3 format will be available on our website within two hours after the end of the call and will be accessible for a period of 365 days. A transcript will also be available after the call at the above referenced website.</w:t>
      </w:r>
    </w:p>
    <w:p>
      <w:pPr>
        <w:spacing w:after="0" w:line="176" w:lineRule="exact"/>
        <w:rPr>
          <w:rFonts w:ascii="Arial" w:cs="Arial" w:eastAsia="Arial" w:hAnsi="Arial"/>
          <w:sz w:val="18"/>
          <w:szCs w:val="18"/>
          <w:color w:val="auto"/>
        </w:rPr>
      </w:pPr>
    </w:p>
    <w:p>
      <w:pPr>
        <w:ind w:left="5440" w:hanging="106"/>
        <w:spacing w:after="0"/>
        <w:tabs>
          <w:tab w:leader="none" w:pos="5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5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211"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w:t>
      </w:r>
    </w:p>
    <w:p>
      <w:pPr>
        <w:spacing w:after="0" w:line="19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certain other non-GAAP financial performance measures are reconciled to Net Income/(Loss),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Annual Report on Form 10-K.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distributions to, contributions from and proceeds from the sale of noncontrolling interests. Free Cash Flow is further reduced by cash distributions paid to our preferred and common unitholders to arrive at Free Cash Flow After Distributions.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w:t>
      </w:r>
    </w:p>
    <w:p>
      <w:pPr>
        <w:spacing w:after="0" w:line="293" w:lineRule="exact"/>
        <w:rPr>
          <w:sz w:val="20"/>
          <w:szCs w:val="20"/>
          <w:color w:val="auto"/>
        </w:rPr>
      </w:pPr>
    </w:p>
    <w:p>
      <w:pPr>
        <w:ind w:left="660" w:right="40" w:hanging="328"/>
        <w:spacing w:after="0" w:line="244"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further declines in global crude oil demand and crude oil prices that correspondingly lead to a significant reduction of domestic crude oil, natural gas liquids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135" w:lineRule="exact"/>
        <w:rPr>
          <w:rFonts w:ascii="Arial" w:cs="Arial" w:eastAsia="Arial" w:hAnsi="Arial"/>
          <w:sz w:val="22"/>
          <w:szCs w:val="22"/>
          <w:color w:val="auto"/>
        </w:rPr>
      </w:pPr>
    </w:p>
    <w:p>
      <w:pPr>
        <w:ind w:left="660" w:right="520" w:hanging="328"/>
        <w:spacing w:after="0" w:line="241"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uncertainty regarding the future impacts of COVID-19, which may depend on the development, deployment and effectiveness of vaccines; treatments and testing protocols; mutations of the virus resulting in increased transmissibility or severity of the disease or decreasing the effectiveness of vaccines or treatments; the capacity of our healthcare systems and public health infrastructure to manage current and future outbreaks; and various political and economic restrictions;</w:t>
      </w:r>
    </w:p>
    <w:p>
      <w:pPr>
        <w:spacing w:after="0" w:line="134" w:lineRule="exact"/>
        <w:rPr>
          <w:rFonts w:ascii="Arial" w:cs="Arial" w:eastAsia="Arial" w:hAnsi="Arial"/>
          <w:sz w:val="22"/>
          <w:szCs w:val="22"/>
          <w:color w:val="auto"/>
        </w:rPr>
      </w:pPr>
    </w:p>
    <w:p>
      <w:pPr>
        <w:ind w:left="660" w:right="400" w:hanging="328"/>
        <w:spacing w:after="0" w:line="297" w:lineRule="auto"/>
        <w:tabs>
          <w:tab w:leader="none" w:pos="655" w:val="left"/>
        </w:tabs>
        <w:numPr>
          <w:ilvl w:val="0"/>
          <w:numId w:val="10"/>
        </w:numPr>
        <w:rPr>
          <w:rFonts w:ascii="Arial" w:cs="Arial" w:eastAsia="Arial" w:hAnsi="Arial"/>
          <w:sz w:val="19"/>
          <w:szCs w:val="19"/>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82" w:lineRule="exact"/>
        <w:rPr>
          <w:rFonts w:ascii="Arial" w:cs="Arial" w:eastAsia="Arial" w:hAnsi="Arial"/>
          <w:sz w:val="19"/>
          <w:szCs w:val="19"/>
          <w:color w:val="auto"/>
        </w:rPr>
      </w:pPr>
    </w:p>
    <w:p>
      <w:pPr>
        <w:ind w:left="660" w:right="24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timing of a return to market conditions that are more conducive to an increase in drilling and production activities in the United States and a resulting increase in demand for the midstream services we provide;</w:t>
      </w:r>
    </w:p>
    <w:p>
      <w:pPr>
        <w:spacing w:after="0" w:line="135" w:lineRule="exact"/>
        <w:rPr>
          <w:rFonts w:ascii="Arial" w:cs="Arial" w:eastAsia="Arial" w:hAnsi="Arial"/>
          <w:sz w:val="22"/>
          <w:szCs w:val="22"/>
          <w:color w:val="auto"/>
        </w:rPr>
      </w:pPr>
    </w:p>
    <w:p>
      <w:pPr>
        <w:ind w:left="660" w:hanging="328"/>
        <w:spacing w:after="0" w:line="284" w:lineRule="auto"/>
        <w:tabs>
          <w:tab w:leader="none" w:pos="655" w:val="left"/>
        </w:tabs>
        <w:numPr>
          <w:ilvl w:val="0"/>
          <w:numId w:val="10"/>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jc w:val="both"/>
        <w:ind w:left="660" w:right="680" w:hanging="328"/>
        <w:spacing w:after="0" w:line="297" w:lineRule="auto"/>
        <w:tabs>
          <w:tab w:leader="none" w:pos="655" w:val="left"/>
        </w:tabs>
        <w:numPr>
          <w:ilvl w:val="0"/>
          <w:numId w:val="10"/>
        </w:numPr>
        <w:rPr>
          <w:rFonts w:ascii="Arial" w:cs="Arial" w:eastAsia="Arial" w:hAnsi="Arial"/>
          <w:sz w:val="19"/>
          <w:szCs w:val="19"/>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68" w:lineRule="exact"/>
        <w:rPr>
          <w:rFonts w:ascii="Arial" w:cs="Arial" w:eastAsia="Arial" w:hAnsi="Arial"/>
          <w:sz w:val="19"/>
          <w:szCs w:val="19"/>
          <w:color w:val="auto"/>
        </w:rPr>
      </w:pPr>
    </w:p>
    <w:p>
      <w:pPr>
        <w:ind w:left="660" w:right="540" w:hanging="328"/>
        <w:spacing w:after="0" w:line="191"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ind w:left="5440" w:hanging="106"/>
        <w:spacing w:after="0"/>
        <w:tabs>
          <w:tab w:leader="none" w:pos="5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Factors:</w:t>
      </w:r>
    </w:p>
    <w:p>
      <w:pPr>
        <w:spacing w:after="0" w:line="2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effects of competition, including the effects of capacity overbuild in areas where we operate;</w:t>
      </w:r>
    </w:p>
    <w:p>
      <w:pPr>
        <w:spacing w:after="0" w:line="134" w:lineRule="exact"/>
        <w:rPr>
          <w:rFonts w:ascii="Arial" w:cs="Arial" w:eastAsia="Arial" w:hAnsi="Arial"/>
          <w:sz w:val="22"/>
          <w:szCs w:val="22"/>
          <w:color w:val="auto"/>
        </w:rPr>
      </w:pPr>
    </w:p>
    <w:p>
      <w:pPr>
        <w:ind w:left="660" w:right="100" w:hanging="328"/>
        <w:spacing w:after="0" w:line="251" w:lineRule="auto"/>
        <w:tabs>
          <w:tab w:leader="none" w:pos="655" w:val="left"/>
        </w:tabs>
        <w:numPr>
          <w:ilvl w:val="0"/>
          <w:numId w:val="11"/>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4" w:lineRule="exact"/>
        <w:rPr>
          <w:rFonts w:ascii="Arial" w:cs="Arial" w:eastAsia="Arial" w:hAnsi="Arial"/>
          <w:sz w:val="22"/>
          <w:szCs w:val="22"/>
          <w:color w:val="auto"/>
        </w:rPr>
      </w:pPr>
    </w:p>
    <w:p>
      <w:pPr>
        <w:ind w:left="660" w:right="18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4" w:lineRule="exact"/>
        <w:rPr>
          <w:rFonts w:ascii="Arial" w:cs="Arial" w:eastAsia="Arial" w:hAnsi="Arial"/>
          <w:sz w:val="22"/>
          <w:szCs w:val="22"/>
          <w:color w:val="auto"/>
        </w:rPr>
      </w:pPr>
    </w:p>
    <w:p>
      <w:pPr>
        <w:ind w:left="660" w:right="62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135" w:lineRule="exact"/>
        <w:rPr>
          <w:rFonts w:ascii="Arial" w:cs="Arial" w:eastAsia="Arial" w:hAnsi="Arial"/>
          <w:sz w:val="22"/>
          <w:szCs w:val="22"/>
          <w:color w:val="auto"/>
        </w:rPr>
      </w:pPr>
    </w:p>
    <w:p>
      <w:pPr>
        <w:ind w:left="660" w:right="10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inability to reduce capital expenditures and other costs and expenses and to sustain reduced spending levels to the extent forecasted, whether due to the incurrence of unexpected or unplanned expenditures, third-party claims or other factors;</w:t>
      </w:r>
    </w:p>
    <w:p>
      <w:pPr>
        <w:spacing w:after="0" w:line="135" w:lineRule="exact"/>
        <w:rPr>
          <w:rFonts w:ascii="Arial" w:cs="Arial" w:eastAsia="Arial" w:hAnsi="Arial"/>
          <w:sz w:val="22"/>
          <w:szCs w:val="22"/>
          <w:color w:val="auto"/>
        </w:rPr>
      </w:pPr>
    </w:p>
    <w:p>
      <w:pPr>
        <w:ind w:left="660" w:right="640" w:hanging="328"/>
        <w:spacing w:after="0" w:line="251" w:lineRule="auto"/>
        <w:tabs>
          <w:tab w:leader="none" w:pos="655" w:val="left"/>
        </w:tabs>
        <w:numPr>
          <w:ilvl w:val="0"/>
          <w:numId w:val="11"/>
        </w:numPr>
        <w:rPr>
          <w:rFonts w:ascii="Arial" w:cs="Arial" w:eastAsia="Arial" w:hAnsi="Arial"/>
          <w:sz w:val="21"/>
          <w:szCs w:val="21"/>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23" w:lineRule="exact"/>
        <w:rPr>
          <w:rFonts w:ascii="Arial" w:cs="Arial" w:eastAsia="Arial" w:hAnsi="Arial"/>
          <w:sz w:val="21"/>
          <w:szCs w:val="21"/>
          <w:color w:val="auto"/>
        </w:rPr>
      </w:pPr>
    </w:p>
    <w:p>
      <w:pPr>
        <w:ind w:left="660" w:right="320" w:hanging="328"/>
        <w:spacing w:after="0" w:line="232"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34" w:lineRule="exact"/>
        <w:rPr>
          <w:rFonts w:ascii="Arial" w:cs="Arial" w:eastAsia="Arial" w:hAnsi="Arial"/>
          <w:sz w:val="22"/>
          <w:szCs w:val="22"/>
          <w:color w:val="auto"/>
        </w:rPr>
      </w:pPr>
    </w:p>
    <w:p>
      <w:pPr>
        <w:ind w:left="660" w:right="80" w:hanging="328"/>
        <w:spacing w:after="0" w:line="258"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 or that prohibit the development of oil and gas resources and the related infrastructure on lands dedicated to our pipelines;</w:t>
      </w:r>
    </w:p>
    <w:p>
      <w:pPr>
        <w:spacing w:after="0" w:line="120" w:lineRule="exact"/>
        <w:rPr>
          <w:rFonts w:ascii="Arial" w:cs="Arial" w:eastAsia="Arial" w:hAnsi="Arial"/>
          <w:sz w:val="22"/>
          <w:szCs w:val="22"/>
          <w:color w:val="auto"/>
        </w:rPr>
      </w:pPr>
    </w:p>
    <w:p>
      <w:pPr>
        <w:ind w:left="660" w:hanging="328"/>
        <w:spacing w:after="0" w:line="297" w:lineRule="auto"/>
        <w:tabs>
          <w:tab w:leader="none" w:pos="655" w:val="left"/>
        </w:tabs>
        <w:numPr>
          <w:ilvl w:val="0"/>
          <w:numId w:val="11"/>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41" w:lineRule="exact"/>
        <w:rPr>
          <w:rFonts w:ascii="Arial" w:cs="Arial" w:eastAsia="Arial" w:hAnsi="Arial"/>
          <w:sz w:val="19"/>
          <w:szCs w:val="19"/>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of producers, who have made commitments to our pipelines, to access capital to fund their drilling and completion activities;</w:t>
      </w:r>
    </w:p>
    <w:p>
      <w:pPr>
        <w:spacing w:after="0" w:line="157" w:lineRule="exact"/>
        <w:rPr>
          <w:rFonts w:ascii="Arial" w:cs="Arial" w:eastAsia="Arial" w:hAnsi="Arial"/>
          <w:sz w:val="18"/>
          <w:szCs w:val="18"/>
          <w:color w:val="auto"/>
        </w:rPr>
      </w:pPr>
    </w:p>
    <w:p>
      <w:pPr>
        <w:ind w:left="660" w:right="20" w:hanging="328"/>
        <w:spacing w:after="0" w:line="238"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currency exchange rate of the Canadian dollar;</w:t>
      </w:r>
    </w:p>
    <w:p>
      <w:pPr>
        <w:spacing w:after="0" w:line="53" w:lineRule="exact"/>
        <w:rPr>
          <w:rFonts w:ascii="Arial" w:cs="Arial" w:eastAsia="Arial" w:hAnsi="Arial"/>
          <w:sz w:val="22"/>
          <w:szCs w:val="22"/>
          <w:color w:val="auto"/>
        </w:rPr>
      </w:pPr>
    </w:p>
    <w:p>
      <w:pPr>
        <w:ind w:left="5440" w:hanging="106"/>
        <w:spacing w:after="0"/>
        <w:tabs>
          <w:tab w:leader="none" w:pos="5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60"/>
          </w:cols>
          <w:pgMar w:left="320" w:top="368"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82" w:lineRule="exact"/>
        <w:rPr>
          <w:sz w:val="20"/>
          <w:szCs w:val="20"/>
          <w:color w:val="auto"/>
        </w:rPr>
      </w:pPr>
    </w:p>
    <w:p>
      <w:pPr>
        <w:ind w:left="660" w:right="8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35"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non-utilization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11" w:lineRule="exact"/>
        <w:rPr>
          <w:rFonts w:ascii="Arial" w:cs="Arial" w:eastAsia="Arial" w:hAnsi="Arial"/>
          <w:sz w:val="21"/>
          <w:szCs w:val="21"/>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34" w:lineRule="exact"/>
        <w:rPr>
          <w:rFonts w:ascii="Arial" w:cs="Arial" w:eastAsia="Arial" w:hAnsi="Arial"/>
          <w:sz w:val="21"/>
          <w:szCs w:val="21"/>
          <w:color w:val="auto"/>
        </w:rPr>
      </w:pPr>
    </w:p>
    <w:p>
      <w:pPr>
        <w:ind w:left="660" w:hanging="328"/>
        <w:spacing w:after="0"/>
        <w:tabs>
          <w:tab w:leader="none" w:pos="660" w:val="left"/>
        </w:tabs>
        <w:numPr>
          <w:ilvl w:val="0"/>
          <w:numId w:val="12"/>
        </w:numPr>
        <w:rPr>
          <w:rFonts w:ascii="Arial" w:cs="Arial" w:eastAsia="Arial" w:hAnsi="Arial"/>
          <w:sz w:val="19"/>
          <w:szCs w:val="19"/>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146" w:lineRule="exact"/>
        <w:rPr>
          <w:rFonts w:ascii="Arial" w:cs="Arial" w:eastAsia="Arial" w:hAnsi="Arial"/>
          <w:sz w:val="19"/>
          <w:szCs w:val="19"/>
          <w:color w:val="auto"/>
        </w:rPr>
      </w:pPr>
    </w:p>
    <w:p>
      <w:pPr>
        <w:ind w:left="660" w:right="60" w:hanging="328"/>
        <w:spacing w:after="0" w:line="238"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 as discussed in the Partnerships’ filings with the Securities and Exchange Commission.</w:t>
      </w:r>
    </w:p>
    <w:p>
      <w:pPr>
        <w:spacing w:after="0" w:line="2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21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080"/>
          </w:cols>
          <w:pgMar w:left="320" w:top="368"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73"/>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25,665</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31,681</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INCOME/(LOSS)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5"/>
          </w:tcPr>
          <w:p>
            <w:pPr>
              <w:spacing w:after="0"/>
              <w:rPr>
                <w:sz w:val="20"/>
                <w:szCs w:val="20"/>
                <w:color w:val="auto"/>
              </w:rPr>
            </w:pPr>
            <w:r>
              <w:rPr>
                <w:rFonts w:ascii="Arial" w:cs="Arial" w:eastAsia="Arial" w:hAnsi="Arial"/>
                <w:sz w:val="18"/>
                <w:szCs w:val="18"/>
                <w:color w:val="auto"/>
              </w:rPr>
              <w:t>Gain on/(impairment of) investments in unconsolidated entities, net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INCOME/(LOSS) BEFORE TAX</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Deferred income tax benefit</w:t>
            </w:r>
          </w:p>
        </w:tc>
        <w:tc>
          <w:tcPr>
            <w:tcW w:w="1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ATTRIBUTABLE TO PAA</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INCOME/(LOSS) PER COMMON UNIT:</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Net income/(loss) allocated to common unitholders — Basic</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Basic weighted average common units outstanding</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 net income/(loss) per common unit</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Net income/(loss) allocated to common unitholders — Diluted</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ind w:left="120"/>
              <w:spacing w:after="0"/>
              <w:rPr>
                <w:sz w:val="20"/>
                <w:szCs w:val="20"/>
                <w:color w:val="auto"/>
              </w:rPr>
            </w:pPr>
            <w:r>
              <w:rPr>
                <w:rFonts w:ascii="Arial" w:cs="Arial" w:eastAsia="Arial" w:hAnsi="Arial"/>
                <w:sz w:val="18"/>
                <w:szCs w:val="18"/>
                <w:color w:val="auto"/>
              </w:rPr>
              <w:t>Diluted weighted average common units outstanding</w:t>
            </w: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Diluted net income/(loss) per common unit</w:t>
            </w:r>
          </w:p>
        </w:tc>
        <w:tc>
          <w:tcPr>
            <w:tcW w:w="1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72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 except per unit data)</w:t>
            </w:r>
          </w:p>
        </w:tc>
        <w:tc>
          <w:tcPr>
            <w:tcW w:w="1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33"/>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9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840" w:type="dxa"/>
            <w:vAlign w:val="bottom"/>
            <w:gridSpan w:val="3"/>
          </w:tcPr>
          <w:p>
            <w:pPr>
              <w:jc w:val="right"/>
              <w:ind w:right="550"/>
              <w:spacing w:after="0"/>
              <w:rPr>
                <w:sz w:val="20"/>
                <w:szCs w:val="20"/>
                <w:color w:val="auto"/>
              </w:rPr>
            </w:pPr>
            <w:r>
              <w:rPr>
                <w:rFonts w:ascii="Arial" w:cs="Arial" w:eastAsia="Arial" w:hAnsi="Arial"/>
                <w:sz w:val="18"/>
                <w:szCs w:val="18"/>
                <w:color w:val="auto"/>
              </w:rPr>
              <w:t>- more -</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1840" w:type="dxa"/>
            <w:vAlign w:val="bottom"/>
            <w:tcBorders>
              <w:bottom w:val="single" w:sz="8" w:color="auto"/>
            </w:tcBorders>
            <w:gridSpan w:val="3"/>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5"/>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18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0"/>
              </w:rPr>
              <w:t>Houston, Texas 77002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6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3,665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14,611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3,764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right-of-use assets,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24,497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4,253</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9,071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14,759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9,593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partners’ capital</w:t>
            </w:r>
          </w:p>
        </w:tc>
        <w:tc>
          <w:tcPr>
            <w:tcW w:w="2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9,738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24,497</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720" w:type="dxa"/>
            <w:vAlign w:val="bottom"/>
            <w:gridSpan w:val="3"/>
            <w:vMerge w:val="continue"/>
          </w:tcPr>
          <w:p>
            <w:pPr>
              <w:spacing w:after="0"/>
              <w:rPr>
                <w:sz w:val="24"/>
                <w:szCs w:val="24"/>
                <w:color w:val="auto"/>
              </w:rPr>
            </w:pPr>
          </w:p>
        </w:tc>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2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9,382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9,691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9,382</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9,187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Partners’ capital</w:t>
            </w:r>
          </w:p>
        </w:tc>
        <w:tc>
          <w:tcPr>
            <w:tcW w:w="2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9,738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13,195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2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22,382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book capitalization, including short-term debt</w:t>
            </w:r>
          </w:p>
        </w:tc>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19,951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22,886</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60" w:type="dxa"/>
            <w:vAlign w:val="bottom"/>
          </w:tcPr>
          <w:p>
            <w:pPr>
              <w:jc w:val="center"/>
              <w:ind w:right="350"/>
              <w:spacing w:after="0"/>
              <w:rPr>
                <w:sz w:val="20"/>
                <w:szCs w:val="20"/>
                <w:color w:val="auto"/>
              </w:rPr>
            </w:pPr>
            <w:r>
              <w:rPr>
                <w:rFonts w:ascii="Arial" w:cs="Arial" w:eastAsia="Arial" w:hAnsi="Arial"/>
                <w:sz w:val="18"/>
                <w:szCs w:val="18"/>
                <w:color w:val="auto"/>
                <w:w w:val="91"/>
              </w:rPr>
              <w:t>- more -</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gridSpan w:val="5"/>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26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Houston, Texas 77002</w:t>
            </w:r>
          </w:p>
        </w:tc>
        <w:tc>
          <w:tcPr>
            <w:tcW w:w="276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713-646-4100 / 866-809-1291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6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211"/>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Common Unit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760" w:type="dxa"/>
            <w:vAlign w:val="bottom"/>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2,171</w:t>
            </w: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6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16"/>
        </w:trPr>
        <w:tc>
          <w:tcPr>
            <w:tcW w:w="6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6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Diluted Net Income/(Loss) per Common Unit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2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6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5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340" w:right="60" w:hanging="332"/>
        <w:spacing w:after="0" w:line="226"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0" w:lineRule="exact"/>
        <w:rPr>
          <w:rFonts w:ascii="Arial" w:cs="Arial" w:eastAsia="Arial" w:hAnsi="Arial"/>
          <w:sz w:val="23"/>
          <w:szCs w:val="23"/>
          <w:color w:val="auto"/>
          <w:vertAlign w:val="superscript"/>
        </w:rPr>
      </w:pPr>
    </w:p>
    <w:p>
      <w:pPr>
        <w:ind w:left="340" w:right="300" w:hanging="332"/>
        <w:spacing w:after="0" w:line="229"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net income/(loss) per common unit for the three and twelve months ended December 31, 2020 and the three months ended December 31, 2019 as the effect was antidilutive.</w:t>
      </w:r>
    </w:p>
    <w:p>
      <w:pPr>
        <w:spacing w:after="0" w:line="31" w:lineRule="exact"/>
        <w:rPr>
          <w:rFonts w:ascii="Arial" w:cs="Arial" w:eastAsia="Arial" w:hAnsi="Arial"/>
          <w:sz w:val="22"/>
          <w:szCs w:val="22"/>
          <w:color w:val="auto"/>
          <w:vertAlign w:val="superscript"/>
        </w:rPr>
      </w:pPr>
    </w:p>
    <w:p>
      <w:pPr>
        <w:ind w:left="340" w:right="20" w:hanging="332"/>
        <w:spacing w:after="0" w:line="227"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twelve months ended December 31, 2020, the effect of equity-indexed compensation plan awards was antidilutive.</w:t>
      </w:r>
    </w:p>
    <w:p>
      <w:pPr>
        <w:spacing w:after="0" w:line="180"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0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2019</w:t>
            </w:r>
          </w:p>
        </w:tc>
      </w:tr>
      <w:tr>
        <w:trPr>
          <w:trHeight w:val="197"/>
        </w:trPr>
        <w:tc>
          <w:tcPr>
            <w:tcW w:w="6640" w:type="dxa"/>
            <w:vAlign w:val="bottom"/>
            <w:shd w:val="clear" w:color="auto" w:fill="CCEEFF"/>
          </w:tcPr>
          <w:p>
            <w:pPr>
              <w:ind w:left="20"/>
              <w:spacing w:after="0" w:line="198"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6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Losses from derivative activities, net of inventory valuation adjustments </w:t>
            </w:r>
            <w:r>
              <w:rPr>
                <w:rFonts w:ascii="Arial" w:cs="Arial" w:eastAsia="Arial" w:hAnsi="Arial"/>
                <w:sz w:val="22"/>
                <w:szCs w:val="22"/>
                <w:color w:val="auto"/>
                <w:vertAlign w:val="superscript"/>
              </w:rPr>
              <w:t>(2)</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Pr>
          <w:p>
            <w:pPr>
              <w:spacing w:after="0"/>
              <w:rPr>
                <w:sz w:val="18"/>
                <w:szCs w:val="18"/>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66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664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Net gain on foreign currency revaluation </w:t>
            </w:r>
            <w:r>
              <w:rPr>
                <w:rFonts w:ascii="Arial" w:cs="Arial" w:eastAsia="Arial" w:hAnsi="Arial"/>
                <w:sz w:val="22"/>
                <w:szCs w:val="22"/>
                <w:color w:val="auto"/>
                <w:vertAlign w:val="superscript"/>
              </w:rPr>
              <w:t>(6)</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0"/>
        </w:trPr>
        <w:tc>
          <w:tcPr>
            <w:tcW w:w="6640" w:type="dxa"/>
            <w:vAlign w:val="bottom"/>
          </w:tcPr>
          <w:p>
            <w:pPr>
              <w:ind w:left="20"/>
              <w:spacing w:after="0" w:line="229" w:lineRule="exact"/>
              <w:rPr>
                <w:sz w:val="20"/>
                <w:szCs w:val="20"/>
                <w:color w:val="auto"/>
              </w:rPr>
            </w:pPr>
            <w:r>
              <w:rPr>
                <w:rFonts w:ascii="Arial" w:cs="Arial" w:eastAsia="Arial" w:hAnsi="Arial"/>
                <w:sz w:val="17"/>
                <w:szCs w:val="17"/>
                <w:color w:val="auto"/>
              </w:rPr>
              <w:t xml:space="preserve">Significant acquisition-related expenses </w:t>
            </w:r>
            <w:r>
              <w:rPr>
                <w:rFonts w:ascii="Arial" w:cs="Arial" w:eastAsia="Arial" w:hAnsi="Arial"/>
                <w:sz w:val="22"/>
                <w:szCs w:val="22"/>
                <w:color w:val="auto"/>
                <w:vertAlign w:val="superscript"/>
              </w:rPr>
              <w:t>(8)</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Net gain on early repayment of senior notes </w:t>
            </w:r>
            <w:r>
              <w:rPr>
                <w:rFonts w:ascii="Arial" w:cs="Arial" w:eastAsia="Arial" w:hAnsi="Arial"/>
                <w:sz w:val="22"/>
                <w:szCs w:val="22"/>
                <w:color w:val="auto"/>
                <w:vertAlign w:val="superscript"/>
              </w:rPr>
              <w:t>(9)</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640" w:type="dxa"/>
            <w:vAlign w:val="bottom"/>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(581)</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(146)</w:t>
            </w:r>
          </w:p>
        </w:tc>
      </w:tr>
      <w:tr>
        <w:trPr>
          <w:trHeight w:val="216"/>
        </w:trPr>
        <w:tc>
          <w:tcPr>
            <w:tcW w:w="66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Losses from derivative activities </w:t>
            </w:r>
            <w:r>
              <w:rPr>
                <w:rFonts w:ascii="Arial" w:cs="Arial" w:eastAsia="Arial" w:hAnsi="Arial"/>
                <w:sz w:val="22"/>
                <w:szCs w:val="22"/>
                <w:color w:val="auto"/>
                <w:vertAlign w:val="superscript"/>
              </w:rPr>
              <w:t>(2)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6640" w:type="dxa"/>
            <w:vAlign w:val="bottom"/>
          </w:tcPr>
          <w:p>
            <w:pPr>
              <w:ind w:left="20"/>
              <w:spacing w:after="0"/>
              <w:rPr>
                <w:sz w:val="20"/>
                <w:szCs w:val="20"/>
                <w:color w:val="auto"/>
              </w:rPr>
            </w:pPr>
            <w:r>
              <w:rPr>
                <w:rFonts w:ascii="Arial" w:cs="Arial" w:eastAsia="Arial" w:hAnsi="Arial"/>
                <w:sz w:val="17"/>
                <w:szCs w:val="17"/>
                <w:color w:val="auto"/>
              </w:rPr>
              <w:t>Gain on/(impairment of) investments in unconsolidated entities, net</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640" w:type="dxa"/>
            <w:vAlign w:val="bottom"/>
          </w:tcPr>
          <w:p>
            <w:pPr>
              <w:ind w:left="20"/>
              <w:spacing w:after="0"/>
              <w:rPr>
                <w:sz w:val="20"/>
                <w:szCs w:val="20"/>
                <w:color w:val="auto"/>
              </w:rPr>
            </w:pPr>
            <w:r>
              <w:rPr>
                <w:rFonts w:ascii="Arial" w:cs="Arial" w:eastAsia="Arial" w:hAnsi="Arial"/>
                <w:sz w:val="17"/>
                <w:szCs w:val="17"/>
                <w:color w:val="auto"/>
              </w:rPr>
              <w:t>Goodwill impairment losses</w:t>
            </w: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09"/>
        </w:trPr>
        <w:tc>
          <w:tcPr>
            <w:tcW w:w="6640" w:type="dxa"/>
            <w:vAlign w:val="bottom"/>
          </w:tcPr>
          <w:p>
            <w:pPr>
              <w:ind w:left="18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r>
      <w:tr>
        <w:trPr>
          <w:trHeight w:val="21"/>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52" w:lineRule="exact"/>
        <w:rPr>
          <w:rFonts w:ascii="Arial" w:cs="Arial" w:eastAsia="Arial" w:hAnsi="Arial"/>
          <w:sz w:val="16"/>
          <w:szCs w:val="16"/>
          <w:color w:val="auto"/>
          <w:vertAlign w:val="superscript"/>
        </w:rPr>
      </w:pPr>
    </w:p>
    <w:p>
      <w:pPr>
        <w:ind w:left="340" w:right="60" w:hanging="332"/>
        <w:spacing w:after="0" w:line="228" w:lineRule="auto"/>
        <w:tabs>
          <w:tab w:leader="none" w:pos="327"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w:t>
      </w:r>
    </w:p>
    <w:p>
      <w:pPr>
        <w:spacing w:after="0" w:line="43" w:lineRule="exact"/>
        <w:rPr>
          <w:rFonts w:ascii="Arial" w:cs="Arial" w:eastAsia="Arial" w:hAnsi="Arial"/>
          <w:sz w:val="16"/>
          <w:szCs w:val="16"/>
          <w:color w:val="auto"/>
          <w:vertAlign w:val="superscript"/>
        </w:rPr>
      </w:pPr>
    </w:p>
    <w:p>
      <w:pPr>
        <w:ind w:left="340" w:right="80" w:hanging="332"/>
        <w:spacing w:after="0" w:line="229" w:lineRule="auto"/>
        <w:tabs>
          <w:tab w:leader="none" w:pos="327"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44" w:lineRule="exact"/>
        <w:rPr>
          <w:rFonts w:ascii="Arial" w:cs="Arial" w:eastAsia="Arial" w:hAnsi="Arial"/>
          <w:sz w:val="16"/>
          <w:szCs w:val="16"/>
          <w:color w:val="auto"/>
          <w:vertAlign w:val="superscript"/>
        </w:rPr>
      </w:pPr>
    </w:p>
    <w:p>
      <w:pPr>
        <w:ind w:left="340" w:right="120" w:hanging="332"/>
        <w:spacing w:after="0" w:line="254" w:lineRule="auto"/>
        <w:tabs>
          <w:tab w:leader="none" w:pos="327" w:val="left"/>
        </w:tabs>
        <w:numPr>
          <w:ilvl w:val="0"/>
          <w:numId w:val="14"/>
        </w:numPr>
        <w:rPr>
          <w:rFonts w:ascii="Arial" w:cs="Arial" w:eastAsia="Arial" w:hAnsi="Arial"/>
          <w:sz w:val="15"/>
          <w:szCs w:val="15"/>
          <w:color w:val="auto"/>
          <w:vertAlign w:val="superscript"/>
        </w:rPr>
      </w:pPr>
      <w:r>
        <w:rPr>
          <w:rFonts w:ascii="Arial" w:cs="Arial" w:eastAsia="Arial" w:hAnsi="Arial"/>
          <w:sz w:val="12"/>
          <w:szCs w:val="12"/>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7" w:lineRule="exact"/>
        <w:rPr>
          <w:rFonts w:ascii="Arial" w:cs="Arial" w:eastAsia="Arial" w:hAnsi="Arial"/>
          <w:sz w:val="15"/>
          <w:szCs w:val="15"/>
          <w:color w:val="auto"/>
          <w:vertAlign w:val="superscript"/>
        </w:rPr>
      </w:pPr>
    </w:p>
    <w:p>
      <w:pPr>
        <w:ind w:left="340" w:right="60" w:hanging="332"/>
        <w:spacing w:after="0" w:line="250" w:lineRule="auto"/>
        <w:tabs>
          <w:tab w:leader="none" w:pos="327" w:val="left"/>
        </w:tabs>
        <w:numPr>
          <w:ilvl w:val="0"/>
          <w:numId w:val="14"/>
        </w:numPr>
        <w:rPr>
          <w:rFonts w:ascii="Arial" w:cs="Arial" w:eastAsia="Arial" w:hAnsi="Arial"/>
          <w:sz w:val="15"/>
          <w:szCs w:val="15"/>
          <w:color w:val="auto"/>
          <w:vertAlign w:val="superscript"/>
        </w:rPr>
      </w:pPr>
      <w:r>
        <w:rPr>
          <w:rFonts w:ascii="Arial" w:cs="Arial" w:eastAsia="Arial" w:hAnsi="Arial"/>
          <w:sz w:val="12"/>
          <w:szCs w:val="12"/>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w:t>
      </w:r>
    </w:p>
    <w:p>
      <w:pPr>
        <w:spacing w:after="0" w:line="37" w:lineRule="exact"/>
        <w:rPr>
          <w:rFonts w:ascii="Arial" w:cs="Arial" w:eastAsia="Arial" w:hAnsi="Arial"/>
          <w:sz w:val="15"/>
          <w:szCs w:val="15"/>
          <w:color w:val="auto"/>
          <w:vertAlign w:val="superscript"/>
        </w:rPr>
      </w:pPr>
    </w:p>
    <w:p>
      <w:pPr>
        <w:ind w:left="340" w:right="340" w:hanging="332"/>
        <w:spacing w:after="0" w:line="227" w:lineRule="auto"/>
        <w:tabs>
          <w:tab w:leader="none" w:pos="327"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8" w:lineRule="exact"/>
        <w:rPr>
          <w:rFonts w:ascii="Arial" w:cs="Arial" w:eastAsia="Arial" w:hAnsi="Arial"/>
          <w:sz w:val="16"/>
          <w:szCs w:val="16"/>
          <w:color w:val="auto"/>
          <w:vertAlign w:val="superscript"/>
        </w:rPr>
      </w:pPr>
    </w:p>
    <w:p>
      <w:pPr>
        <w:ind w:left="320" w:hanging="312"/>
        <w:spacing w:after="0"/>
        <w:tabs>
          <w:tab w:leader="none" w:pos="32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52" w:lineRule="exact"/>
        <w:rPr>
          <w:rFonts w:ascii="Arial" w:cs="Arial" w:eastAsia="Arial" w:hAnsi="Arial"/>
          <w:sz w:val="16"/>
          <w:szCs w:val="16"/>
          <w:color w:val="auto"/>
          <w:vertAlign w:val="superscript"/>
        </w:rPr>
      </w:pPr>
    </w:p>
    <w:p>
      <w:pPr>
        <w:ind w:left="320" w:hanging="312"/>
        <w:spacing w:after="0" w:line="195" w:lineRule="auto"/>
        <w:tabs>
          <w:tab w:leader="none" w:pos="32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Includes acquisition-related expenses associated with the acquisition of Felix Midstream LLC in February 2020.</w:t>
      </w:r>
    </w:p>
    <w:p>
      <w:pPr>
        <w:spacing w:after="0" w:line="53" w:lineRule="exact"/>
        <w:rPr>
          <w:rFonts w:ascii="Arial" w:cs="Arial" w:eastAsia="Arial" w:hAnsi="Arial"/>
          <w:sz w:val="16"/>
          <w:szCs w:val="16"/>
          <w:color w:val="auto"/>
          <w:vertAlign w:val="superscript"/>
        </w:rPr>
      </w:pPr>
    </w:p>
    <w:p>
      <w:pPr>
        <w:ind w:left="320" w:hanging="312"/>
        <w:spacing w:after="0" w:line="195" w:lineRule="auto"/>
        <w:tabs>
          <w:tab w:leader="none" w:pos="32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Includes net gains recognized in connection with the repurchase of our outstanding senior notes on the open market.</w:t>
      </w:r>
    </w:p>
    <w:p>
      <w:pPr>
        <w:spacing w:after="0" w:line="245" w:lineRule="exact"/>
        <w:rPr>
          <w:rFonts w:ascii="Arial" w:cs="Arial" w:eastAsia="Arial" w:hAnsi="Arial"/>
          <w:sz w:val="16"/>
          <w:szCs w:val="16"/>
          <w:color w:val="auto"/>
          <w:vertAlign w:val="superscript"/>
        </w:rPr>
      </w:pPr>
    </w:p>
    <w:p>
      <w:pPr>
        <w:ind w:left="5440" w:hanging="106"/>
        <w:spacing w:after="0"/>
        <w:tabs>
          <w:tab w:leader="none" w:pos="5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w w:val="96"/>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Adjusted Net Income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175"/>
        </w:trPr>
        <w:tc>
          <w:tcPr>
            <w:tcW w:w="6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Selected items impacting comparability - Adjusted net income attributable to PAA</w:t>
            </w:r>
          </w:p>
        </w:tc>
        <w:tc>
          <w:tcPr>
            <w:tcW w:w="74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w:t>
            </w: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56"/>
        </w:trPr>
        <w:tc>
          <w:tcPr>
            <w:tcW w:w="6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0.29</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0.64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Diluted Adjusted Net Income per Common Unit</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176"/>
        </w:trPr>
        <w:tc>
          <w:tcPr>
            <w:tcW w:w="6240" w:type="dxa"/>
            <w:vAlign w:val="bottom"/>
          </w:tcPr>
          <w:p>
            <w:pPr>
              <w:ind w:left="180"/>
              <w:spacing w:after="0" w:line="176" w:lineRule="exact"/>
              <w:rPr>
                <w:sz w:val="20"/>
                <w:szCs w:val="20"/>
                <w:color w:val="auto"/>
              </w:rPr>
            </w:pPr>
            <w:r>
              <w:rPr>
                <w:rFonts w:ascii="Arial" w:cs="Arial" w:eastAsia="Arial" w:hAnsi="Arial"/>
                <w:sz w:val="18"/>
                <w:szCs w:val="18"/>
                <w:color w:val="auto"/>
                <w:w w:val="93"/>
              </w:rPr>
              <w:t>Selected items impacting comparability - Adjusted net income attributable to PAA</w:t>
            </w:r>
          </w:p>
        </w:tc>
        <w:tc>
          <w:tcPr>
            <w:tcW w:w="74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62"/>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(2)</w:t>
            </w: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40" w:type="dxa"/>
            <w:vAlign w:val="bottom"/>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(3)</w:t>
            </w: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(4)</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7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74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40" w:right="100" w:hanging="332"/>
        <w:spacing w:after="0" w:line="248" w:lineRule="auto"/>
        <w:tabs>
          <w:tab w:leader="none" w:pos="327"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237"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46" w:lineRule="exact"/>
        <w:rPr>
          <w:rFonts w:ascii="Arial" w:cs="Arial" w:eastAsia="Arial" w:hAnsi="Arial"/>
          <w:sz w:val="19"/>
          <w:szCs w:val="19"/>
          <w:color w:val="auto"/>
          <w:vertAlign w:val="superscript"/>
        </w:rPr>
      </w:pPr>
    </w:p>
    <w:p>
      <w:pPr>
        <w:ind w:left="340" w:right="300" w:hanging="332"/>
        <w:spacing w:after="0" w:line="210" w:lineRule="auto"/>
        <w:tabs>
          <w:tab w:leader="none" w:pos="32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possible conversion of our Series A preferred units were excluded from the calculation of diluted net income per common unit for the three and twelve months ended December 31, 2020 as the effect was antidilutive.</w:t>
      </w:r>
    </w:p>
    <w:p>
      <w:pPr>
        <w:spacing w:after="0" w:line="33" w:lineRule="exact"/>
        <w:rPr>
          <w:rFonts w:ascii="Arial" w:cs="Arial" w:eastAsia="Arial" w:hAnsi="Arial"/>
          <w:sz w:val="19"/>
          <w:szCs w:val="19"/>
          <w:color w:val="auto"/>
          <w:vertAlign w:val="superscript"/>
        </w:rPr>
      </w:pPr>
    </w:p>
    <w:p>
      <w:pPr>
        <w:ind w:left="340" w:right="100" w:hanging="332"/>
        <w:spacing w:after="0" w:line="219" w:lineRule="auto"/>
        <w:tabs>
          <w:tab w:leader="none" w:pos="327"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December 31, 2020, there were no potentially dilutive equity-indexed compensation plan awards and for the twelve months ended December 31, 2020, the effect of equity-indexed compensation plan awards was antidilutive.</w:t>
      </w:r>
    </w:p>
    <w:p>
      <w:pPr>
        <w:spacing w:after="0" w:line="2" w:lineRule="exact"/>
        <w:rPr>
          <w:rFonts w:ascii="Arial" w:cs="Arial" w:eastAsia="Arial" w:hAnsi="Arial"/>
          <w:sz w:val="19"/>
          <w:szCs w:val="19"/>
          <w:color w:val="auto"/>
          <w:vertAlign w:val="superscript"/>
        </w:rPr>
      </w:pPr>
    </w:p>
    <w:p>
      <w:pPr>
        <w:ind w:left="5440" w:hanging="106"/>
        <w:spacing w:after="0"/>
        <w:tabs>
          <w:tab w:leader="none" w:pos="5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Adjusted Net Income Per Common Unit Reconciliations: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6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89"/>
              </w:rPr>
              <w:t>(0.11)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85"/>
              </w:rPr>
              <w:t>2.70</w:t>
            </w:r>
          </w:p>
        </w:tc>
      </w:tr>
      <w:tr>
        <w:trPr>
          <w:trHeight w:val="230"/>
        </w:trPr>
        <w:tc>
          <w:tcPr>
            <w:tcW w:w="6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0.40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85"/>
              </w:rPr>
              <w:t>5.38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93"/>
              </w:rPr>
              <w:t>(0.14)</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5"/>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85"/>
              </w:rPr>
              <w:t>2.56</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89"/>
              </w:rPr>
              <w:t>(0.11)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85"/>
              </w:rPr>
              <w:t>2.65</w:t>
            </w:r>
          </w:p>
        </w:tc>
      </w:tr>
      <w:tr>
        <w:trPr>
          <w:trHeight w:val="229"/>
        </w:trPr>
        <w:tc>
          <w:tcPr>
            <w:tcW w:w="6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0.40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85"/>
              </w:rPr>
              <w:t>5.38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13"/>
              <w:spacing w:after="0"/>
              <w:rPr>
                <w:sz w:val="20"/>
                <w:szCs w:val="20"/>
                <w:color w:val="auto"/>
              </w:rPr>
            </w:pPr>
            <w:r>
              <w:rPr>
                <w:rFonts w:ascii="Arial" w:cs="Arial" w:eastAsia="Arial" w:hAnsi="Arial"/>
                <w:sz w:val="18"/>
                <w:szCs w:val="18"/>
                <w:color w:val="auto"/>
                <w:w w:val="93"/>
              </w:rPr>
              <w:t>(0.14)</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5"/>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85"/>
              </w:rPr>
              <w:t>2.51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360" w:hanging="332"/>
        <w:spacing w:after="0" w:line="227"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242"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0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w w:val="98"/>
              </w:rPr>
              <w:t>December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to Adjusted EBITDA and Implied DCF Reconciliation</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Income tax expense/(benefit)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 losses</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Current income tax expense</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75"/>
        </w:trPr>
        <w:tc>
          <w:tcPr>
            <w:tcW w:w="6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Distributions from unconsolidated entities in excess of/(less than) adjusted equity</w:t>
            </w:r>
          </w:p>
        </w:tc>
        <w:tc>
          <w:tcPr>
            <w:tcW w:w="7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(4)</w:t>
            </w:r>
          </w:p>
        </w:tc>
        <w:tc>
          <w:tcPr>
            <w:tcW w:w="7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30"/>
        </w:trPr>
        <w:tc>
          <w:tcPr>
            <w:tcW w:w="62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(6)</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Weighted Average Common Units and Common Equivalent Units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162"/>
        </w:trPr>
        <w:tc>
          <w:tcPr>
            <w:tcW w:w="6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(7)</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0.45</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0.72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(8)</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0.46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Distribution Paid per Common Unit</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2.49x</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2.00x</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2.57x</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2.17x</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 Excess</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Adjustment to exclude our proportionate share of depreciation and amortization expense of unconsolidated entities.</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Certain of our non-GAAP financial measures may not be impacted by each of the selected items impacting comparability.</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Excludes certain non-cash items impacting interest expense such as amortization of debt issuance costs and terminated interest rate swaps.</w:t>
      </w:r>
    </w:p>
    <w:p>
      <w:pPr>
        <w:spacing w:after="0" w:line="49" w:lineRule="exact"/>
        <w:rPr>
          <w:rFonts w:ascii="Arial" w:cs="Arial" w:eastAsia="Arial" w:hAnsi="Arial"/>
          <w:sz w:val="15"/>
          <w:szCs w:val="15"/>
          <w:color w:val="auto"/>
          <w:vertAlign w:val="superscript"/>
        </w:rPr>
      </w:pPr>
    </w:p>
    <w:p>
      <w:pPr>
        <w:ind w:left="340" w:right="120" w:hanging="332"/>
        <w:spacing w:after="0" w:line="212" w:lineRule="auto"/>
        <w:tabs>
          <w:tab w:leader="none" w:pos="334"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Comprised of cash distributions received from unconsolidated entities less equity earnings in unconsolidated entities (adjusted for our proportionate share of depreciation and amortization and selected items impacting comparability of unconsolidated entities).</w:t>
      </w:r>
    </w:p>
    <w:p>
      <w:pPr>
        <w:spacing w:after="0" w:line="17" w:lineRule="exact"/>
        <w:rPr>
          <w:rFonts w:ascii="Arial" w:cs="Arial" w:eastAsia="Arial" w:hAnsi="Arial"/>
          <w:sz w:val="15"/>
          <w:szCs w:val="15"/>
          <w:color w:val="auto"/>
          <w:vertAlign w:val="superscript"/>
        </w:rPr>
      </w:pPr>
    </w:p>
    <w:p>
      <w:pPr>
        <w:ind w:left="320" w:hanging="312"/>
        <w:spacing w:after="0"/>
        <w:tabs>
          <w:tab w:leader="none" w:pos="32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during the period presented.</w:t>
      </w:r>
    </w:p>
    <w:p>
      <w:pPr>
        <w:spacing w:after="0" w:line="48"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Cash distributions paid to our preferred unitholders during the period presented.</w:t>
      </w:r>
    </w:p>
    <w:p>
      <w:pPr>
        <w:spacing w:after="0" w:line="49" w:lineRule="exact"/>
        <w:rPr>
          <w:rFonts w:ascii="Arial" w:cs="Arial" w:eastAsia="Arial" w:hAnsi="Arial"/>
          <w:sz w:val="15"/>
          <w:szCs w:val="15"/>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Implied DCF Available to Common Unitholders for the period divided by the weighted average common units outstanding for the period.</w:t>
      </w:r>
    </w:p>
    <w:p>
      <w:pPr>
        <w:spacing w:after="0" w:line="49" w:lineRule="exact"/>
        <w:rPr>
          <w:rFonts w:ascii="Arial" w:cs="Arial" w:eastAsia="Arial" w:hAnsi="Arial"/>
          <w:sz w:val="15"/>
          <w:szCs w:val="15"/>
          <w:color w:val="auto"/>
          <w:vertAlign w:val="superscript"/>
        </w:rPr>
      </w:pPr>
    </w:p>
    <w:p>
      <w:pPr>
        <w:ind w:left="340" w:right="40" w:hanging="332"/>
        <w:spacing w:after="0" w:line="208" w:lineRule="auto"/>
        <w:tabs>
          <w:tab w:leader="none" w:pos="334" w:val="left"/>
        </w:tabs>
        <w:numPr>
          <w:ilvl w:val="0"/>
          <w:numId w:val="17"/>
        </w:numPr>
        <w:rPr>
          <w:rFonts w:ascii="Arial" w:cs="Arial" w:eastAsia="Arial" w:hAnsi="Arial"/>
          <w:sz w:val="13"/>
          <w:szCs w:val="13"/>
          <w:color w:val="auto"/>
          <w:vertAlign w:val="superscript"/>
        </w:rPr>
      </w:pPr>
      <w:r>
        <w:rPr>
          <w:rFonts w:ascii="Arial" w:cs="Arial" w:eastAsia="Arial" w:hAnsi="Arial"/>
          <w:sz w:val="10"/>
          <w:szCs w:val="10"/>
          <w:color w:val="auto"/>
        </w:rPr>
        <w:t>Implied DCF Available to Common Unitholders for the period, adjusted for Series A preferred unit cash distributions paid,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ind w:left="5440" w:hanging="106"/>
        <w:spacing w:after="0"/>
        <w:tabs>
          <w:tab w:leader="none" w:pos="54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Implied DCF Per Common Unit and Common Equivalent Unit Reconciliations: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6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89"/>
              </w:rPr>
              <w:t>(0.11)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9"/>
        </w:trPr>
        <w:tc>
          <w:tcPr>
            <w:tcW w:w="6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0.56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85"/>
              </w:rPr>
              <w:t>6.14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1"/>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5"/>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89"/>
              </w:rPr>
              <w:t>(0.11)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36"/>
              <w:spacing w:after="0"/>
              <w:rPr>
                <w:sz w:val="20"/>
                <w:szCs w:val="20"/>
                <w:color w:val="auto"/>
              </w:rPr>
            </w:pPr>
            <w:r>
              <w:rPr>
                <w:rFonts w:ascii="Arial" w:cs="Arial" w:eastAsia="Arial" w:hAnsi="Arial"/>
                <w:sz w:val="18"/>
                <w:szCs w:val="18"/>
                <w:color w:val="auto"/>
                <w:w w:val="93"/>
              </w:rPr>
              <w:t>(3.83)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30"/>
        </w:trPr>
        <w:tc>
          <w:tcPr>
            <w:tcW w:w="62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1"/>
              </w:rPr>
              <w:t>0.57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color w:val="auto"/>
                <w:w w:val="85"/>
              </w:rPr>
              <w:t>6.12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equivalent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1"/>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8"/>
                <w:szCs w:val="18"/>
                <w:color w:val="auto"/>
                <w:w w:val="85"/>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80" w:hanging="332"/>
        <w:spacing w:after="0" w:line="227"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Income/(Loss) to Adjusted EBITDA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726 million, 728 million, 728 million and 727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w w:val="98"/>
              </w:rPr>
              <w:t>December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1"/>
        </w:trPr>
        <w:tc>
          <w:tcPr>
            <w:tcW w:w="6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r>
      <w:tr>
        <w:trPr>
          <w:trHeight w:val="212"/>
        </w:trPr>
        <w:tc>
          <w:tcPr>
            <w:tcW w:w="6240" w:type="dxa"/>
            <w:vAlign w:val="bottom"/>
            <w:shd w:val="clear" w:color="auto" w:fill="CCEEFF"/>
          </w:tcPr>
          <w:p>
            <w:pPr>
              <w:spacing w:after="0" w:line="212" w:lineRule="exact"/>
              <w:rPr>
                <w:sz w:val="20"/>
                <w:szCs w:val="20"/>
                <w:color w:val="auto"/>
              </w:rPr>
            </w:pPr>
            <w:r>
              <w:rPr>
                <w:rFonts w:ascii="Arial" w:cs="Arial" w:eastAsia="Arial" w:hAnsi="Arial"/>
                <w:sz w:val="18"/>
                <w:szCs w:val="18"/>
                <w:b w:val="1"/>
                <w:bCs w:val="1"/>
                <w:color w:val="auto"/>
                <w:w w:val="98"/>
              </w:rPr>
              <w:t xml:space="preserve">Free Cash Flow and Free Cash Flow After Distributions Reconciliation </w:t>
            </w:r>
            <w:r>
              <w:rPr>
                <w:rFonts w:ascii="Arial" w:cs="Arial" w:eastAsia="Arial" w:hAnsi="Arial"/>
                <w:sz w:val="23"/>
                <w:szCs w:val="23"/>
                <w:b w:val="1"/>
                <w:bCs w:val="1"/>
                <w:color w:val="auto"/>
                <w:w w:val="98"/>
                <w:vertAlign w:val="superscript"/>
              </w:rPr>
              <w:t>(1)</w:t>
            </w:r>
            <w:r>
              <w:rPr>
                <w:rFonts w:ascii="Arial" w:cs="Arial" w:eastAsia="Arial" w:hAnsi="Arial"/>
                <w:sz w:val="18"/>
                <w:szCs w:val="18"/>
                <w:b w:val="1"/>
                <w:bCs w:val="1"/>
                <w:color w:val="auto"/>
                <w:w w:val="98"/>
              </w:rPr>
              <w: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2,504</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Adjustments to reconcile net cash provided by operating activities to free cash flow:</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(398)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(1,765)</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 of noncontrolling interest in a subsidiary</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720" w:type="dxa"/>
            <w:vAlign w:val="bottom"/>
            <w:tcBorders>
              <w:top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w:t>
            </w:r>
          </w:p>
        </w:tc>
      </w:tr>
      <w:tr>
        <w:trPr>
          <w:trHeight w:val="230"/>
        </w:trPr>
        <w:tc>
          <w:tcPr>
            <w:tcW w:w="6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Free cash flow after distributions</w:t>
            </w:r>
          </w:p>
        </w:tc>
        <w:tc>
          <w:tcPr>
            <w:tcW w:w="72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1"/>
        </w:trPr>
        <w:tc>
          <w:tcPr>
            <w:tcW w:w="6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420" w:hanging="332"/>
        <w:spacing w:after="0" w:line="238" w:lineRule="auto"/>
        <w:tabs>
          <w:tab w:leader="none" w:pos="32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measures Free Cash Flow and Free Cash Flow After Distributions to assess the amount of cash that is available for distributions, debt repayments, common equity repurchases and other general partnership purposes.</w:t>
      </w:r>
    </w:p>
    <w:p>
      <w:pPr>
        <w:spacing w:after="0" w:line="7"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320" w:hanging="312"/>
        <w:spacing w:after="0" w:line="183" w:lineRule="auto"/>
        <w:tabs>
          <w:tab w:leader="none" w:pos="320"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Cash distributions paid to preferred and common unitholders during the period.</w:t>
      </w:r>
    </w:p>
    <w:p>
      <w:pPr>
        <w:ind w:left="5440" w:hanging="106"/>
        <w:spacing w:after="0"/>
        <w:tabs>
          <w:tab w:leader="none" w:pos="54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60" w:type="dxa"/>
            <w:vAlign w:val="bottom"/>
          </w:tcPr>
          <w:p>
            <w:pPr>
              <w:jc w:val="center"/>
              <w:ind w:right="112"/>
              <w:spacing w:after="0" w:line="130" w:lineRule="exact"/>
              <w:rPr>
                <w:sz w:val="20"/>
                <w:szCs w:val="20"/>
                <w:color w:val="auto"/>
              </w:rPr>
            </w:pPr>
            <w:r>
              <w:rPr>
                <w:rFonts w:ascii="Arial" w:cs="Arial" w:eastAsia="Arial" w:hAnsi="Arial"/>
                <w:sz w:val="14"/>
                <w:szCs w:val="14"/>
                <w:b w:val="1"/>
                <w:bCs w:val="1"/>
                <w:color w:val="auto"/>
                <w:w w:val="92"/>
              </w:rPr>
              <w:t>Supply and</w:t>
            </w:r>
          </w:p>
        </w:tc>
        <w:tc>
          <w:tcPr>
            <w:tcW w:w="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80" w:type="dxa"/>
            <w:vAlign w:val="bottom"/>
          </w:tcPr>
          <w:p>
            <w:pPr>
              <w:jc w:val="right"/>
              <w:ind w:right="212"/>
              <w:spacing w:after="0" w:line="130"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Losses from derivative activities, net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of inventory valuation adjustments</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loss on foreign currency</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00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00"/>
          </w:cols>
          <w:pgMar w:left="320" w:top="368" w:right="359" w:bottom="1440" w:gutter="0" w:footer="0" w:header="0"/>
          <w:type w:val="continuous"/>
        </w:sectPr>
      </w:pPr>
    </w:p>
    <w:p>
      <w:pPr>
        <w:ind w:left="340" w:right="80" w:hanging="332"/>
        <w:spacing w:after="0" w:line="267" w:lineRule="auto"/>
        <w:tabs>
          <w:tab w:leader="none" w:pos="32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43"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Twelve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Twelve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60" w:type="dxa"/>
            <w:vAlign w:val="bottom"/>
          </w:tcPr>
          <w:p>
            <w:pPr>
              <w:jc w:val="center"/>
              <w:ind w:right="112"/>
              <w:spacing w:after="0" w:line="130" w:lineRule="exact"/>
              <w:rPr>
                <w:sz w:val="20"/>
                <w:szCs w:val="20"/>
                <w:color w:val="auto"/>
              </w:rPr>
            </w:pPr>
            <w:r>
              <w:rPr>
                <w:rFonts w:ascii="Arial" w:cs="Arial" w:eastAsia="Arial" w:hAnsi="Arial"/>
                <w:sz w:val="14"/>
                <w:szCs w:val="14"/>
                <w:b w:val="1"/>
                <w:bCs w:val="1"/>
                <w:color w:val="auto"/>
                <w:w w:val="92"/>
              </w:rPr>
              <w:t>Supply and</w:t>
            </w:r>
          </w:p>
        </w:tc>
        <w:tc>
          <w:tcPr>
            <w:tcW w:w="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1"/>
                <w:szCs w:val="11"/>
                <w:color w:val="auto"/>
              </w:rPr>
            </w:pPr>
          </w:p>
        </w:tc>
        <w:tc>
          <w:tcPr>
            <w:tcW w:w="1080" w:type="dxa"/>
            <w:vAlign w:val="bottom"/>
          </w:tcPr>
          <w:p>
            <w:pPr>
              <w:jc w:val="right"/>
              <w:ind w:right="212"/>
              <w:spacing w:after="0" w:line="130"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88"/>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24"/>
        </w:trPr>
        <w:tc>
          <w:tcPr>
            <w:tcW w:w="30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32,276</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(22,099)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(31,276)</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176"/>
        </w:trPr>
        <w:tc>
          <w:tcPr>
            <w:tcW w:w="3000" w:type="dxa"/>
            <w:vAlign w:val="bottom"/>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earnings in unconsolidated</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Depreciation and amortization of</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(Gains)/losses from derivative</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4"/>
              </w:rPr>
              <w:t>activities, net of inventory valuation</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Arial" w:cs="Arial" w:eastAsia="Arial" w:hAnsi="Arial"/>
                <w:sz w:val="18"/>
                <w:szCs w:val="18"/>
                <w:color w:val="auto"/>
              </w:rPr>
              <w:t>Long-term inventory costing</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000" w:type="dxa"/>
            <w:vAlign w:val="bottom"/>
          </w:tcPr>
          <w:p>
            <w:pPr>
              <w:ind w:left="34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6"/>
              </w:rPr>
              <w:t>Deficiencies under minimum volume</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Arial" w:cs="Arial" w:eastAsia="Arial" w:hAnsi="Arial"/>
                <w:sz w:val="18"/>
                <w:szCs w:val="18"/>
                <w:color w:val="auto"/>
                <w:w w:val="90"/>
              </w:rPr>
              <w:t>Equity-indexed compensation expense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(gain)/loss on foreign currency</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revaluation</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Line 901 incident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Significant acquisition-related</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00"/>
          </w:cols>
          <w:pgMar w:left="320" w:top="368" w:right="359" w:bottom="1440" w:gutter="0" w:footer="0" w:header="0"/>
          <w:type w:val="continuous"/>
        </w:sectPr>
      </w:pPr>
    </w:p>
    <w:p>
      <w:pPr>
        <w:ind w:left="340" w:right="80" w:hanging="332"/>
        <w:spacing w:after="0" w:line="267" w:lineRule="auto"/>
        <w:tabs>
          <w:tab w:leader="none" w:pos="32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tbl>
      <w:tblPr>
        <w:tblLayout w:type="fixed"/>
        <w:tblInd w:w="0" w:type="dxa"/>
        <w:tblCellMar>
          <w:top w:w="0" w:type="dxa"/>
          <w:left w:w="0" w:type="dxa"/>
          <w:bottom w:w="0" w:type="dxa"/>
          <w:right w:w="0" w:type="dxa"/>
        </w:tblCellMar>
      </w:tblPr>
      <w:tr>
        <w:trPr>
          <w:trHeight w:val="135"/>
        </w:trPr>
        <w:tc>
          <w:tcPr>
            <w:tcW w:w="6220" w:type="dxa"/>
            <w:vAlign w:val="bottom"/>
          </w:tcPr>
          <w:p>
            <w:pPr>
              <w:spacing w:after="0"/>
              <w:rPr>
                <w:sz w:val="11"/>
                <w:szCs w:val="11"/>
                <w:color w:val="auto"/>
              </w:rPr>
            </w:pPr>
          </w:p>
        </w:tc>
        <w:tc>
          <w:tcPr>
            <w:tcW w:w="256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Twelve Months Ended</w:t>
            </w:r>
          </w:p>
        </w:tc>
      </w:tr>
      <w:tr>
        <w:trPr>
          <w:trHeight w:val="188"/>
        </w:trPr>
        <w:tc>
          <w:tcPr>
            <w:tcW w:w="622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672"/>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62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r>
      <w:tr>
        <w:trPr>
          <w:trHeight w:val="157"/>
        </w:trPr>
        <w:tc>
          <w:tcPr>
            <w:tcW w:w="622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w w:val="95"/>
              </w:rPr>
              <w:t>Transportation segment (average daily volumes in thousands of barrels per</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Tariff activities volumes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 (by region):</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4,690</w:t>
            </w:r>
          </w:p>
        </w:tc>
      </w:tr>
      <w:tr>
        <w:trPr>
          <w:trHeight w:val="229"/>
        </w:trPr>
        <w:tc>
          <w:tcPr>
            <w:tcW w:w="62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62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62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6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Canada</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223"/>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w:t>
            </w:r>
          </w:p>
        </w:tc>
      </w:tr>
      <w:tr>
        <w:trPr>
          <w:trHeight w:val="229"/>
        </w:trPr>
        <w:tc>
          <w:tcPr>
            <w:tcW w:w="6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NGL pipelines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Tariff activities total volumes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r>
      <w:tr>
        <w:trPr>
          <w:trHeight w:val="229"/>
        </w:trPr>
        <w:tc>
          <w:tcPr>
            <w:tcW w:w="6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Trucking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total volumes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(average monthly volumes):</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Liquids storage (average monthly capacity in millions of barrels) </w:t>
            </w:r>
            <w:r>
              <w:rPr>
                <w:rFonts w:ascii="Arial" w:cs="Arial" w:eastAsia="Arial" w:hAnsi="Arial"/>
                <w:sz w:val="23"/>
                <w:szCs w:val="23"/>
                <w:color w:val="auto"/>
                <w:vertAlign w:val="superscript"/>
              </w:rPr>
              <w:t>(3)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9"/>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Natural gas storage (average monthly working capacity in billions of cubic feet)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220" w:type="dxa"/>
            <w:vAlign w:val="bottom"/>
          </w:tcPr>
          <w:p>
            <w:pPr>
              <w:ind w:left="180"/>
              <w:spacing w:after="0" w:line="203" w:lineRule="exact"/>
              <w:rPr>
                <w:sz w:val="20"/>
                <w:szCs w:val="20"/>
                <w:color w:val="auto"/>
              </w:rPr>
            </w:pPr>
            <w:r>
              <w:rPr>
                <w:rFonts w:ascii="Arial" w:cs="Arial" w:eastAsia="Arial" w:hAnsi="Arial"/>
                <w:sz w:val="18"/>
                <w:szCs w:val="18"/>
                <w:color w:val="auto"/>
              </w:rPr>
              <w:t>NGL fractionation (average volumes in thousands of barrels per day)</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8"/>
        </w:trPr>
        <w:tc>
          <w:tcPr>
            <w:tcW w:w="62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w w:val="92"/>
              </w:rPr>
              <w:t xml:space="preserve">Facilities segment total volumes (average monthly volumes in millions of barrels) </w:t>
            </w:r>
            <w:r>
              <w:rPr>
                <w:rFonts w:ascii="Arial" w:cs="Arial" w:eastAsia="Arial" w:hAnsi="Arial"/>
                <w:sz w:val="23"/>
                <w:szCs w:val="23"/>
                <w:color w:val="auto"/>
                <w:w w:val="92"/>
                <w:vertAlign w:val="superscript"/>
              </w:rPr>
              <w:t>(4)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5"/>
        </w:trPr>
        <w:tc>
          <w:tcPr>
            <w:tcW w:w="6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Supply and Logistics segment (average daily volumes in thousands of barrels</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9"/>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per day):</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220" w:type="dxa"/>
            <w:vAlign w:val="bottom"/>
          </w:tcPr>
          <w:p>
            <w:pPr>
              <w:ind w:left="180"/>
              <w:spacing w:after="0"/>
              <w:rPr>
                <w:sz w:val="20"/>
                <w:szCs w:val="20"/>
                <w:color w:val="auto"/>
              </w:rPr>
            </w:pPr>
            <w:r>
              <w:rPr>
                <w:rFonts w:ascii="Arial" w:cs="Arial" w:eastAsia="Arial" w:hAnsi="Arial"/>
                <w:sz w:val="18"/>
                <w:szCs w:val="18"/>
                <w:color w:val="auto"/>
              </w:rPr>
              <w:t>Crude oil lease gathering purchases</w:t>
            </w:r>
          </w:p>
        </w:tc>
        <w:tc>
          <w:tcPr>
            <w:tcW w:w="118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1,162</w:t>
            </w: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Supply and Logistics segment total volumes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r>
      <w:tr>
        <w:trPr>
          <w:trHeight w:val="20"/>
        </w:trPr>
        <w:tc>
          <w:tcPr>
            <w:tcW w:w="6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55"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56"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facilities owned by unconsolidated entities.</w:t>
      </w:r>
    </w:p>
    <w:p>
      <w:pPr>
        <w:spacing w:after="0" w:line="56" w:lineRule="exact"/>
        <w:rPr>
          <w:rFonts w:ascii="Arial" w:cs="Arial" w:eastAsia="Arial" w:hAnsi="Arial"/>
          <w:sz w:val="23"/>
          <w:szCs w:val="23"/>
          <w:color w:val="auto"/>
          <w:vertAlign w:val="superscript"/>
        </w:rPr>
      </w:pPr>
    </w:p>
    <w:p>
      <w:pPr>
        <w:ind w:left="340" w:right="260" w:hanging="332"/>
        <w:spacing w:after="0" w:line="241" w:lineRule="auto"/>
        <w:tabs>
          <w:tab w:leader="none" w:pos="32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are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Fee-based Segment Adjusted EBITDA to Adjusted EBITDA Reconciliations: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4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2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w w:val="94"/>
              </w:rPr>
              <w:t>December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Adjusted EBITDA</w:t>
            </w: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r>
      <w:tr>
        <w:trPr>
          <w:trHeight w:val="229"/>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Adjusted EBITDA</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172</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r>
      <w:tr>
        <w:trPr>
          <w:trHeight w:val="223"/>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Fee-based Segment Adjusted EBITDA</w:t>
            </w:r>
          </w:p>
        </w:tc>
        <w:tc>
          <w:tcPr>
            <w:tcW w:w="76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Supply and Logistics Segment Adjusted EBITDA</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Adjusted other income, net </w:t>
            </w:r>
            <w:r>
              <w:rPr>
                <w:rFonts w:ascii="Arial" w:cs="Arial" w:eastAsia="Arial" w:hAnsi="Arial"/>
                <w:sz w:val="23"/>
                <w:szCs w:val="23"/>
                <w:color w:val="auto"/>
                <w:vertAlign w:val="superscript"/>
              </w:rPr>
              <w:t>(1)</w:t>
            </w:r>
          </w:p>
        </w:tc>
        <w:tc>
          <w:tcPr>
            <w:tcW w:w="7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2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76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559</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860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w:t>
            </w:r>
          </w:p>
        </w:tc>
      </w:tr>
      <w:tr>
        <w:trPr>
          <w:trHeight w:val="20"/>
        </w:trPr>
        <w:tc>
          <w:tcPr>
            <w:tcW w:w="6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520" w:hanging="332"/>
        <w:spacing w:after="0" w:line="234"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 net” as reported on our Condensed Consolidated Statements of Operations, adjusted for selected items impacting comparability of $(47) million, $1 million, $(36) million and $(17) million for the three and twelve months ended December 31, 2020 and 2019, respectively. See the “Selected Items Impacting Comparability” table for additional information.</w:t>
      </w:r>
    </w:p>
    <w:p>
      <w:pPr>
        <w:spacing w:after="0" w:line="6"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See the “Net Income/(Loss) to Adjusted EBITDA and Implied DCF Reconciliation” table for reconciliation to Net Income/(Loss).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97"/>
              <w:spacing w:after="0"/>
              <w:rPr>
                <w:sz w:val="20"/>
                <w:szCs w:val="20"/>
                <w:color w:val="auto"/>
              </w:rPr>
            </w:pPr>
            <w:r>
              <w:rPr>
                <w:rFonts w:ascii="Arial" w:cs="Arial" w:eastAsia="Arial" w:hAnsi="Arial"/>
                <w:sz w:val="15"/>
                <w:szCs w:val="15"/>
                <w:b w:val="1"/>
                <w:bCs w:val="1"/>
                <w:color w:val="auto"/>
                <w:w w:val="96"/>
              </w:rPr>
              <w:t>Transportation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5"/>
                <w:szCs w:val="15"/>
                <w:b w:val="1"/>
                <w:bCs w:val="1"/>
                <w:color w:val="auto"/>
                <w:w w:val="93"/>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2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ind w:right="117"/>
              <w:spacing w:after="0"/>
              <w:rPr>
                <w:sz w:val="20"/>
                <w:szCs w:val="20"/>
                <w:color w:val="auto"/>
              </w:rPr>
            </w:pPr>
            <w:r>
              <w:rPr>
                <w:rFonts w:ascii="Arial" w:cs="Arial" w:eastAsia="Arial" w:hAnsi="Arial"/>
                <w:sz w:val="15"/>
                <w:szCs w:val="15"/>
                <w:b w:val="1"/>
                <w:bCs w:val="1"/>
                <w:color w:val="auto"/>
                <w:w w:val="94"/>
              </w:rPr>
              <w:t>Transportation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5"/>
                <w:szCs w:val="15"/>
                <w:b w:val="1"/>
                <w:bCs w:val="1"/>
                <w:color w:val="auto"/>
                <w:w w:val="90"/>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0" w:type="dxa"/>
            <w:vAlign w:val="bottom"/>
          </w:tcPr>
          <w:p>
            <w:pPr>
              <w:spacing w:after="0"/>
              <w:rPr>
                <w:sz w:val="1"/>
                <w:szCs w:val="1"/>
                <w:color w:val="auto"/>
              </w:rPr>
            </w:pPr>
          </w:p>
        </w:tc>
      </w:tr>
      <w:tr>
        <w:trPr>
          <w:trHeight w:val="200"/>
        </w:trPr>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w w:val="88"/>
              </w:rPr>
              <w:t>Logistics</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18"/>
              <w:spacing w:after="0"/>
              <w:rPr>
                <w:sz w:val="20"/>
                <w:szCs w:val="20"/>
                <w:color w:val="auto"/>
              </w:rPr>
            </w:pPr>
            <w:r>
              <w:rPr>
                <w:rFonts w:ascii="Arial" w:cs="Arial" w:eastAsia="Arial" w:hAnsi="Arial"/>
                <w:sz w:val="15"/>
                <w:szCs w:val="15"/>
                <w:b w:val="1"/>
                <w:bCs w:val="1"/>
                <w:color w:val="auto"/>
                <w:w w:val="88"/>
              </w:rPr>
              <w:t>Logistics</w:t>
            </w:r>
          </w:p>
        </w:tc>
        <w:tc>
          <w:tcPr>
            <w:tcW w:w="0" w:type="dxa"/>
            <w:vAlign w:val="bottom"/>
          </w:tcPr>
          <w:p>
            <w:pPr>
              <w:spacing w:after="0"/>
              <w:rPr>
                <w:sz w:val="1"/>
                <w:szCs w:val="1"/>
                <w:color w:val="auto"/>
              </w:rPr>
            </w:pPr>
          </w:p>
        </w:tc>
      </w:tr>
      <w:tr>
        <w:trPr>
          <w:trHeight w:val="212"/>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176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Arial" w:cs="Arial" w:eastAsia="Arial" w:hAnsi="Arial"/>
                <w:sz w:val="17"/>
                <w:szCs w:val="17"/>
                <w:color w:val="auto"/>
                <w:w w:val="92"/>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180"/>
              <w:spacing w:after="0" w:line="162" w:lineRule="exact"/>
              <w:rPr>
                <w:sz w:val="20"/>
                <w:szCs w:val="20"/>
                <w:color w:val="auto"/>
              </w:rPr>
            </w:pPr>
            <w:r>
              <w:rPr>
                <w:rFonts w:ascii="Arial" w:cs="Arial" w:eastAsia="Arial" w:hAnsi="Arial"/>
                <w:sz w:val="17"/>
                <w:szCs w:val="17"/>
                <w:color w:val="auto"/>
              </w:rPr>
              <w:t>further adjusted for impact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340" w:type="dxa"/>
            <w:vAlign w:val="bottom"/>
            <w:gridSpan w:val="2"/>
            <w:vMerge w:val="restart"/>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340" w:type="dxa"/>
            <w:vAlign w:val="bottom"/>
            <w:gridSpan w:val="2"/>
            <w:vMerge w:val="restart"/>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ind w:left="780"/>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divested assets</w:t>
            </w:r>
          </w:p>
        </w:tc>
        <w:tc>
          <w:tcPr>
            <w:tcW w:w="1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Twelve Months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Twelve Months Ended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97"/>
              <w:spacing w:after="0"/>
              <w:rPr>
                <w:sz w:val="20"/>
                <w:szCs w:val="20"/>
                <w:color w:val="auto"/>
              </w:rPr>
            </w:pPr>
            <w:r>
              <w:rPr>
                <w:rFonts w:ascii="Arial" w:cs="Arial" w:eastAsia="Arial" w:hAnsi="Arial"/>
                <w:sz w:val="15"/>
                <w:szCs w:val="15"/>
                <w:b w:val="1"/>
                <w:bCs w:val="1"/>
                <w:color w:val="auto"/>
                <w:w w:val="96"/>
              </w:rPr>
              <w:t>Transportation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5"/>
                <w:szCs w:val="15"/>
                <w:b w:val="1"/>
                <w:bCs w:val="1"/>
                <w:color w:val="auto"/>
                <w:w w:val="93"/>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2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restart"/>
          </w:tcPr>
          <w:p>
            <w:pPr>
              <w:jc w:val="right"/>
              <w:ind w:right="117"/>
              <w:spacing w:after="0"/>
              <w:rPr>
                <w:sz w:val="20"/>
                <w:szCs w:val="20"/>
                <w:color w:val="auto"/>
              </w:rPr>
            </w:pPr>
            <w:r>
              <w:rPr>
                <w:rFonts w:ascii="Arial" w:cs="Arial" w:eastAsia="Arial" w:hAnsi="Arial"/>
                <w:sz w:val="15"/>
                <w:szCs w:val="15"/>
                <w:b w:val="1"/>
                <w:bCs w:val="1"/>
                <w:color w:val="auto"/>
                <w:w w:val="94"/>
              </w:rPr>
              <w:t>Transportation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5"/>
                <w:szCs w:val="15"/>
                <w:b w:val="1"/>
                <w:bCs w:val="1"/>
                <w:color w:val="auto"/>
                <w:w w:val="90"/>
              </w:rPr>
              <w:t>Facilities</w:t>
            </w:r>
          </w:p>
        </w:tc>
        <w:tc>
          <w:tcPr>
            <w:tcW w:w="200" w:type="dxa"/>
            <w:vAlign w:val="bottom"/>
          </w:tcPr>
          <w:p>
            <w:pPr>
              <w:spacing w:after="0"/>
              <w:rPr>
                <w:sz w:val="12"/>
                <w:szCs w:val="12"/>
                <w:color w:val="auto"/>
              </w:rPr>
            </w:pPr>
          </w:p>
        </w:tc>
        <w:tc>
          <w:tcPr>
            <w:tcW w:w="1140" w:type="dxa"/>
            <w:vAlign w:val="bottom"/>
          </w:tcPr>
          <w:p>
            <w:pPr>
              <w:jc w:val="center"/>
              <w:ind w:right="118"/>
              <w:spacing w:after="0" w:line="144" w:lineRule="exact"/>
              <w:rPr>
                <w:sz w:val="20"/>
                <w:szCs w:val="20"/>
                <w:color w:val="auto"/>
              </w:rPr>
            </w:pPr>
            <w:r>
              <w:rPr>
                <w:rFonts w:ascii="Arial" w:cs="Arial" w:eastAsia="Arial" w:hAnsi="Arial"/>
                <w:sz w:val="15"/>
                <w:szCs w:val="15"/>
                <w:b w:val="1"/>
                <w:bCs w:val="1"/>
                <w:color w:val="auto"/>
                <w:w w:val="91"/>
              </w:rPr>
              <w:t>Supply and</w:t>
            </w:r>
          </w:p>
        </w:tc>
        <w:tc>
          <w:tcPr>
            <w:tcW w:w="0" w:type="dxa"/>
            <w:vAlign w:val="bottom"/>
          </w:tcPr>
          <w:p>
            <w:pPr>
              <w:spacing w:after="0"/>
              <w:rPr>
                <w:sz w:val="1"/>
                <w:szCs w:val="1"/>
                <w:color w:val="auto"/>
              </w:rPr>
            </w:pPr>
          </w:p>
        </w:tc>
      </w:tr>
      <w:tr>
        <w:trPr>
          <w:trHeight w:val="200"/>
        </w:trPr>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w w:val="88"/>
              </w:rPr>
              <w:t>Logistics</w:t>
            </w: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18"/>
              <w:spacing w:after="0"/>
              <w:rPr>
                <w:sz w:val="20"/>
                <w:szCs w:val="20"/>
                <w:color w:val="auto"/>
              </w:rPr>
            </w:pPr>
            <w:r>
              <w:rPr>
                <w:rFonts w:ascii="Arial" w:cs="Arial" w:eastAsia="Arial" w:hAnsi="Arial"/>
                <w:sz w:val="15"/>
                <w:szCs w:val="15"/>
                <w:b w:val="1"/>
                <w:bCs w:val="1"/>
                <w:color w:val="auto"/>
                <w:w w:val="88"/>
              </w:rPr>
              <w:t>Logistics</w:t>
            </w:r>
          </w:p>
        </w:tc>
        <w:tc>
          <w:tcPr>
            <w:tcW w:w="0" w:type="dxa"/>
            <w:vAlign w:val="bottom"/>
          </w:tcPr>
          <w:p>
            <w:pPr>
              <w:spacing w:after="0"/>
              <w:rPr>
                <w:sz w:val="1"/>
                <w:szCs w:val="1"/>
                <w:color w:val="auto"/>
              </w:rPr>
            </w:pPr>
          </w:p>
        </w:tc>
      </w:tr>
      <w:tr>
        <w:trPr>
          <w:trHeight w:val="212"/>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705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Arial" w:cs="Arial" w:eastAsia="Arial" w:hAnsi="Arial"/>
                <w:sz w:val="17"/>
                <w:szCs w:val="17"/>
                <w:color w:val="auto"/>
                <w:w w:val="92"/>
              </w:rPr>
              <w:t>(60)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Segment Adjusted EBITDA</w:t>
            </w:r>
          </w:p>
        </w:tc>
        <w:tc>
          <w:tcPr>
            <w:tcW w:w="1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180"/>
              <w:spacing w:after="0" w:line="162" w:lineRule="exact"/>
              <w:rPr>
                <w:sz w:val="20"/>
                <w:szCs w:val="20"/>
                <w:color w:val="auto"/>
              </w:rPr>
            </w:pPr>
            <w:r>
              <w:rPr>
                <w:rFonts w:ascii="Arial" w:cs="Arial" w:eastAsia="Arial" w:hAnsi="Arial"/>
                <w:sz w:val="17"/>
                <w:szCs w:val="17"/>
                <w:color w:val="auto"/>
              </w:rPr>
              <w:t>further adjusted for impact of</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1,615</w:t>
            </w:r>
          </w:p>
        </w:tc>
        <w:tc>
          <w:tcPr>
            <w:tcW w:w="340" w:type="dxa"/>
            <w:vAlign w:val="bottom"/>
            <w:gridSpan w:val="2"/>
            <w:vMerge w:val="restart"/>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1,708</w:t>
            </w:r>
          </w:p>
        </w:tc>
        <w:tc>
          <w:tcPr>
            <w:tcW w:w="340" w:type="dxa"/>
            <w:vAlign w:val="bottom"/>
            <w:gridSpan w:val="2"/>
            <w:vMerge w:val="restart"/>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ind w:left="780"/>
              <w:spacing w:after="0"/>
              <w:rPr>
                <w:sz w:val="20"/>
                <w:szCs w:val="20"/>
                <w:color w:val="auto"/>
              </w:rPr>
            </w:pPr>
            <w:r>
              <w:rPr>
                <w:rFonts w:ascii="Arial" w:cs="Arial" w:eastAsia="Arial" w:hAnsi="Arial"/>
                <w:sz w:val="17"/>
                <w:szCs w:val="17"/>
                <w:color w:val="auto"/>
              </w:rPr>
              <w:t>645</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divested assets</w:t>
            </w:r>
          </w:p>
        </w:tc>
        <w:tc>
          <w:tcPr>
            <w:tcW w:w="1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40" w:right="160" w:hanging="332"/>
        <w:spacing w:after="0" w:line="249" w:lineRule="auto"/>
        <w:tabs>
          <w:tab w:leader="none" w:pos="328" w:val="left"/>
        </w:tabs>
        <w:numPr>
          <w:ilvl w:val="0"/>
          <w:numId w:val="24"/>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2019 and 2020, assuming an effective date of January 1, 2019. Divested assets primarily included certain NGL storage terminals and Los Angeles Basin crude oil storage terminals that were previously included in our Facilities segment and the sale of a portion of our interest in a joint venture pipeline that was previously reported in our Transportation segment.</w:t>
      </w:r>
    </w:p>
    <w:p>
      <w:pPr>
        <w:spacing w:after="0" w:line="47"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3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28"/>
        </w:trPr>
        <w:tc>
          <w:tcPr>
            <w:tcW w:w="3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right w:val="single" w:sz="8" w:color="auto"/>
            </w:tcBorders>
          </w:tcPr>
          <w:p>
            <w:pPr>
              <w:spacing w:after="0"/>
              <w:rPr>
                <w:sz w:val="13"/>
                <w:szCs w:val="13"/>
                <w:color w:val="auto"/>
              </w:rPr>
            </w:pPr>
          </w:p>
        </w:tc>
        <w:tc>
          <w:tcPr>
            <w:tcW w:w="3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34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BASIC NET INCOME/(LOSS) PER CLASS A SHARE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60" w:type="dxa"/>
            <w:vAlign w:val="bottom"/>
            <w:gridSpan w:val="7"/>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860" w:type="dxa"/>
            <w:vAlign w:val="bottom"/>
            <w:gridSpan w:val="7"/>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6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DILUTED WEIGHTED AVERAGE CLASS A SHARES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ind w:left="5440" w:hanging="106"/>
        <w:spacing w:after="0"/>
        <w:tabs>
          <w:tab w:leader="none" w:pos="54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Twelve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Twelve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December 31, 2020</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4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20,431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29,452</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719</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0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25,673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31,689</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w w:val="98"/>
              </w:rPr>
              <w:t>Gain on/(impairment of) investments in</w:t>
            </w: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28"/>
        </w:trPr>
        <w:tc>
          <w:tcPr>
            <w:tcW w:w="3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Deferred income tax (expense)/benefit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(2,590)</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right w:val="single" w:sz="8" w:color="auto"/>
            </w:tcBorders>
          </w:tcPr>
          <w:p>
            <w:pPr>
              <w:spacing w:after="0"/>
              <w:rPr>
                <w:sz w:val="13"/>
                <w:szCs w:val="13"/>
                <w:color w:val="auto"/>
              </w:rPr>
            </w:pPr>
          </w:p>
        </w:tc>
        <w:tc>
          <w:tcPr>
            <w:tcW w:w="3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2,171</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3"/>
        </w:trPr>
        <w:tc>
          <w:tcPr>
            <w:tcW w:w="31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34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BASIC NET INCOME/(LOSS) PER CLASS A SHARE</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840" w:type="dxa"/>
            <w:vAlign w:val="bottom"/>
            <w:gridSpan w:val="7"/>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5840" w:type="dxa"/>
            <w:vAlign w:val="bottom"/>
            <w:gridSpan w:val="7"/>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6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DILUTED WEIGHTED AVERAGE CLASS A SHARES</w:t>
            </w: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ind w:left="5440" w:hanging="106"/>
        <w:spacing w:after="0"/>
        <w:tabs>
          <w:tab w:leader="none" w:pos="54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Page 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3,668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 and base gas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4,253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4,255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5,017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14,761</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Partners’ capital excluding noncontrolling</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63"/>
        </w:trPr>
        <w:tc>
          <w:tcPr>
            <w:tcW w:w="3120" w:type="dxa"/>
            <w:vAlign w:val="bottom"/>
          </w:tcPr>
          <w:p>
            <w:pPr>
              <w:ind w:left="360"/>
              <w:spacing w:after="0"/>
              <w:rPr>
                <w:sz w:val="20"/>
                <w:szCs w:val="20"/>
                <w:color w:val="auto"/>
              </w:rPr>
            </w:pPr>
            <w:r>
              <w:rPr>
                <w:rFonts w:ascii="Arial" w:cs="Arial" w:eastAsia="Arial" w:hAnsi="Arial"/>
                <w:sz w:val="18"/>
                <w:szCs w:val="18"/>
                <w:color w:val="auto"/>
                <w:w w:val="97"/>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25,951</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Page 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396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CLASS A SHARE </w:t>
      </w:r>
      <w:r>
        <w:rPr>
          <w:rFonts w:ascii="Arial" w:cs="Arial" w:eastAsia="Arial" w:hAnsi="Arial"/>
          <w:sz w:val="18"/>
          <w:szCs w:val="18"/>
          <w:color w:val="auto"/>
        </w:rPr>
        <w:t>(in millions,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0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8"/>
        </w:trPr>
        <w:tc>
          <w:tcPr>
            <w:tcW w:w="58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Class A Share</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00"/>
              <w:spacing w:after="0"/>
              <w:rPr>
                <w:sz w:val="20"/>
                <w:szCs w:val="20"/>
                <w:color w:val="auto"/>
              </w:rPr>
            </w:pPr>
            <w:r>
              <w:rPr>
                <w:rFonts w:ascii="Arial" w:cs="Arial" w:eastAsia="Arial" w:hAnsi="Arial"/>
                <w:sz w:val="18"/>
                <w:szCs w:val="18"/>
                <w:color w:val="auto"/>
              </w:rPr>
              <w:t>Net income/(loss) attributable to PAGP</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weighted average Class A shares outstanding</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net income/(loss) per Class A share</w:t>
            </w: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00"/>
              <w:spacing w:after="0"/>
              <w:rPr>
                <w:sz w:val="20"/>
                <w:szCs w:val="20"/>
                <w:color w:val="auto"/>
              </w:rPr>
            </w:pPr>
            <w:r>
              <w:rPr>
                <w:rFonts w:ascii="Arial" w:cs="Arial" w:eastAsia="Arial" w:hAnsi="Arial"/>
                <w:sz w:val="18"/>
                <w:szCs w:val="18"/>
                <w:color w:val="auto"/>
              </w:rPr>
              <w:t>Net income/(loss) attributable to PAGP</w:t>
            </w:r>
          </w:p>
        </w:tc>
        <w:tc>
          <w:tcPr>
            <w:tcW w:w="800" w:type="dxa"/>
            <w:vAlign w:val="bottom"/>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76"/>
        </w:trPr>
        <w:tc>
          <w:tcPr>
            <w:tcW w:w="584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3"/>
              </w:rPr>
              <w:t>Incremental net income/(loss) attributable to PAGP resulting from assumed</w:t>
            </w:r>
          </w:p>
        </w:tc>
        <w:tc>
          <w:tcPr>
            <w:tcW w:w="8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exchange of AAP units and AAP Management Units</w:t>
            </w:r>
          </w:p>
        </w:tc>
        <w:tc>
          <w:tcPr>
            <w:tcW w:w="8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100"/>
              <w:spacing w:after="0" w:line="156" w:lineRule="exact"/>
              <w:rPr>
                <w:sz w:val="20"/>
                <w:szCs w:val="20"/>
                <w:color w:val="auto"/>
              </w:rPr>
            </w:pPr>
            <w:r>
              <w:rPr>
                <w:rFonts w:ascii="Arial" w:cs="Arial" w:eastAsia="Arial" w:hAnsi="Arial"/>
                <w:sz w:val="18"/>
                <w:szCs w:val="18"/>
                <w:color w:val="auto"/>
              </w:rPr>
              <w:t>Net income/(loss) attributable to PAGP including incremental net</w:t>
            </w:r>
          </w:p>
        </w:tc>
        <w:tc>
          <w:tcPr>
            <w:tcW w:w="8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840" w:type="dxa"/>
            <w:vAlign w:val="bottom"/>
          </w:tcPr>
          <w:p>
            <w:pPr>
              <w:ind w:left="100"/>
              <w:spacing w:after="0" w:line="176" w:lineRule="exact"/>
              <w:rPr>
                <w:sz w:val="20"/>
                <w:szCs w:val="20"/>
                <w:color w:val="auto"/>
              </w:rPr>
            </w:pPr>
            <w:r>
              <w:rPr>
                <w:rFonts w:ascii="Arial" w:cs="Arial" w:eastAsia="Arial" w:hAnsi="Arial"/>
                <w:sz w:val="18"/>
                <w:szCs w:val="18"/>
                <w:color w:val="auto"/>
                <w:w w:val="95"/>
              </w:rPr>
              <w:t>income/(loss) from assumed exchange of AAP units and AAP Management</w:t>
            </w:r>
          </w:p>
        </w:tc>
        <w:tc>
          <w:tcPr>
            <w:tcW w:w="800" w:type="dxa"/>
            <w:vAlign w:val="bottom"/>
            <w:vMerge w:val="restart"/>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5"/>
                <w:szCs w:val="15"/>
                <w:color w:val="auto"/>
              </w:rPr>
            </w:pPr>
          </w:p>
        </w:tc>
        <w:tc>
          <w:tcPr>
            <w:tcW w:w="820" w:type="dxa"/>
            <w:vAlign w:val="bottom"/>
            <w:vMerge w:val="restart"/>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5"/>
                <w:szCs w:val="15"/>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8"/>
        </w:trPr>
        <w:tc>
          <w:tcPr>
            <w:tcW w:w="5840" w:type="dxa"/>
            <w:vAlign w:val="bottom"/>
          </w:tcPr>
          <w:p>
            <w:pPr>
              <w:ind w:left="100"/>
              <w:spacing w:after="0" w:line="202" w:lineRule="exact"/>
              <w:rPr>
                <w:sz w:val="20"/>
                <w:szCs w:val="20"/>
                <w:color w:val="auto"/>
              </w:rPr>
            </w:pPr>
            <w:r>
              <w:rPr>
                <w:rFonts w:ascii="Arial" w:cs="Arial" w:eastAsia="Arial" w:hAnsi="Arial"/>
                <w:sz w:val="18"/>
                <w:szCs w:val="18"/>
                <w:color w:val="auto"/>
              </w:rPr>
              <w:t>Units</w:t>
            </w:r>
          </w:p>
        </w:tc>
        <w:tc>
          <w:tcPr>
            <w:tcW w:w="8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00"/>
              <w:spacing w:after="0"/>
              <w:rPr>
                <w:sz w:val="20"/>
                <w:szCs w:val="20"/>
                <w:color w:val="auto"/>
              </w:rPr>
            </w:pPr>
            <w:r>
              <w:rPr>
                <w:rFonts w:ascii="Arial" w:cs="Arial" w:eastAsia="Arial" w:hAnsi="Arial"/>
                <w:sz w:val="18"/>
                <w:szCs w:val="18"/>
                <w:color w:val="auto"/>
              </w:rPr>
              <w:t>Basic weighted average Class A shares outstanding</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75"/>
        </w:trPr>
        <w:tc>
          <w:tcPr>
            <w:tcW w:w="58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Dilutive shares resulting from assumed exchange of AAP units and AAP</w:t>
            </w:r>
          </w:p>
        </w:tc>
        <w:tc>
          <w:tcPr>
            <w:tcW w:w="8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Units</w:t>
            </w:r>
          </w:p>
        </w:tc>
        <w:tc>
          <w:tcPr>
            <w:tcW w:w="8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ind w:left="100"/>
              <w:spacing w:after="0"/>
              <w:rPr>
                <w:sz w:val="20"/>
                <w:szCs w:val="20"/>
                <w:color w:val="auto"/>
              </w:rPr>
            </w:pPr>
            <w:r>
              <w:rPr>
                <w:rFonts w:ascii="Arial" w:cs="Arial" w:eastAsia="Arial" w:hAnsi="Arial"/>
                <w:sz w:val="18"/>
                <w:szCs w:val="18"/>
                <w:color w:val="auto"/>
              </w:rPr>
              <w:t>Diluted weighted average Class A shares outstanding</w:t>
            </w:r>
          </w:p>
        </w:tc>
        <w:tc>
          <w:tcPr>
            <w:tcW w:w="8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Diluted net income/(loss) per Class A share </w:t>
            </w:r>
            <w:r>
              <w:rPr>
                <w:rFonts w:ascii="Arial" w:cs="Arial" w:eastAsia="Arial" w:hAnsi="Arial"/>
                <w:sz w:val="23"/>
                <w:szCs w:val="23"/>
                <w:color w:val="auto"/>
                <w:vertAlign w:val="superscript"/>
              </w:rPr>
              <w:t>(1)</w:t>
            </w:r>
          </w:p>
        </w:tc>
        <w:tc>
          <w:tcPr>
            <w:tcW w:w="800" w:type="dxa"/>
            <w:vAlign w:val="bottom"/>
            <w:tcBorders>
              <w:bottom w:val="single" w:sz="8" w:color="auto"/>
            </w:tcBorders>
          </w:tcPr>
          <w:p>
            <w:pPr>
              <w:jc w:val="right"/>
              <w:ind w:right="61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(0.11)</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both"/>
        <w:ind w:left="340" w:right="20" w:hanging="332"/>
        <w:spacing w:after="0" w:line="275" w:lineRule="auto"/>
        <w:tabs>
          <w:tab w:leader="none" w:pos="334"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For the three months ended December 31, 2020 and the three and twelve months ended December 31, 2019, the possible exchange of any AAP units would not have had a dilutive effect on basic net income/(loss) per Class A share. For the three and twelve months ended December 31, 2020 and the three months ended December 31, 2019, the possible exchange of AAP Management units would not have had a dilutive effect on basic net income/(loss) per Class A share.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 Lamoreaux</w:t>
      </w:r>
    </w:p>
    <w:p>
      <w:pPr>
        <w:spacing w:after="0" w:line="23" w:lineRule="exact"/>
        <w:rPr>
          <w:sz w:val="20"/>
          <w:szCs w:val="20"/>
          <w:color w:val="auto"/>
        </w:rPr>
      </w:pPr>
    </w:p>
    <w:p>
      <w:pPr>
        <w:ind w:left="20" w:right="5480"/>
        <w:spacing w:after="0" w:line="292" w:lineRule="auto"/>
        <w:rPr>
          <w:sz w:val="20"/>
          <w:szCs w:val="20"/>
          <w:color w:val="auto"/>
        </w:rPr>
      </w:pPr>
      <w:r>
        <w:rPr>
          <w:rFonts w:ascii="Arial" w:cs="Arial" w:eastAsia="Arial" w:hAnsi="Arial"/>
          <w:sz w:val="18"/>
          <w:szCs w:val="18"/>
          <w:color w:val="auto"/>
        </w:rPr>
        <w:t>Vice President, Investor Relations, Communications and Government Relations (866) 809-1291</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04"/>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lvl w:ilvl="1">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lvl w:ilvl="1">
      <w:lvlJc w:val="left"/>
      <w:lvlText w:val="-"/>
      <w:numFmt w:val="bullet"/>
      <w:start w:val="1"/>
    </w:lvl>
  </w:abstractNum>
  <w:abstractNum w:abstractNumId="9">
    <w:nsid w:val="7C83E458"/>
    <w:multiLevelType w:val="hybridMultilevel"/>
    <w:lvl w:ilvl="0">
      <w:lvlJc w:val="left"/>
      <w:lvlText w:val="•"/>
      <w:numFmt w:val="bullet"/>
      <w:start w:val="1"/>
    </w:lvl>
    <w:lvl w:ilvl="1">
      <w:lvlJc w:val="left"/>
      <w:lvlText w:val="-"/>
      <w:numFmt w:val="bullet"/>
      <w:start w:val="1"/>
    </w:lvl>
  </w:abstractNum>
  <w:abstractNum w:abstractNumId="10">
    <w:nsid w:val="257130A3"/>
    <w:multiLevelType w:val="hybridMultilevel"/>
    <w:lvl w:ilvl="0">
      <w:lvlJc w:val="left"/>
      <w:lvlText w:val="•"/>
      <w:numFmt w:val="bullet"/>
      <w:start w:val="1"/>
    </w:lvl>
    <w:lvl w:ilvl="1">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lvl w:ilvl="1">
      <w:lvlJc w:val="left"/>
      <w:lvlText w:val="-"/>
      <w:numFmt w:val="bullet"/>
      <w:start w:val="1"/>
    </w:lvl>
  </w:abstractNum>
  <w:abstractNum w:abstractNumId="13">
    <w:nsid w:val="628C895D"/>
    <w:multiLevelType w:val="hybridMultilevel"/>
    <w:lvl w:ilvl="0">
      <w:lvlJc w:val="left"/>
      <w:lvlText w:val="(%1)"/>
      <w:numFmt w:val="decimal"/>
      <w:start w:val="1"/>
    </w:lvl>
    <w:lvl w:ilvl="1">
      <w:lvlJc w:val="left"/>
      <w:lvlText w:val="-"/>
      <w:numFmt w:val="bullet"/>
      <w:start w:val="1"/>
    </w:lvl>
  </w:abstractNum>
  <w:abstractNum w:abstractNumId="14">
    <w:nsid w:val="333AB105"/>
    <w:multiLevelType w:val="hybridMultilevel"/>
    <w:lvl w:ilvl="0">
      <w:lvlJc w:val="left"/>
      <w:lvlText w:val="(%1)"/>
      <w:numFmt w:val="decimal"/>
      <w:start w:val="1"/>
    </w:lvl>
    <w:lvl w:ilvl="1">
      <w:lvlJc w:val="left"/>
      <w:lvlText w:val="-"/>
      <w:numFmt w:val="bullet"/>
      <w:start w:val="1"/>
    </w:lvl>
  </w:abstractNum>
  <w:abstractNum w:abstractNumId="15">
    <w:nsid w:val="721DA317"/>
    <w:multiLevelType w:val="hybridMultilevel"/>
    <w:lvl w:ilvl="0">
      <w:lvlJc w:val="left"/>
      <w:lvlText w:val="(%1)"/>
      <w:numFmt w:val="decimal"/>
      <w:start w:val="1"/>
    </w:lvl>
    <w:lvl w:ilvl="1">
      <w:lvlJc w:val="left"/>
      <w:lvlText w:val="-"/>
      <w:numFmt w:val="bullet"/>
      <w:start w:val="1"/>
    </w:lvl>
  </w:abstractNum>
  <w:abstractNum w:abstractNumId="16">
    <w:nsid w:val="2443A858"/>
    <w:multiLevelType w:val="hybridMultilevel"/>
    <w:lvl w:ilvl="0">
      <w:lvlJc w:val="left"/>
      <w:lvlText w:val="(%1)"/>
      <w:numFmt w:val="decimal"/>
      <w:start w:val="1"/>
    </w:lvl>
    <w:lvl w:ilvl="1">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lvl w:ilvl="1">
      <w:lvlJc w:val="left"/>
      <w:lvlText w:val="-"/>
      <w:numFmt w:val="bullet"/>
      <w:start w:val="1"/>
    </w:lvl>
  </w:abstractNum>
  <w:abstractNum w:abstractNumId="19">
    <w:nsid w:val="75A2A8D4"/>
    <w:multiLevelType w:val="hybridMultilevel"/>
    <w:lvl w:ilvl="0">
      <w:lvlJc w:val="left"/>
      <w:lvlText w:val="(%1)"/>
      <w:numFmt w:val="decimal"/>
      <w:start w:val="3"/>
    </w:lvl>
    <w:lvl w:ilvl="1">
      <w:lvlJc w:val="left"/>
      <w:lvlText w:val="-"/>
      <w:numFmt w:val="bullet"/>
      <w:start w:val="1"/>
    </w:lvl>
  </w:abstractNum>
  <w:abstractNum w:abstractNumId="20">
    <w:nsid w:val="8EDBDAB"/>
    <w:multiLevelType w:val="hybridMultilevel"/>
    <w:lvl w:ilvl="0">
      <w:lvlJc w:val="left"/>
      <w:lvlText w:val="(%1)"/>
      <w:numFmt w:val="decimal"/>
      <w:start w:val="3"/>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lvl w:ilvl="1">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
      <w:numFmt w:val="bullet"/>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2021-02-09T15:44:16Z</dcterms:created>
  <dcterms:modified xsi:type="dcterms:W3CDTF">2021-02-09T15:44:16Z</dcterms:modified>
</cp:coreProperties>
</file>