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PAA GP Holdings LLC</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ind w:left="7"/>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0000FF"/>
        </w:rPr>
        <w:t xml:space="preserve">PAA </w:t>
      </w:r>
      <w:r>
        <w:rPr>
          <w:rFonts w:ascii="Times New Roman" w:cs="Times New Roman" w:eastAsia="Times New Roman" w:hAnsi="Times New Roman"/>
          <w:sz w:val="21"/>
          <w:szCs w:val="21"/>
          <w:color w:val="000000"/>
        </w:rPr>
        <w:t>]</w:t>
      </w:r>
    </w:p>
    <w:p>
      <w:pPr>
        <w:spacing w:after="0" w:line="22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0000FF"/>
        </w:rPr>
        <w:t>01/23/2019</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12" w:lineRule="exact"/>
        <w:rPr>
          <w:sz w:val="24"/>
          <w:szCs w:val="24"/>
          <w:color w:val="auto"/>
        </w:rPr>
      </w:pPr>
    </w:p>
    <w:p>
      <w:pPr>
        <w:sectPr>
          <w:pgSz w:w="11900" w:h="16838" w:orient="portrait"/>
          <w:cols w:equalWidth="0" w:num="3">
            <w:col w:w="3353" w:space="720"/>
            <w:col w:w="3727" w:space="257"/>
            <w:col w:w="3363"/>
          </w:cols>
          <w:pgMar w:left="240" w:top="220" w:right="239" w:bottom="0" w:gutter="0" w:footer="0" w:header="0"/>
          <w:type w:val="continuous"/>
        </w:sect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2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480" w:type="dxa"/>
            <w:vAlign w:val="bottom"/>
            <w:shd w:val="clear" w:color="auto" w:fill="9A9A9A"/>
          </w:tcPr>
          <w:p>
            <w:pPr>
              <w:spacing w:after="0"/>
              <w:rPr>
                <w:sz w:val="3"/>
                <w:szCs w:val="3"/>
                <w:color w:val="auto"/>
              </w:rPr>
            </w:pPr>
          </w:p>
        </w:tc>
        <w:tc>
          <w:tcPr>
            <w:tcW w:w="20" w:type="dxa"/>
            <w:vAlign w:val="bottom"/>
            <w:shd w:val="clear" w:color="auto" w:fill="9A9A9A"/>
          </w:tcPr>
          <w:p>
            <w:pPr>
              <w:spacing w:after="0"/>
              <w:rPr>
                <w:sz w:val="3"/>
                <w:szCs w:val="3"/>
                <w:color w:val="auto"/>
              </w:rPr>
            </w:pPr>
          </w:p>
        </w:tc>
        <w:tc>
          <w:tcPr>
            <w:tcW w:w="680" w:type="dxa"/>
            <w:vAlign w:val="bottom"/>
            <w:shd w:val="clear" w:color="auto" w:fill="9A9A9A"/>
          </w:tcPr>
          <w:p>
            <w:pPr>
              <w:spacing w:after="0"/>
              <w:rPr>
                <w:sz w:val="3"/>
                <w:szCs w:val="3"/>
                <w:color w:val="auto"/>
              </w:rPr>
            </w:pPr>
          </w:p>
        </w:tc>
        <w:tc>
          <w:tcPr>
            <w:tcW w:w="560" w:type="dxa"/>
            <w:vAlign w:val="bottom"/>
            <w:tcBorders>
              <w:right w:val="single" w:sz="8" w:color="9A9A9A"/>
            </w:tcBorders>
            <w:shd w:val="clear" w:color="auto" w:fill="9A9A9A"/>
          </w:tcPr>
          <w:p>
            <w:pPr>
              <w:spacing w:after="0"/>
              <w:rPr>
                <w:sz w:val="3"/>
                <w:szCs w:val="3"/>
                <w:color w:val="auto"/>
              </w:rPr>
            </w:pPr>
          </w:p>
        </w:tc>
        <w:tc>
          <w:tcPr>
            <w:tcW w:w="388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80" w:type="dxa"/>
            <w:vAlign w:val="bottom"/>
            <w:gridSpan w:val="9"/>
            <w:vMerge w:val="continue"/>
          </w:tcPr>
          <w:p>
            <w:pPr>
              <w:spacing w:after="0"/>
              <w:rPr>
                <w:sz w:val="10"/>
                <w:szCs w:val="10"/>
                <w:color w:val="auto"/>
              </w:rPr>
            </w:pPr>
          </w:p>
        </w:tc>
        <w:tc>
          <w:tcPr>
            <w:tcW w:w="36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TX</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X</w:t>
            </w:r>
          </w:p>
        </w:tc>
        <w:tc>
          <w:tcPr>
            <w:tcW w:w="2980" w:type="dxa"/>
            <w:vAlign w:val="bottom"/>
            <w:gridSpan w:val="5"/>
          </w:tcPr>
          <w:p>
            <w:pPr>
              <w:ind w:left="180"/>
              <w:spacing w:after="0" w:line="152"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53"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4"/>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Units (Limited Partner Interests)</w:t>
            </w:r>
          </w:p>
        </w:tc>
        <w:tc>
          <w:tcPr>
            <w:tcW w:w="1100" w:type="dxa"/>
            <w:vAlign w:val="bottom"/>
            <w:gridSpan w:val="2"/>
            <w:vMerge w:val="restart"/>
          </w:tcPr>
          <w:p>
            <w:pPr>
              <w:jc w:val="right"/>
              <w:ind w:right="78"/>
              <w:spacing w:after="0"/>
              <w:rPr>
                <w:sz w:val="20"/>
                <w:szCs w:val="20"/>
                <w:color w:val="auto"/>
              </w:rPr>
            </w:pPr>
            <w:r>
              <w:rPr>
                <w:rFonts w:ascii="Times New Roman" w:cs="Times New Roman" w:eastAsia="Times New Roman" w:hAnsi="Times New Roman"/>
                <w:sz w:val="18"/>
                <w:szCs w:val="18"/>
                <w:color w:val="0000FF"/>
              </w:rPr>
              <w:t>01/23/2019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7"/>
                <w:szCs w:val="27"/>
                <w:color w:val="0000FF"/>
                <w:vertAlign w:val="subscript"/>
              </w:rPr>
              <w:t>J</w:t>
            </w:r>
            <w:r>
              <w:rPr>
                <w:rFonts w:ascii="Times New Roman" w:cs="Times New Roman" w:eastAsia="Times New Roman" w:hAnsi="Times New Roman"/>
                <w:sz w:val="11"/>
                <w:szCs w:val="11"/>
                <w:color w:val="008000"/>
              </w:rPr>
              <w:t>(1)(2)</w:t>
            </w: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w w:val="96"/>
              </w:rPr>
              <w:t>66,185</w:t>
            </w:r>
          </w:p>
        </w:tc>
        <w:tc>
          <w:tcPr>
            <w:tcW w:w="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640" w:type="dxa"/>
            <w:vAlign w:val="bottom"/>
            <w:gridSpan w:val="2"/>
            <w:vMerge w:val="restart"/>
          </w:tcPr>
          <w:p>
            <w:pPr>
              <w:jc w:val="right"/>
              <w:ind w:right="34"/>
              <w:spacing w:after="0" w:line="393" w:lineRule="exact"/>
              <w:rPr>
                <w:sz w:val="20"/>
                <w:szCs w:val="20"/>
                <w:color w:val="auto"/>
              </w:rPr>
            </w:pPr>
            <w:r>
              <w:rPr>
                <w:rFonts w:ascii="Arial" w:cs="Arial" w:eastAsia="Arial" w:hAnsi="Arial"/>
                <w:sz w:val="35"/>
                <w:szCs w:val="35"/>
                <w:color w:val="000000"/>
                <w:vertAlign w:val="subscript"/>
              </w:rPr>
              <w:t>$</w:t>
            </w:r>
            <w:r>
              <w:rPr>
                <w:rFonts w:ascii="Times New Roman" w:cs="Times New Roman" w:eastAsia="Times New Roman" w:hAnsi="Times New Roman"/>
                <w:sz w:val="35"/>
                <w:szCs w:val="35"/>
                <w:color w:val="0000FF"/>
                <w:vertAlign w:val="subscript"/>
              </w:rPr>
              <w:t>0</w:t>
            </w:r>
            <w:r>
              <w:rPr>
                <w:rFonts w:ascii="Times New Roman" w:cs="Times New Roman" w:eastAsia="Times New Roman" w:hAnsi="Times New Roman"/>
                <w:sz w:val="11"/>
                <w:szCs w:val="11"/>
                <w:color w:val="008000"/>
              </w:rPr>
              <w:t>(1)(2)</w:t>
            </w: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280,447,927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Plains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gridSpan w:val="9"/>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AAP,</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60" w:type="dxa"/>
            <w:vAlign w:val="bottom"/>
            <w:gridSpan w:val="13"/>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3"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spacing w:after="0" w:line="230" w:lineRule="exact"/>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PAA GP Holdings LLC</w:t>
              </w:r>
            </w:hyperlink>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TX</w:t>
            </w:r>
          </w:p>
        </w:tc>
        <w:tc>
          <w:tcPr>
            <w:tcW w:w="12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77002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spacing w:after="0" w:line="230" w:lineRule="exact"/>
              <w:rPr>
                <w:rFonts w:ascii="Times New Roman" w:cs="Times New Roman" w:eastAsia="Times New Roman" w:hAnsi="Times New Roman"/>
                <w:sz w:val="22"/>
                <w:szCs w:val="22"/>
                <w:color w:val="0000EE"/>
                <w:w w:val="95"/>
              </w:rPr>
            </w:pPr>
            <w:hyperlink r:id="rId14">
              <w:r>
                <w:rPr>
                  <w:rFonts w:ascii="Times New Roman" w:cs="Times New Roman" w:eastAsia="Times New Roman" w:hAnsi="Times New Roman"/>
                  <w:sz w:val="22"/>
                  <w:szCs w:val="22"/>
                  <w:color w:val="0000EE"/>
                  <w:w w:val="95"/>
                </w:rPr>
                <w:t>Plains AAP, L.P.</w:t>
              </w:r>
            </w:hyperlink>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TX</w:t>
            </w:r>
          </w:p>
        </w:tc>
        <w:tc>
          <w:tcPr>
            <w:tcW w:w="12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77002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8"/>
          </w:tcPr>
          <w:p>
            <w:pPr>
              <w:spacing w:after="0" w:line="230" w:lineRule="exact"/>
              <w:rPr>
                <w:rFonts w:ascii="Times New Roman" w:cs="Times New Roman" w:eastAsia="Times New Roman" w:hAnsi="Times New Roman"/>
                <w:sz w:val="22"/>
                <w:szCs w:val="22"/>
                <w:color w:val="0000EE"/>
              </w:rPr>
            </w:pPr>
            <w:hyperlink r:id="rId15">
              <w:r>
                <w:rPr>
                  <w:rFonts w:ascii="Times New Roman" w:cs="Times New Roman" w:eastAsia="Times New Roman" w:hAnsi="Times New Roman"/>
                  <w:sz w:val="22"/>
                  <w:szCs w:val="22"/>
                  <w:color w:val="0000EE"/>
                </w:rPr>
                <w:t>Plains All American GP LLC</w:t>
              </w:r>
            </w:hyperlink>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1900" w:h="16838" w:orient="portrait"/>
          <w:cols w:equalWidth="0" w:num="1">
            <w:col w:w="11420"/>
          </w:cols>
          <w:pgMar w:left="240" w:top="220" w:right="23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6"/>
          <w:szCs w:val="16"/>
          <w:color w:val="0000FF"/>
        </w:rPr>
        <w:t>333 CLAY STREET, SUITE 1600</w:t>
      </w:r>
    </w:p>
    <w:p>
      <w:pPr>
        <w:sectPr>
          <w:pgSz w:w="11900" w:h="16838" w:orient="portrait"/>
          <w:cols w:equalWidth="0" w:num="1">
            <w:col w:w="11420"/>
          </w:cols>
          <w:pgMar w:left="240" w:top="220"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0"/>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TX</w:t>
            </w: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77002</w:t>
            </w: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6"/>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2560" w:type="dxa"/>
            <w:vAlign w:val="bottom"/>
            <w:tcBorders>
              <w:bottom w:val="single" w:sz="8" w:color="0000EE"/>
            </w:tcBorders>
            <w:gridSpan w:val="2"/>
          </w:tcPr>
          <w:p>
            <w:pPr>
              <w:spacing w:after="0" w:line="230" w:lineRule="exact"/>
              <w:rPr>
                <w:rFonts w:ascii="Times New Roman" w:cs="Times New Roman" w:eastAsia="Times New Roman" w:hAnsi="Times New Roman"/>
                <w:sz w:val="22"/>
                <w:szCs w:val="22"/>
                <w:color w:val="0000EE"/>
                <w:w w:val="97"/>
              </w:rPr>
            </w:pPr>
            <w:hyperlink r:id="rId16">
              <w:r>
                <w:rPr>
                  <w:rFonts w:ascii="Times New Roman" w:cs="Times New Roman" w:eastAsia="Times New Roman" w:hAnsi="Times New Roman"/>
                  <w:sz w:val="22"/>
                  <w:szCs w:val="22"/>
                  <w:color w:val="0000EE"/>
                  <w:w w:val="97"/>
                </w:rPr>
                <w:t>PLAINS GP HOLDINGS LP</w:t>
              </w:r>
            </w:hyperlink>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2"/>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0"/>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TX</w:t>
            </w: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77002</w:t>
            </w: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8" w:lineRule="exact"/>
        <w:rPr>
          <w:rFonts w:ascii="Times New Roman" w:cs="Times New Roman" w:eastAsia="Times New Roman" w:hAnsi="Times New Roman"/>
          <w:sz w:val="14"/>
          <w:szCs w:val="14"/>
          <w:color w:val="008000"/>
        </w:rPr>
      </w:pPr>
    </w:p>
    <w:p>
      <w:pPr>
        <w:ind w:left="20" w:right="240" w:firstLine="9"/>
        <w:spacing w:after="0" w:line="24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January 23, 2019, a limited partner of AAP exercised the Redemption Right with respect to an aggregate of 66,185 AAP Class A units, resulting in the cancellation of such AAP Class A units and the distribution of 66,185 Common Units from AAP to the redeeming partner.</w:t>
      </w:r>
    </w:p>
    <w:p>
      <w:pPr>
        <w:spacing w:after="0" w:line="27" w:lineRule="exact"/>
        <w:rPr>
          <w:rFonts w:ascii="Times New Roman" w:cs="Times New Roman" w:eastAsia="Times New Roman" w:hAnsi="Times New Roman"/>
          <w:sz w:val="14"/>
          <w:szCs w:val="14"/>
          <w:color w:val="008000"/>
        </w:rPr>
      </w:pPr>
    </w:p>
    <w:p>
      <w:pPr>
        <w:ind w:left="20" w:right="160" w:firstLine="9"/>
        <w:spacing w:after="0" w:line="24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Ann F. Gullion, Assistant</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01/23/2019</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5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2020-01-09T14:07:50Z</dcterms:created>
  <dcterms:modified xsi:type="dcterms:W3CDTF">2020-01-09T14:07:50Z</dcterms:modified>
</cp:coreProperties>
</file>