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600710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Washington, D.C. 20549</w:t>
      </w:r>
    </w:p>
    <w:p>
      <w:pPr>
        <w:spacing w:after="0" w:line="17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8-K/A</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color w:val="auto"/>
        </w:rPr>
        <w:t>(Amendment No. 1)</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 xml:space="preserve">Date of Report (Date of earliest event reported) — </w:t>
      </w:r>
      <w:r>
        <w:rPr>
          <w:rFonts w:ascii="Arial" w:cs="Arial" w:eastAsia="Arial" w:hAnsi="Arial"/>
          <w:sz w:val="14"/>
          <w:szCs w:val="14"/>
          <w:b w:val="1"/>
          <w:bCs w:val="1"/>
          <w:color w:val="auto"/>
        </w:rPr>
        <w:t>October 5, 2021</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Plains GP Holdings, L.P.</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40"/>
          </w:cols>
          <w:pgMar w:left="300" w:top="1073" w:right="459" w:bottom="1440" w:gutter="0" w:footer="0" w:header="0"/>
        </w:sectPr>
      </w:pPr>
    </w:p>
    <w:p>
      <w:pPr>
        <w:spacing w:after="0" w:line="25" w:lineRule="exact"/>
        <w:rPr>
          <w:sz w:val="24"/>
          <w:szCs w:val="24"/>
          <w:color w:val="auto"/>
        </w:rPr>
      </w:pPr>
    </w:p>
    <w:p>
      <w:pPr>
        <w:jc w:val="center"/>
        <w:ind w:left="140"/>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jc w:val="center"/>
        <w:ind w:left="1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1-36132</w:t>
      </w:r>
    </w:p>
    <w:p>
      <w:pPr>
        <w:spacing w:after="0" w:line="23" w:lineRule="exact"/>
        <w:rPr>
          <w:sz w:val="24"/>
          <w:szCs w:val="24"/>
          <w:color w:val="auto"/>
        </w:rPr>
      </w:pPr>
    </w:p>
    <w:p>
      <w:pPr>
        <w:jc w:val="center"/>
        <w:ind w:right="10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90-1005472</w:t>
      </w:r>
    </w:p>
    <w:p>
      <w:pPr>
        <w:spacing w:after="0" w:line="23" w:lineRule="exact"/>
        <w:rPr>
          <w:sz w:val="24"/>
          <w:szCs w:val="24"/>
          <w:color w:val="auto"/>
        </w:rPr>
      </w:pPr>
    </w:p>
    <w:p>
      <w:pPr>
        <w:jc w:val="center"/>
        <w:ind w:right="1020"/>
        <w:spacing w:after="0"/>
        <w:rPr>
          <w:sz w:val="20"/>
          <w:szCs w:val="20"/>
          <w:color w:val="auto"/>
        </w:rPr>
      </w:pPr>
      <w:r>
        <w:rPr>
          <w:rFonts w:ascii="Arial" w:cs="Arial" w:eastAsia="Arial" w:hAnsi="Arial"/>
          <w:sz w:val="13"/>
          <w:szCs w:val="13"/>
          <w:color w:val="auto"/>
        </w:rPr>
        <w:t>(IRS Employer Identification No.)</w:t>
      </w:r>
    </w:p>
    <w:p>
      <w:pPr>
        <w:spacing w:after="0" w:line="7" w:lineRule="exact"/>
        <w:rPr>
          <w:sz w:val="24"/>
          <w:szCs w:val="24"/>
          <w:color w:val="auto"/>
        </w:rPr>
      </w:pPr>
    </w:p>
    <w:p>
      <w:pPr>
        <w:sectPr>
          <w:pgSz w:w="11900" w:h="16838" w:orient="portrait"/>
          <w:cols w:equalWidth="0" w:num="3">
            <w:col w:w="4140" w:space="720"/>
            <w:col w:w="2580" w:space="720"/>
            <w:col w:w="2980"/>
          </w:cols>
          <w:pgMar w:left="300" w:top="1073" w:right="459" w:bottom="1440" w:gutter="0" w:footer="0" w:header="0"/>
          <w:type w:val="continuous"/>
        </w:sectPr>
      </w:pPr>
    </w:p>
    <w:p>
      <w:pPr>
        <w:ind w:left="1740"/>
        <w:spacing w:after="0"/>
        <w:rPr>
          <w:sz w:val="20"/>
          <w:szCs w:val="20"/>
          <w:color w:val="auto"/>
        </w:rPr>
      </w:pPr>
      <w:r>
        <w:rPr>
          <w:rFonts w:ascii="Arial" w:cs="Arial" w:eastAsia="Arial" w:hAnsi="Arial"/>
          <w:sz w:val="14"/>
          <w:szCs w:val="14"/>
          <w:color w:val="auto"/>
        </w:rPr>
        <w:t>incorporation)</w:t>
      </w:r>
    </w:p>
    <w:p>
      <w:pPr>
        <w:spacing w:after="0" w:line="251"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333 Clay Street, Suite 1600, Houston, Texas 77002</w:t>
      </w:r>
    </w:p>
    <w:p>
      <w:pPr>
        <w:spacing w:after="0" w:line="46"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(Address of principal executive offices) (Zip Code)</w:t>
      </w:r>
    </w:p>
    <w:p>
      <w:pPr>
        <w:sectPr>
          <w:pgSz w:w="11900" w:h="16838" w:orient="portrait"/>
          <w:cols w:equalWidth="0" w:num="1">
            <w:col w:w="11140"/>
          </w:cols>
          <w:pgMar w:left="300" w:top="1073" w:right="459" w:bottom="1440" w:gutter="0" w:footer="0" w:header="0"/>
          <w:type w:val="continuous"/>
        </w:sectPr>
      </w:pPr>
    </w:p>
    <w:p>
      <w:pPr>
        <w:spacing w:after="0" w:line="19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713-646-4100</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660" w:firstLine="5"/>
        <w:spacing w:after="0" w:line="558"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Title of each class</w:t>
            </w:r>
          </w:p>
        </w:tc>
        <w:tc>
          <w:tcPr>
            <w:tcW w:w="3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1"/>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Class A Shares</w:t>
            </w:r>
          </w:p>
        </w:tc>
        <w:tc>
          <w:tcPr>
            <w:tcW w:w="100" w:type="dxa"/>
            <w:vAlign w:val="bottom"/>
          </w:tcPr>
          <w:p>
            <w:pPr>
              <w:spacing w:after="0"/>
              <w:rPr>
                <w:sz w:val="14"/>
                <w:szCs w:val="1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PAGP</w:t>
            </w:r>
          </w:p>
        </w:tc>
        <w:tc>
          <w:tcPr>
            <w:tcW w:w="100" w:type="dxa"/>
            <w:vAlign w:val="bottom"/>
          </w:tcPr>
          <w:p>
            <w:pPr>
              <w:spacing w:after="0"/>
              <w:rPr>
                <w:sz w:val="14"/>
                <w:szCs w:val="14"/>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Nasdaq</w:t>
            </w:r>
          </w:p>
        </w:tc>
      </w:tr>
    </w:tbl>
    <w:p>
      <w:pPr>
        <w:spacing w:after="0" w:line="191" w:lineRule="exact"/>
        <w:rPr>
          <w:sz w:val="24"/>
          <w:szCs w:val="24"/>
          <w:color w:val="auto"/>
        </w:rPr>
      </w:pPr>
    </w:p>
    <w:p>
      <w:pPr>
        <w:ind w:right="44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8"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772795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172085</wp:posOffset>
            </wp:positionV>
            <wp:extent cx="71145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4540" cy="133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125095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140"/>
          </w:cols>
          <w:pgMar w:left="300" w:top="1073"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EXPLANATORY NOTE</w:t>
      </w:r>
    </w:p>
    <w:p>
      <w:pPr>
        <w:spacing w:after="0" w:line="204" w:lineRule="exact"/>
        <w:rPr>
          <w:sz w:val="20"/>
          <w:szCs w:val="20"/>
          <w:color w:val="auto"/>
        </w:rPr>
      </w:pPr>
    </w:p>
    <w:p>
      <w:pPr>
        <w:ind w:right="20" w:firstLine="141"/>
        <w:spacing w:after="0" w:line="260" w:lineRule="auto"/>
        <w:rPr>
          <w:sz w:val="20"/>
          <w:szCs w:val="20"/>
          <w:color w:val="auto"/>
        </w:rPr>
      </w:pPr>
      <w:r>
        <w:rPr>
          <w:rFonts w:ascii="Arial" w:cs="Arial" w:eastAsia="Arial" w:hAnsi="Arial"/>
          <w:sz w:val="14"/>
          <w:szCs w:val="14"/>
          <w:color w:val="auto"/>
        </w:rPr>
        <w:t>On October 5, 2021, Plains GP Holdings, L.P. ("PAGP" or the "Registrant") filed a Current Report on Form 8-K (the "Original Filing") to report that on October 5, 2021, pursuant to the terms of an Agreement and Plan of Merger dated as of July 12, 2021 between subsidiaries of Plains All American Pipeline, L.P. ("PAA"), a wholly-owned subsidiary of PAGP, and Oryx Midstream Holdings LLC (together with certain affiliates, "Oryx"), PAA and Oryx completed the merger, in a cashless transaction, of their respective Permian Basin assets, operations and commercial activities into a newly formed strategic joint venture, Plains Oryx Permian Basin LLC (the "Joint Venture"). The Joint Venture is owned 65% by PAA and 35% by Oryx; PAA will serve as operator of the Joint Venture.</w:t>
      </w:r>
    </w:p>
    <w:p>
      <w:pPr>
        <w:spacing w:after="0" w:line="157"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This Current Report on Form 8-K/A (this "Amendment") amends and supplements the Original Filing to provide the financial statements of Oryx and the pro forma financial information of PAGP required by Items 9.01(a) and 9.01(b) of Form 8-K. No other modifications to the Original Filing are being made by this Amendment.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3" w:lineRule="exact"/>
        <w:rPr>
          <w:sz w:val="20"/>
          <w:szCs w:val="20"/>
          <w:color w:val="auto"/>
        </w:rPr>
      </w:pPr>
    </w:p>
    <w:p>
      <w:pPr>
        <w:ind w:left="340" w:hanging="194"/>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Financial Statements of Business or Funds Acquired.</w:t>
      </w:r>
    </w:p>
    <w:p>
      <w:pPr>
        <w:spacing w:after="0" w:line="189"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 audited consolidated financial statements of Oryx as of and for the year ended December 31, 2020 are filed as Exhibit 99.1 to this Current Report on Form 8-K/A and are incorporated herein by reference.</w:t>
      </w:r>
    </w:p>
    <w:p>
      <w:pPr>
        <w:spacing w:after="0" w:line="15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The unaudited condensed consolidated financial statements of Oryx as of and for the six months ended June 30, 2021 are filed as Exhibit 99.2 to this Current Report on Form 8-K/A and are incorporated herein by reference.</w:t>
      </w:r>
    </w:p>
    <w:p>
      <w:pPr>
        <w:spacing w:after="0" w:line="153" w:lineRule="exact"/>
        <w:rPr>
          <w:sz w:val="20"/>
          <w:szCs w:val="20"/>
          <w:color w:val="auto"/>
        </w:rPr>
      </w:pPr>
    </w:p>
    <w:p>
      <w:pPr>
        <w:ind w:left="720" w:hanging="206"/>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Pro Forma Financial Information.</w:t>
      </w:r>
    </w:p>
    <w:p>
      <w:pPr>
        <w:spacing w:after="0" w:line="200" w:lineRule="exact"/>
        <w:rPr>
          <w:sz w:val="20"/>
          <w:szCs w:val="20"/>
          <w:color w:val="auto"/>
        </w:rPr>
      </w:pPr>
    </w:p>
    <w:p>
      <w:pPr>
        <w:ind w:right="360" w:firstLine="509"/>
        <w:spacing w:after="0" w:line="281" w:lineRule="auto"/>
        <w:rPr>
          <w:sz w:val="20"/>
          <w:szCs w:val="20"/>
          <w:color w:val="auto"/>
        </w:rPr>
      </w:pPr>
      <w:r>
        <w:rPr>
          <w:rFonts w:ascii="Arial" w:cs="Arial" w:eastAsia="Arial" w:hAnsi="Arial"/>
          <w:sz w:val="14"/>
          <w:szCs w:val="14"/>
          <w:color w:val="auto"/>
        </w:rPr>
        <w:t>The unaudited Pro Forma Condensed Combined Financial Statements of PAGP for the year ended December 31, 2020 and as of and for the six months ended June 30, 2021 are filed as Exhibit 99.3 to this Current Report on Form 8-K/A and are incorporated herein by reference.</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Exhibits.</w:t>
      </w:r>
    </w:p>
    <w:p>
      <w:pPr>
        <w:spacing w:after="0" w:line="1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180" w:type="dxa"/>
            <w:vAlign w:val="bottom"/>
            <w:gridSpan w:val="2"/>
          </w:tcPr>
          <w:p>
            <w:pPr>
              <w:jc w:val="center"/>
              <w:ind w:left="352"/>
              <w:spacing w:after="0"/>
              <w:rPr>
                <w:sz w:val="20"/>
                <w:szCs w:val="20"/>
                <w:color w:val="auto"/>
              </w:rPr>
            </w:pPr>
            <w:r>
              <w:rPr>
                <w:rFonts w:ascii="Arial" w:cs="Arial" w:eastAsia="Arial" w:hAnsi="Arial"/>
                <w:sz w:val="13"/>
                <w:szCs w:val="13"/>
                <w:b w:val="1"/>
                <w:bCs w:val="1"/>
                <w:color w:val="auto"/>
                <w:w w:val="92"/>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940" w:type="dxa"/>
            <w:vAlign w:val="bottom"/>
            <w:gridSpan w:val="5"/>
            <w:vMerge w:val="restart"/>
          </w:tcPr>
          <w:p>
            <w:pPr>
              <w:ind w:left="11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8"/>
        </w:trPr>
        <w:tc>
          <w:tcPr>
            <w:tcW w:w="1180" w:type="dxa"/>
            <w:vAlign w:val="bottom"/>
            <w:gridSpan w:val="2"/>
          </w:tcPr>
          <w:p>
            <w:pPr>
              <w:ind w:left="3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00" w:type="dxa"/>
            <w:vAlign w:val="bottom"/>
            <w:tcBorders>
              <w:top w:val="single" w:sz="8" w:color="auto"/>
            </w:tcBorders>
          </w:tcPr>
          <w:p>
            <w:pPr>
              <w:jc w:val="center"/>
              <w:ind w:left="432"/>
              <w:spacing w:after="0" w:line="141" w:lineRule="exact"/>
              <w:rPr>
                <w:sz w:val="20"/>
                <w:szCs w:val="20"/>
                <w:color w:val="auto"/>
              </w:rPr>
            </w:pPr>
            <w:r>
              <w:rPr>
                <w:rFonts w:ascii="Arial" w:cs="Arial" w:eastAsia="Arial" w:hAnsi="Arial"/>
                <w:sz w:val="14"/>
                <w:szCs w:val="14"/>
                <w:color w:val="auto"/>
                <w:w w:val="87"/>
              </w:rPr>
              <w:t>23.1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0000FF"/>
            </w:tcBorders>
            <w:gridSpan w:val="3"/>
          </w:tcPr>
          <w:p>
            <w:pPr>
              <w:spacing w:after="0" w:line="141" w:lineRule="exact"/>
              <w:rPr>
                <w:rFonts w:ascii="Arial" w:cs="Arial" w:eastAsia="Arial" w:hAnsi="Arial"/>
                <w:sz w:val="14"/>
                <w:szCs w:val="14"/>
                <w:color w:val="0000FF"/>
                <w:w w:val="92"/>
              </w:rPr>
            </w:pPr>
            <w:hyperlink w:anchor="page4">
              <w:r>
                <w:rPr>
                  <w:rFonts w:ascii="Arial" w:cs="Arial" w:eastAsia="Arial" w:hAnsi="Arial"/>
                  <w:sz w:val="14"/>
                  <w:szCs w:val="14"/>
                  <w:color w:val="0000FF"/>
                  <w:w w:val="92"/>
                </w:rPr>
                <w:t>Consent of Deloitte &amp; Touche LLP.</w:t>
              </w:r>
            </w:hyperlink>
          </w:p>
        </w:tc>
        <w:tc>
          <w:tcPr>
            <w:tcW w:w="4940" w:type="dxa"/>
            <w:vAlign w:val="bottom"/>
            <w:tcBorders>
              <w:top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00" w:type="dxa"/>
            <w:vAlign w:val="bottom"/>
          </w:tcPr>
          <w:p>
            <w:pPr>
              <w:jc w:val="center"/>
              <w:ind w:left="432"/>
              <w:spacing w:after="0"/>
              <w:rPr>
                <w:sz w:val="20"/>
                <w:szCs w:val="20"/>
                <w:color w:val="auto"/>
              </w:rPr>
            </w:pPr>
            <w:r>
              <w:rPr>
                <w:rFonts w:ascii="Arial" w:cs="Arial" w:eastAsia="Arial" w:hAnsi="Arial"/>
                <w:sz w:val="14"/>
                <w:szCs w:val="14"/>
                <w:color w:val="auto"/>
                <w:w w:val="87"/>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rFonts w:ascii="Arial" w:cs="Arial" w:eastAsia="Arial" w:hAnsi="Arial"/>
                <w:sz w:val="14"/>
                <w:szCs w:val="14"/>
                <w:color w:val="0000FF"/>
                <w:w w:val="86"/>
              </w:rPr>
            </w:pPr>
            <w:hyperlink w:anchor="page5">
              <w:r>
                <w:rPr>
                  <w:rFonts w:ascii="Arial" w:cs="Arial" w:eastAsia="Arial" w:hAnsi="Arial"/>
                  <w:sz w:val="14"/>
                  <w:szCs w:val="14"/>
                  <w:color w:val="0000FF"/>
                  <w:w w:val="86"/>
                </w:rPr>
                <w:t>including</w:t>
              </w:r>
            </w:hyperlink>
          </w:p>
        </w:tc>
        <w:tc>
          <w:tcPr>
            <w:tcW w:w="6960" w:type="dxa"/>
            <w:vAlign w:val="bottom"/>
            <w:gridSpan w:val="8"/>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Audited financial statements of Oryx Midstream Holdings LLC as of and for the year ended December 31, 2020,</w:t>
              </w:r>
            </w:hyperlink>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0000FF"/>
            </w:tcBorders>
            <w:vMerge w:val="continue"/>
          </w:tcPr>
          <w:p>
            <w:pPr>
              <w:spacing w:after="0"/>
              <w:rPr>
                <w:sz w:val="10"/>
                <w:szCs w:val="10"/>
                <w:color w:val="auto"/>
              </w:rPr>
            </w:pPr>
          </w:p>
        </w:tc>
        <w:tc>
          <w:tcPr>
            <w:tcW w:w="840" w:type="dxa"/>
            <w:vAlign w:val="bottom"/>
            <w:tcBorders>
              <w:top w:val="single" w:sz="8" w:color="0000FF"/>
              <w:bottom w:val="single" w:sz="8" w:color="0000FF"/>
            </w:tcBorders>
            <w:gridSpan w:val="2"/>
          </w:tcPr>
          <w:p>
            <w:pPr>
              <w:ind w:left="60"/>
              <w:spacing w:after="0" w:line="118" w:lineRule="exact"/>
              <w:rPr>
                <w:rFonts w:ascii="Arial" w:cs="Arial" w:eastAsia="Arial" w:hAnsi="Arial"/>
                <w:sz w:val="13"/>
                <w:szCs w:val="13"/>
                <w:color w:val="0000FF"/>
                <w:w w:val="95"/>
              </w:rPr>
            </w:pPr>
            <w:hyperlink w:anchor="page5">
              <w:r>
                <w:rPr>
                  <w:rFonts w:ascii="Arial" w:cs="Arial" w:eastAsia="Arial" w:hAnsi="Arial"/>
                  <w:sz w:val="13"/>
                  <w:szCs w:val="13"/>
                  <w:color w:val="0000FF"/>
                  <w:w w:val="95"/>
                </w:rPr>
                <w:t>notes thereto.</w:t>
              </w:r>
            </w:hyperlink>
          </w:p>
        </w:tc>
        <w:tc>
          <w:tcPr>
            <w:tcW w:w="5560" w:type="dxa"/>
            <w:vAlign w:val="bottom"/>
            <w:tcBorders>
              <w:top w:val="single" w:sz="8" w:color="0000FF"/>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00" w:type="dxa"/>
            <w:vAlign w:val="bottom"/>
            <w:vMerge w:val="restart"/>
          </w:tcPr>
          <w:p>
            <w:pPr>
              <w:jc w:val="center"/>
              <w:ind w:left="432"/>
              <w:spacing w:after="0"/>
              <w:rPr>
                <w:sz w:val="20"/>
                <w:szCs w:val="20"/>
                <w:color w:val="auto"/>
              </w:rPr>
            </w:pPr>
            <w:r>
              <w:rPr>
                <w:rFonts w:ascii="Arial" w:cs="Arial" w:eastAsia="Arial" w:hAnsi="Arial"/>
                <w:sz w:val="14"/>
                <w:szCs w:val="14"/>
                <w:color w:val="auto"/>
                <w:w w:val="87"/>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rFonts w:ascii="Arial" w:cs="Arial" w:eastAsia="Arial" w:hAnsi="Arial"/>
                <w:sz w:val="14"/>
                <w:szCs w:val="14"/>
                <w:color w:val="0000FF"/>
                <w:w w:val="86"/>
              </w:rPr>
            </w:pPr>
            <w:hyperlink w:anchor="page30">
              <w:r>
                <w:rPr>
                  <w:rFonts w:ascii="Arial" w:cs="Arial" w:eastAsia="Arial" w:hAnsi="Arial"/>
                  <w:sz w:val="14"/>
                  <w:szCs w:val="14"/>
                  <w:color w:val="0000FF"/>
                  <w:w w:val="86"/>
                </w:rPr>
                <w:t>including</w:t>
              </w:r>
            </w:hyperlink>
          </w:p>
        </w:tc>
        <w:tc>
          <w:tcPr>
            <w:tcW w:w="6960" w:type="dxa"/>
            <w:vAlign w:val="bottom"/>
            <w:gridSpan w:val="8"/>
          </w:tcPr>
          <w:p>
            <w:pPr>
              <w:spacing w:after="0"/>
              <w:rPr>
                <w:rFonts w:ascii="Arial" w:cs="Arial" w:eastAsia="Arial" w:hAnsi="Arial"/>
                <w:sz w:val="14"/>
                <w:szCs w:val="14"/>
                <w:color w:val="0000FF"/>
                <w:w w:val="97"/>
              </w:rPr>
            </w:pPr>
            <w:hyperlink w:anchor="page30">
              <w:r>
                <w:rPr>
                  <w:rFonts w:ascii="Arial" w:cs="Arial" w:eastAsia="Arial" w:hAnsi="Arial"/>
                  <w:sz w:val="14"/>
                  <w:szCs w:val="14"/>
                  <w:color w:val="0000FF"/>
                  <w:w w:val="97"/>
                </w:rPr>
                <w:t>Unaudited financial statements of Oryx Midstream Holdings LLC as of and for the six months ended June 30, 2021,</w:t>
              </w:r>
            </w:hyperlink>
          </w:p>
        </w:tc>
        <w:tc>
          <w:tcPr>
            <w:tcW w:w="0" w:type="dxa"/>
            <w:vAlign w:val="bottom"/>
          </w:tcPr>
          <w:p>
            <w:pPr>
              <w:spacing w:after="0"/>
              <w:rPr>
                <w:sz w:val="1"/>
                <w:szCs w:val="1"/>
                <w:color w:val="auto"/>
              </w:rPr>
            </w:pPr>
          </w:p>
        </w:tc>
      </w:tr>
      <w:tr>
        <w:trPr>
          <w:trHeight w:val="118"/>
        </w:trPr>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580" w:type="dxa"/>
            <w:vAlign w:val="bottom"/>
            <w:tcBorders>
              <w:top w:val="single" w:sz="8" w:color="0000FF"/>
            </w:tcBorders>
            <w:gridSpan w:val="6"/>
          </w:tcPr>
          <w:p>
            <w:pPr>
              <w:ind w:left="60"/>
              <w:spacing w:after="0" w:line="118" w:lineRule="exact"/>
              <w:rPr>
                <w:rFonts w:ascii="Arial" w:cs="Arial" w:eastAsia="Arial" w:hAnsi="Arial"/>
                <w:sz w:val="13"/>
                <w:szCs w:val="13"/>
                <w:color w:val="0000FF"/>
              </w:rPr>
            </w:pPr>
            <w:hyperlink w:anchor="page30">
              <w:r>
                <w:rPr>
                  <w:rFonts w:ascii="Arial" w:cs="Arial" w:eastAsia="Arial" w:hAnsi="Arial"/>
                  <w:sz w:val="13"/>
                  <w:szCs w:val="13"/>
                  <w:color w:val="0000FF"/>
                </w:rPr>
                <w:t>notes thereto.</w:t>
              </w:r>
            </w:hyperlink>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vMerge w:val="restart"/>
          </w:tcPr>
          <w:p>
            <w:pPr>
              <w:jc w:val="center"/>
              <w:ind w:left="432"/>
              <w:spacing w:after="0"/>
              <w:rPr>
                <w:sz w:val="20"/>
                <w:szCs w:val="20"/>
                <w:color w:val="auto"/>
              </w:rPr>
            </w:pPr>
            <w:r>
              <w:rPr>
                <w:rFonts w:ascii="Arial" w:cs="Arial" w:eastAsia="Arial" w:hAnsi="Arial"/>
                <w:sz w:val="14"/>
                <w:szCs w:val="14"/>
                <w:color w:val="auto"/>
                <w:w w:val="87"/>
              </w:rPr>
              <w:t>99.3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60" w:type="dxa"/>
            <w:vAlign w:val="bottom"/>
            <w:gridSpan w:val="8"/>
          </w:tcPr>
          <w:p>
            <w:pPr>
              <w:spacing w:after="0"/>
              <w:rPr>
                <w:rFonts w:ascii="Arial" w:cs="Arial" w:eastAsia="Arial" w:hAnsi="Arial"/>
                <w:sz w:val="14"/>
                <w:szCs w:val="14"/>
                <w:color w:val="0000FF"/>
                <w:w w:val="93"/>
              </w:rPr>
            </w:pPr>
            <w:hyperlink w:anchor="page43">
              <w:r>
                <w:rPr>
                  <w:rFonts w:ascii="Arial" w:cs="Arial" w:eastAsia="Arial" w:hAnsi="Arial"/>
                  <w:sz w:val="14"/>
                  <w:szCs w:val="14"/>
                  <w:color w:val="0000FF"/>
                  <w:w w:val="93"/>
                </w:rPr>
                <w:t>Unaudited pro forma condensed combined financial statements of Plains GP Holdings, L.P. as of and for the six months</w:t>
              </w:r>
            </w:hyperlink>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80" w:type="dxa"/>
            <w:vAlign w:val="bottom"/>
            <w:gridSpan w:val="8"/>
          </w:tcPr>
          <w:p>
            <w:pPr>
              <w:spacing w:after="0" w:line="118" w:lineRule="exact"/>
              <w:rPr>
                <w:rFonts w:ascii="Arial" w:cs="Arial" w:eastAsia="Arial" w:hAnsi="Arial"/>
                <w:sz w:val="13"/>
                <w:szCs w:val="13"/>
                <w:color w:val="0000FF"/>
              </w:rPr>
            </w:pPr>
            <w:hyperlink w:anchor="page43">
              <w:r>
                <w:rPr>
                  <w:rFonts w:ascii="Arial" w:cs="Arial" w:eastAsia="Arial" w:hAnsi="Arial"/>
                  <w:sz w:val="13"/>
                  <w:szCs w:val="13"/>
                  <w:color w:val="0000FF"/>
                </w:rPr>
                <w:t>ended June 30, 2021 and for the year ended December 31, 2020, including notes thereto.</w:t>
              </w:r>
            </w:hyperlink>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2220" w:hanging="1006"/>
        <w:spacing w:after="0"/>
        <w:tabs>
          <w:tab w:leader="none" w:pos="2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9" w:lineRule="exact"/>
        <w:rPr>
          <w:rFonts w:ascii="Arial" w:cs="Arial" w:eastAsia="Arial" w:hAnsi="Arial"/>
          <w:sz w:val="14"/>
          <w:szCs w:val="14"/>
          <w:color w:val="auto"/>
        </w:rPr>
      </w:pPr>
    </w:p>
    <w:p>
      <w:pPr>
        <w:ind w:left="5600"/>
        <w:spacing w:after="0"/>
        <w:rPr>
          <w:rFonts w:ascii="Arial" w:cs="Arial" w:eastAsia="Arial" w:hAnsi="Arial"/>
          <w:sz w:val="14"/>
          <w:szCs w:val="14"/>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ind w:left="4980"/>
        <w:spacing w:after="0"/>
        <w:rPr>
          <w:sz w:val="20"/>
          <w:szCs w:val="20"/>
          <w:color w:val="auto"/>
        </w:rPr>
      </w:pPr>
      <w:r>
        <w:rPr>
          <w:rFonts w:ascii="Arial" w:cs="Arial" w:eastAsia="Arial" w:hAnsi="Arial"/>
          <w:sz w:val="14"/>
          <w:szCs w:val="14"/>
          <w:b w:val="1"/>
          <w:bCs w:val="1"/>
          <w:color w:val="auto"/>
        </w:rPr>
        <w:t>SIGNATURES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7420" w:type="dxa"/>
            <w:vAlign w:val="bottom"/>
            <w:gridSpan w:val="3"/>
          </w:tcPr>
          <w:p>
            <w:pPr>
              <w:ind w:left="1440"/>
              <w:spacing w:after="0"/>
              <w:rPr>
                <w:sz w:val="20"/>
                <w:szCs w:val="20"/>
                <w:color w:val="auto"/>
              </w:rPr>
            </w:pPr>
            <w:r>
              <w:rPr>
                <w:rFonts w:ascii="Arial" w:cs="Arial" w:eastAsia="Arial" w:hAnsi="Arial"/>
                <w:sz w:val="14"/>
                <w:szCs w:val="14"/>
                <w:color w:val="auto"/>
              </w:rPr>
              <w:t>PLAINS GP HOLDINGS, L.P.</w:t>
            </w:r>
          </w:p>
        </w:tc>
      </w:tr>
      <w:tr>
        <w:trPr>
          <w:trHeight w:val="393"/>
        </w:trPr>
        <w:tc>
          <w:tcPr>
            <w:tcW w:w="2900" w:type="dxa"/>
            <w:vAlign w:val="bottom"/>
          </w:tcPr>
          <w:p>
            <w:pPr>
              <w:spacing w:after="0"/>
              <w:rPr>
                <w:sz w:val="24"/>
                <w:szCs w:val="24"/>
                <w:color w:val="auto"/>
              </w:rPr>
            </w:pPr>
          </w:p>
        </w:tc>
        <w:tc>
          <w:tcPr>
            <w:tcW w:w="1660" w:type="dxa"/>
            <w:vAlign w:val="bottom"/>
          </w:tcPr>
          <w:p>
            <w:pPr>
              <w:ind w:left="1440"/>
              <w:spacing w:after="0"/>
              <w:rPr>
                <w:sz w:val="20"/>
                <w:szCs w:val="20"/>
                <w:color w:val="auto"/>
              </w:rPr>
            </w:pPr>
            <w:r>
              <w:rPr>
                <w:rFonts w:ascii="Arial" w:cs="Arial" w:eastAsia="Arial" w:hAnsi="Arial"/>
                <w:sz w:val="14"/>
                <w:szCs w:val="14"/>
                <w:color w:val="auto"/>
                <w:w w:val="98"/>
              </w:rPr>
              <w:t>By:</w:t>
            </w:r>
          </w:p>
        </w:tc>
        <w:tc>
          <w:tcPr>
            <w:tcW w:w="5760" w:type="dxa"/>
            <w:vAlign w:val="bottom"/>
            <w:gridSpan w:val="2"/>
          </w:tcPr>
          <w:p>
            <w:pPr>
              <w:ind w:left="540"/>
              <w:spacing w:after="0"/>
              <w:rPr>
                <w:sz w:val="20"/>
                <w:szCs w:val="20"/>
                <w:color w:val="auto"/>
              </w:rPr>
            </w:pPr>
            <w:r>
              <w:rPr>
                <w:rFonts w:ascii="Arial" w:cs="Arial" w:eastAsia="Arial" w:hAnsi="Arial"/>
                <w:sz w:val="14"/>
                <w:szCs w:val="14"/>
                <w:color w:val="auto"/>
              </w:rPr>
              <w:t>PAA GP Holdings LLC, its general partner</w:t>
            </w:r>
          </w:p>
        </w:tc>
      </w:tr>
      <w:tr>
        <w:trPr>
          <w:trHeight w:val="393"/>
        </w:trPr>
        <w:tc>
          <w:tcPr>
            <w:tcW w:w="2900" w:type="dxa"/>
            <w:vAlign w:val="bottom"/>
          </w:tcPr>
          <w:p>
            <w:pPr>
              <w:spacing w:after="0"/>
              <w:rPr>
                <w:sz w:val="20"/>
                <w:szCs w:val="20"/>
                <w:color w:val="auto"/>
              </w:rPr>
            </w:pPr>
            <w:r>
              <w:rPr>
                <w:rFonts w:ascii="Arial" w:cs="Arial" w:eastAsia="Arial" w:hAnsi="Arial"/>
                <w:sz w:val="14"/>
                <w:szCs w:val="14"/>
                <w:color w:val="auto"/>
              </w:rPr>
              <w:t>Date: December 14, 2021</w:t>
            </w:r>
          </w:p>
        </w:tc>
        <w:tc>
          <w:tcPr>
            <w:tcW w:w="1660" w:type="dxa"/>
            <w:vAlign w:val="bottom"/>
          </w:tcPr>
          <w:p>
            <w:pPr>
              <w:ind w:left="1440"/>
              <w:spacing w:after="0"/>
              <w:rPr>
                <w:sz w:val="20"/>
                <w:szCs w:val="20"/>
                <w:color w:val="auto"/>
              </w:rPr>
            </w:pPr>
            <w:r>
              <w:rPr>
                <w:rFonts w:ascii="Arial" w:cs="Arial" w:eastAsia="Arial" w:hAnsi="Arial"/>
                <w:sz w:val="14"/>
                <w:szCs w:val="14"/>
                <w:color w:val="auto"/>
                <w:w w:val="98"/>
              </w:rPr>
              <w:t>By:</w:t>
            </w:r>
          </w:p>
        </w:tc>
        <w:tc>
          <w:tcPr>
            <w:tcW w:w="57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/s/ Chris Herbold</w:t>
            </w:r>
          </w:p>
        </w:tc>
      </w:tr>
      <w:tr>
        <w:trPr>
          <w:trHeight w:val="171"/>
        </w:trPr>
        <w:tc>
          <w:tcPr>
            <w:tcW w:w="2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ind w:left="540"/>
              <w:spacing w:after="0"/>
              <w:rPr>
                <w:sz w:val="20"/>
                <w:szCs w:val="20"/>
                <w:color w:val="auto"/>
              </w:rPr>
            </w:pPr>
            <w:r>
              <w:rPr>
                <w:rFonts w:ascii="Arial" w:cs="Arial" w:eastAsia="Arial" w:hAnsi="Arial"/>
                <w:sz w:val="14"/>
                <w:szCs w:val="14"/>
                <w:color w:val="auto"/>
              </w:rPr>
              <w:t>Name:</w:t>
            </w:r>
          </w:p>
        </w:tc>
        <w:tc>
          <w:tcPr>
            <w:tcW w:w="4580" w:type="dxa"/>
            <w:vAlign w:val="bottom"/>
          </w:tcPr>
          <w:p>
            <w:pPr>
              <w:ind w:left="280"/>
              <w:spacing w:after="0"/>
              <w:rPr>
                <w:sz w:val="20"/>
                <w:szCs w:val="20"/>
                <w:color w:val="auto"/>
              </w:rPr>
            </w:pPr>
            <w:r>
              <w:rPr>
                <w:rFonts w:ascii="Arial" w:cs="Arial" w:eastAsia="Arial" w:hAnsi="Arial"/>
                <w:sz w:val="14"/>
                <w:szCs w:val="14"/>
                <w:color w:val="auto"/>
              </w:rPr>
              <w:t>Chris Herbold</w:t>
            </w:r>
          </w:p>
        </w:tc>
      </w:tr>
      <w:tr>
        <w:trPr>
          <w:trHeight w:val="180"/>
        </w:trPr>
        <w:tc>
          <w:tcPr>
            <w:tcW w:w="29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Arial" w:cs="Arial" w:eastAsia="Arial" w:hAnsi="Arial"/>
                <w:sz w:val="14"/>
                <w:szCs w:val="14"/>
                <w:color w:val="auto"/>
              </w:rPr>
              <w:t>Title:</w:t>
            </w:r>
          </w:p>
        </w:tc>
        <w:tc>
          <w:tcPr>
            <w:tcW w:w="4580" w:type="dxa"/>
            <w:vAlign w:val="bottom"/>
          </w:tcPr>
          <w:p>
            <w:pPr>
              <w:ind w:left="280"/>
              <w:spacing w:after="0"/>
              <w:rPr>
                <w:sz w:val="20"/>
                <w:szCs w:val="20"/>
                <w:color w:val="auto"/>
              </w:rPr>
            </w:pPr>
            <w:r>
              <w:rPr>
                <w:rFonts w:ascii="Arial" w:cs="Arial" w:eastAsia="Arial" w:hAnsi="Arial"/>
                <w:sz w:val="14"/>
                <w:szCs w:val="14"/>
                <w:i w:val="1"/>
                <w:iCs w:val="1"/>
                <w:color w:val="auto"/>
              </w:rPr>
              <w:t>Senior Vice President, Finance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500" w:top="804" w:right="239" w:bottom="1440" w:gutter="0" w:footer="0" w:header="0"/>
        </w:sectPr>
      </w:pPr>
    </w:p>
    <w:bookmarkStart w:id="3" w:name="page4"/>
    <w:bookmarkEnd w:id="3"/>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23.1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AUDITORS</w:t>
      </w:r>
    </w:p>
    <w:p>
      <w:pPr>
        <w:spacing w:after="0" w:line="206" w:lineRule="exact"/>
        <w:rPr>
          <w:sz w:val="20"/>
          <w:szCs w:val="20"/>
          <w:color w:val="auto"/>
        </w:rPr>
      </w:pPr>
    </w:p>
    <w:p>
      <w:pPr>
        <w:ind w:right="140"/>
        <w:spacing w:after="0" w:line="284" w:lineRule="auto"/>
        <w:rPr>
          <w:sz w:val="20"/>
          <w:szCs w:val="20"/>
          <w:color w:val="auto"/>
        </w:rPr>
      </w:pPr>
      <w:r>
        <w:rPr>
          <w:rFonts w:ascii="Arial" w:cs="Arial" w:eastAsia="Arial" w:hAnsi="Arial"/>
          <w:sz w:val="12"/>
          <w:szCs w:val="12"/>
          <w:color w:val="auto"/>
        </w:rPr>
        <w:t>We consent to the incorporation by reference in Registration Statement No. 333-200596, 333-210067, 333-218463, 333-235481 and 333-235482 on Form S-3 and 333-193141 on Form S-8 of Plains GP Holdings, L.P. of our report dated March 19, 2021, relating to the financial statements of Oryx Midstream Holdings LLC appearing in this Current Report on Form 8-K dated December 14, 2021.</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Dallas, Texas</w:t>
      </w:r>
    </w:p>
    <w:p>
      <w:pPr>
        <w:spacing w:after="0"/>
        <w:rPr>
          <w:sz w:val="20"/>
          <w:szCs w:val="20"/>
          <w:color w:val="auto"/>
        </w:rPr>
      </w:pPr>
      <w:r>
        <w:rPr>
          <w:rFonts w:ascii="Arial" w:cs="Arial" w:eastAsia="Arial" w:hAnsi="Arial"/>
          <w:sz w:val="13"/>
          <w:szCs w:val="13"/>
          <w:color w:val="auto"/>
        </w:rPr>
        <w:t>December 14, 2021</w:t>
      </w:r>
    </w:p>
    <w:p>
      <w:pPr>
        <w:sectPr>
          <w:pgSz w:w="11900" w:h="16838" w:orient="portrait"/>
          <w:cols w:equalWidth="0" w:num="1">
            <w:col w:w="11280"/>
          </w:cols>
          <w:pgMar w:left="300" w:top="1440"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99.3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183" w:lineRule="exact"/>
        <w:rPr>
          <w:sz w:val="20"/>
          <w:szCs w:val="20"/>
          <w:color w:val="auto"/>
        </w:rPr>
      </w:pPr>
    </w:p>
    <w:p>
      <w:pPr>
        <w:ind w:right="540" w:firstLine="283"/>
        <w:spacing w:after="0" w:line="281" w:lineRule="auto"/>
        <w:rPr>
          <w:sz w:val="20"/>
          <w:szCs w:val="20"/>
          <w:color w:val="auto"/>
        </w:rPr>
      </w:pPr>
      <w:r>
        <w:rPr>
          <w:rFonts w:ascii="Arial" w:cs="Arial" w:eastAsia="Arial" w:hAnsi="Arial"/>
          <w:sz w:val="14"/>
          <w:szCs w:val="14"/>
          <w:color w:val="auto"/>
        </w:rPr>
        <w:t>Unaudited pro forma condensed combined financial statements of Plains GP Holdings, L.P. as of and for the six months ended June 30, 2021 and for the year ended December 31, 2020, including the notes thereto.</w:t>
      </w:r>
    </w:p>
    <w:p>
      <w:pPr>
        <w:sectPr>
          <w:pgSz w:w="11900" w:h="16838" w:orient="portrait"/>
          <w:cols w:equalWidth="0" w:num="1">
            <w:col w:w="11280"/>
          </w:cols>
          <w:pgMar w:left="300" w:top="634"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UNAUDITED PRO FORMA CONDENSED COMBINED FINANCIAL STATEMENTS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Introduction</w:t>
            </w:r>
          </w:p>
        </w:tc>
        <w:tc>
          <w:tcPr>
            <w:tcW w:w="7940" w:type="dxa"/>
            <w:vAlign w:val="bottom"/>
            <w:gridSpan w:val="4"/>
          </w:tcPr>
          <w:p>
            <w:pPr>
              <w:spacing w:after="0"/>
              <w:rPr>
                <w:sz w:val="14"/>
                <w:szCs w:val="14"/>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F-2</w:t>
            </w:r>
          </w:p>
        </w:tc>
      </w:tr>
      <w:tr>
        <w:trPr>
          <w:trHeight w:val="192"/>
        </w:trPr>
        <w:tc>
          <w:tcPr>
            <w:tcW w:w="8640" w:type="dxa"/>
            <w:vAlign w:val="bottom"/>
            <w:gridSpan w:val="5"/>
          </w:tcPr>
          <w:p>
            <w:pPr>
              <w:spacing w:after="0"/>
              <w:rPr>
                <w:sz w:val="20"/>
                <w:szCs w:val="20"/>
                <w:color w:val="auto"/>
              </w:rPr>
            </w:pPr>
            <w:r>
              <w:rPr>
                <w:rFonts w:ascii="Arial" w:cs="Arial" w:eastAsia="Arial" w:hAnsi="Arial"/>
                <w:sz w:val="14"/>
                <w:szCs w:val="14"/>
                <w:color w:val="auto"/>
              </w:rPr>
              <w:t>Unaudited Pro Forma Condensed Combined Balance Sheet as of June 30, 2021</w:t>
            </w: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F-3</w:t>
            </w:r>
          </w:p>
        </w:tc>
      </w:tr>
      <w:tr>
        <w:trPr>
          <w:trHeight w:val="20"/>
        </w:trPr>
        <w:tc>
          <w:tcPr>
            <w:tcW w:w="4480" w:type="dxa"/>
            <w:vAlign w:val="bottom"/>
            <w:tcBorders>
              <w:right w:val="single" w:sz="8" w:color="auto"/>
            </w:tcBorders>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8640" w:type="dxa"/>
            <w:vAlign w:val="bottom"/>
            <w:gridSpan w:val="5"/>
          </w:tcPr>
          <w:p>
            <w:pPr>
              <w:spacing w:after="0"/>
              <w:rPr>
                <w:sz w:val="20"/>
                <w:szCs w:val="20"/>
                <w:color w:val="auto"/>
              </w:rPr>
            </w:pPr>
            <w:r>
              <w:rPr>
                <w:rFonts w:ascii="Arial" w:cs="Arial" w:eastAsia="Arial" w:hAnsi="Arial"/>
                <w:sz w:val="14"/>
                <w:szCs w:val="14"/>
                <w:color w:val="auto"/>
              </w:rPr>
              <w:t>Unaudited Pro Forma Condensed Statement of Combined Operations for the Six Months Ended June 30, 2021</w:t>
            </w: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F-4</w:t>
            </w:r>
          </w:p>
        </w:tc>
      </w:tr>
      <w:tr>
        <w:trPr>
          <w:trHeight w:val="192"/>
        </w:trPr>
        <w:tc>
          <w:tcPr>
            <w:tcW w:w="62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w w:val="91"/>
              </w:rPr>
              <w:t>Unaudited Pro Forma Condensed Statement of Combined Operations for the Year Ended December 31, 2020</w:t>
            </w:r>
          </w:p>
        </w:tc>
        <w:tc>
          <w:tcPr>
            <w:tcW w:w="2400" w:type="dxa"/>
            <w:vAlign w:val="bottom"/>
          </w:tcPr>
          <w:p>
            <w:pPr>
              <w:spacing w:after="0"/>
              <w:rPr>
                <w:sz w:val="16"/>
                <w:szCs w:val="16"/>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F-5</w:t>
            </w:r>
          </w:p>
        </w:tc>
      </w:tr>
      <w:tr>
        <w:trPr>
          <w:trHeight w:val="192"/>
        </w:trPr>
        <w:tc>
          <w:tcPr>
            <w:tcW w:w="6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Notes to the Unaudited Pro Forma Condensed Combined Financial Statements</w:t>
            </w:r>
          </w:p>
        </w:tc>
        <w:tc>
          <w:tcPr>
            <w:tcW w:w="2480" w:type="dxa"/>
            <w:vAlign w:val="bottom"/>
            <w:gridSpan w:val="2"/>
          </w:tcPr>
          <w:p>
            <w:pPr>
              <w:spacing w:after="0"/>
              <w:rPr>
                <w:sz w:val="16"/>
                <w:szCs w:val="16"/>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F-6</w:t>
            </w:r>
          </w:p>
        </w:tc>
      </w:tr>
      <w:tr>
        <w:trPr>
          <w:trHeight w:val="892"/>
        </w:trPr>
        <w:tc>
          <w:tcPr>
            <w:tcW w:w="70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4160" w:type="dxa"/>
            <w:vAlign w:val="bottom"/>
            <w:gridSpan w:val="3"/>
          </w:tcPr>
          <w:p>
            <w:pPr>
              <w:ind w:left="1040"/>
              <w:spacing w:after="0"/>
              <w:rPr>
                <w:sz w:val="20"/>
                <w:szCs w:val="20"/>
                <w:color w:val="auto"/>
              </w:rPr>
            </w:pPr>
            <w:r>
              <w:rPr>
                <w:rFonts w:ascii="Arial" w:cs="Arial" w:eastAsia="Arial" w:hAnsi="Arial"/>
                <w:sz w:val="14"/>
                <w:szCs w:val="14"/>
                <w:color w:val="auto"/>
              </w:rPr>
              <w:t>F-2</w:t>
            </w:r>
          </w:p>
        </w:tc>
        <w:tc>
          <w:tcPr>
            <w:tcW w:w="2600" w:type="dxa"/>
            <w:vAlign w:val="bottom"/>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PRO FORMA CONDENSED COMBINED FINANCIAL STATEMENTS</w:t>
      </w:r>
    </w:p>
    <w:p>
      <w:pPr>
        <w:spacing w:after="0" w:line="158" w:lineRule="exact"/>
        <w:rPr>
          <w:sz w:val="20"/>
          <w:szCs w:val="20"/>
          <w:color w:val="auto"/>
        </w:rPr>
      </w:pPr>
    </w:p>
    <w:p>
      <w:pPr>
        <w:ind w:right="100" w:firstLine="255"/>
        <w:spacing w:after="0" w:line="230" w:lineRule="auto"/>
        <w:rPr>
          <w:sz w:val="20"/>
          <w:szCs w:val="20"/>
          <w:color w:val="auto"/>
        </w:rPr>
      </w:pPr>
      <w:r>
        <w:rPr>
          <w:rFonts w:ascii="Arial" w:cs="Arial" w:eastAsia="Arial" w:hAnsi="Arial"/>
          <w:sz w:val="14"/>
          <w:szCs w:val="14"/>
          <w:color w:val="auto"/>
        </w:rPr>
        <w:t>On October 5, 2021, pursuant to the terms of an Agreement and Plan of Merger dated as of July 12, 2021 (the “Merger Agreement”) between subsidiaries of Plains All American Pipeline, L.P. (“PAA”), a wholly-owned subsidiary of Plains GP Holdings, L.P. (“PAGP” or the “Registrant”), and Oryx Midstream Holdings LLC (together with certain affiliates, “Oryx”), a portfolio company of Stonepeak Infrastructure Partners (“Stonepeak”), PAA and Oryx completed the merger (the "transaction"), in a cashless transaction, of their respective Permian Basin assets, operations and commercial activities into a newly formed strategic joint venture, Plains Oryx Permian Basin LLC (the “Joint Venture”). The Joint Venture, which will be consolidated within PAGP's financial statements, is owned 65% by PAA and 35% by Oryx; PAA will serve as operator of the Joint Venture.</w:t>
      </w:r>
    </w:p>
    <w:p>
      <w:pPr>
        <w:spacing w:after="0" w:line="173"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The following unaudited pro forma condensed statements of combined operations for the six months ended June 30, 2021 and for the year ended December 31, 2020 have been prepared as if the transaction described above had taken place on January 1, 2020. The unaudited pro forma condensed combined balance sheet as of June 30, 2021 assumes the transaction was consummated on June 30, 2021.</w:t>
      </w:r>
    </w:p>
    <w:p>
      <w:pPr>
        <w:spacing w:after="0" w:line="184" w:lineRule="exact"/>
        <w:rPr>
          <w:sz w:val="20"/>
          <w:szCs w:val="20"/>
          <w:color w:val="auto"/>
        </w:rPr>
      </w:pPr>
    </w:p>
    <w:p>
      <w:pPr>
        <w:ind w:right="140" w:firstLine="255"/>
        <w:spacing w:after="0" w:line="283" w:lineRule="auto"/>
        <w:rPr>
          <w:sz w:val="20"/>
          <w:szCs w:val="20"/>
          <w:color w:val="auto"/>
        </w:rPr>
      </w:pPr>
      <w:r>
        <w:rPr>
          <w:rFonts w:ascii="Arial" w:cs="Arial" w:eastAsia="Arial" w:hAnsi="Arial"/>
          <w:sz w:val="14"/>
          <w:szCs w:val="14"/>
          <w:color w:val="auto"/>
        </w:rPr>
        <w:t>The following unaudited pro forma condensed combined financial information has been prepared in accordance with Article 11 of SEC Regulation S-X and includes pro forma adjustments that are directly attributable to the transaction and factually supportable. Certain reclassifications have been made to the historical presentation of Oryx's financial statements to conform to our presentation and to the presentation of the pro forma financial statements contained herein. See Note 5 for additional information.</w:t>
      </w:r>
    </w:p>
    <w:p>
      <w:pPr>
        <w:spacing w:after="0" w:line="152"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unaudited pro forma condensed combined financial information has been derived from and should be read in conjunction with the following historical financial statements and accompanying notes of PAGP and Oryx:</w:t>
      </w:r>
    </w:p>
    <w:p>
      <w:pPr>
        <w:spacing w:after="0" w:line="164"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audited consolidated financial statements and related notes of PAGP included in PAGP's Annual Report on Form 10-K for the year ended December 31, 2020;</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unaudited condensed consolidated financial statements and related notes of PAGP included in PAGP's Quarterly Report on Form 10-Q for the six months ended June 30, 2021;</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audited consolidated financial statements and related notes of Oryx for the year ended December 31, 2020, included in Exhibit 99.1 to this Current Report on Form 8-K;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unaudited condensed consolidated financial statements and related notes of Oryx for the six months ended June 30, 2021, included in Exhibit 99.2 to this Current Report on Form 8-K.</w:t>
      </w:r>
    </w:p>
    <w:p>
      <w:pPr>
        <w:spacing w:after="0" w:line="190"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 xml:space="preserve">The formation of the Joint Venture is accounted for as a business combination and thus the Transaction Accounting Adjustments presented in the unaudited pro forma condensed combined financial statements have been prepared using the acquisition method of accounting in accordance with Financial Accounting Standards Board Accounting Standards Codification 805,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Combinations </w:t>
      </w:r>
      <w:r>
        <w:rPr>
          <w:rFonts w:ascii="Arial" w:cs="Arial" w:eastAsia="Arial" w:hAnsi="Arial"/>
          <w:sz w:val="13"/>
          <w:szCs w:val="13"/>
          <w:color w:val="auto"/>
        </w:rPr>
        <w:t>("ASC 805"). The unaudited pro forma condensed combined financial statements are based on assumptions that we believe are reasonable under the circumstances and are intended for</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informational purposes only. They reflect management’s preliminary estimates of the values of the assets acquired and liabilities assumed, pending the completion of valuation procedures. A change in the unaudited pro forma adjustments of the purchase price for the transaction would primarily result in an adjustment to the determined fair values assigned to tangible and intangible assets. The income statement effect of these changes will depend on the nature and amount of the adjustments.</w:t>
      </w:r>
    </w:p>
    <w:p>
      <w:pPr>
        <w:spacing w:after="0" w:line="14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The unaudited pro forma condensed combined financial statements are not necessarily indicative of the results of the actual or future operations or financial condition that would have been achieved had the transaction occurred at the dates assumed (as noted above). The actual results in the periods following the transaction may differ significantly from those reflected in the unaudited pro forma condensed combined financial statements for a number of reasons including, but not limited to, differences between the assumptions used to prepare the unaudited pro forma condensed combined financial data and the actual amounts and the completion of a final valuation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29"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Table of Contents</w:t>
              </w:r>
            </w:hyperlink>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6"/>
        </w:trPr>
        <w:tc>
          <w:tcPr>
            <w:tcW w:w="100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54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9"/>
              </w:rPr>
              <w:t>PLAINS GP HOLDINGS, L.P. AND SUBSIDIARIES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4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UNAUDITED PRO FORMA CONDENSED COMBINED BALANCE SHEET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00" w:type="dxa"/>
            <w:vAlign w:val="bottom"/>
            <w:gridSpan w:val="4"/>
          </w:tcPr>
          <w:p>
            <w:pPr>
              <w:jc w:val="center"/>
              <w:ind w:left="989"/>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900" w:type="dxa"/>
            <w:vAlign w:val="bottom"/>
            <w:gridSpan w:val="2"/>
          </w:tcPr>
          <w:p>
            <w:pPr>
              <w:jc w:val="center"/>
              <w:ind w:left="2069"/>
              <w:spacing w:after="0"/>
              <w:rPr>
                <w:sz w:val="20"/>
                <w:szCs w:val="20"/>
                <w:color w:val="auto"/>
              </w:rPr>
            </w:pPr>
            <w:r>
              <w:rPr>
                <w:rFonts w:ascii="Arial" w:cs="Arial" w:eastAsia="Arial" w:hAnsi="Arial"/>
                <w:sz w:val="14"/>
                <w:szCs w:val="14"/>
                <w:b w:val="1"/>
                <w:bCs w:val="1"/>
                <w:color w:val="auto"/>
                <w:w w:val="91"/>
              </w:rPr>
              <w:t>(in millions)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10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Oryx Historical</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29"/>
              <w:spacing w:after="0"/>
              <w:rPr>
                <w:sz w:val="20"/>
                <w:szCs w:val="20"/>
                <w:color w:val="auto"/>
              </w:rPr>
            </w:pPr>
            <w:r>
              <w:rPr>
                <w:rFonts w:ascii="Arial" w:cs="Arial" w:eastAsia="Arial" w:hAnsi="Arial"/>
                <w:sz w:val="14"/>
                <w:szCs w:val="14"/>
                <w:b w:val="1"/>
                <w:bCs w:val="1"/>
                <w:color w:val="auto"/>
                <w:w w:val="95"/>
              </w:rPr>
              <w:t>PAGP</w:t>
            </w:r>
          </w:p>
        </w:tc>
      </w:tr>
      <w:tr>
        <w:trPr>
          <w:trHeight w:val="170"/>
        </w:trPr>
        <w:tc>
          <w:tcPr>
            <w:tcW w:w="1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PAGP</w:t>
            </w:r>
          </w:p>
        </w:tc>
        <w:tc>
          <w:tcPr>
            <w:tcW w:w="1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Adjusted</w:t>
            </w:r>
          </w:p>
        </w:tc>
        <w:tc>
          <w:tcPr>
            <w:tcW w:w="160" w:type="dxa"/>
            <w:vAlign w:val="bottom"/>
          </w:tcPr>
          <w:p>
            <w:pPr>
              <w:spacing w:after="0"/>
              <w:rPr>
                <w:sz w:val="14"/>
                <w:szCs w:val="14"/>
                <w:color w:val="auto"/>
              </w:rPr>
            </w:pPr>
          </w:p>
        </w:tc>
        <w:tc>
          <w:tcPr>
            <w:tcW w:w="1040" w:type="dxa"/>
            <w:vAlign w:val="bottom"/>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Pro Forma</w:t>
            </w:r>
          </w:p>
        </w:tc>
      </w:tr>
      <w:tr>
        <w:trPr>
          <w:trHeight w:val="184"/>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(Note 5)</w:t>
            </w:r>
          </w:p>
        </w:tc>
        <w:tc>
          <w:tcPr>
            <w:tcW w:w="160" w:type="dxa"/>
            <w:vAlign w:val="bottom"/>
          </w:tcPr>
          <w:p>
            <w:pPr>
              <w:spacing w:after="0"/>
              <w:rPr>
                <w:sz w:val="16"/>
                <w:szCs w:val="16"/>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b w:val="1"/>
                <w:bCs w:val="1"/>
                <w:color w:val="auto"/>
                <w:w w:val="94"/>
              </w:rPr>
              <w:t>Adjustments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Combined</w:t>
            </w: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ASSETS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3"/>
              </w:rPr>
              <w:t>Trade accounts receivable and other receivables, net</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3,897</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Inventory</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181"/>
        </w:trPr>
        <w:tc>
          <w:tcPr>
            <w:tcW w:w="3120" w:type="dxa"/>
            <w:vAlign w:val="bottom"/>
            <w:gridSpan w:val="2"/>
          </w:tcPr>
          <w:p>
            <w:pPr>
              <w:ind w:left="100"/>
              <w:spacing w:after="0"/>
              <w:rPr>
                <w:sz w:val="20"/>
                <w:szCs w:val="20"/>
                <w:color w:val="auto"/>
              </w:rPr>
            </w:pPr>
            <w:r>
              <w:rPr>
                <w:rFonts w:ascii="Arial" w:cs="Arial" w:eastAsia="Arial" w:hAnsi="Arial"/>
                <w:sz w:val="14"/>
                <w:szCs w:val="14"/>
                <w:color w:val="auto"/>
              </w:rPr>
              <w:t>Total current assets</w:t>
            </w:r>
          </w:p>
        </w:tc>
        <w:tc>
          <w:tcPr>
            <w:tcW w:w="2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5,678</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5,736</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9"/>
        </w:trPr>
        <w:tc>
          <w:tcPr>
            <w:tcW w:w="3120" w:type="dxa"/>
            <w:vAlign w:val="bottom"/>
            <w:gridSpan w:val="2"/>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AND EQUIPMENT, NET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439</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15,345</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9"/>
        </w:trPr>
        <w:tc>
          <w:tcPr>
            <w:tcW w:w="3120" w:type="dxa"/>
            <w:vAlign w:val="bottom"/>
            <w:gridSpan w:val="2"/>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ASSETS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Investments in unconsolidated entities</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Deferred tax asset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0"/>
              <w:spacing w:after="0"/>
              <w:rPr>
                <w:sz w:val="20"/>
                <w:szCs w:val="20"/>
                <w:color w:val="auto"/>
              </w:rPr>
            </w:pPr>
            <w:r>
              <w:rPr>
                <w:rFonts w:ascii="Arial" w:cs="Arial" w:eastAsia="Arial" w:hAnsi="Arial"/>
                <w:sz w:val="14"/>
                <w:szCs w:val="14"/>
                <w:color w:val="auto"/>
              </w:rPr>
              <w:t>(i)</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Linefill and base gas</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w w:val="99"/>
              </w:rPr>
              <w:t>Long-term operating lease right-of-use assets, net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inventory</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Other long-term assets, net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(722)</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2,307</w:t>
            </w: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3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2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30,114</w:t>
            </w:r>
          </w:p>
        </w:tc>
      </w:tr>
      <w:tr>
        <w:trPr>
          <w:trHeight w:val="20"/>
        </w:trPr>
        <w:tc>
          <w:tcPr>
            <w:tcW w:w="3120" w:type="dxa"/>
            <w:vAlign w:val="bottom"/>
            <w:tcBorders>
              <w:top w:val="single" w:sz="8" w:color="CCEEFF"/>
            </w:tcBorders>
            <w:gridSpan w:val="2"/>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9"/>
        </w:trPr>
        <w:tc>
          <w:tcPr>
            <w:tcW w:w="10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PARTNERS' CAPITAL</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Trade accounts payable</w:t>
            </w:r>
          </w:p>
        </w:tc>
        <w:tc>
          <w:tcPr>
            <w:tcW w:w="2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4,181</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Short-term debt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360" w:type="dxa"/>
            <w:vAlign w:val="bottom"/>
          </w:tcPr>
          <w:p>
            <w:pPr>
              <w:ind w:left="20"/>
              <w:spacing w:after="0"/>
              <w:rPr>
                <w:sz w:val="20"/>
                <w:szCs w:val="20"/>
                <w:color w:val="auto"/>
              </w:rPr>
            </w:pPr>
            <w:r>
              <w:rPr>
                <w:rFonts w:ascii="Arial" w:cs="Arial" w:eastAsia="Arial" w:hAnsi="Arial"/>
                <w:sz w:val="14"/>
                <w:szCs w:val="14"/>
                <w:color w:val="auto"/>
              </w:rPr>
              <w:t>(j)</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1,456</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w:t>
            </w:r>
          </w:p>
        </w:tc>
      </w:tr>
      <w:tr>
        <w:trPr>
          <w:trHeight w:val="191"/>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ind w:left="20"/>
              <w:spacing w:after="0"/>
              <w:rPr>
                <w:sz w:val="20"/>
                <w:szCs w:val="20"/>
                <w:color w:val="auto"/>
              </w:rPr>
            </w:pPr>
            <w:r>
              <w:rPr>
                <w:rFonts w:ascii="Arial" w:cs="Arial" w:eastAsia="Arial" w:hAnsi="Arial"/>
                <w:sz w:val="14"/>
                <w:szCs w:val="14"/>
                <w:color w:val="auto"/>
              </w:rPr>
              <w:t>(h)</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3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current liabilities</w:t>
            </w:r>
          </w:p>
        </w:tc>
        <w:tc>
          <w:tcPr>
            <w:tcW w:w="2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6,232</w:t>
            </w:r>
          </w:p>
        </w:tc>
      </w:tr>
      <w:tr>
        <w:trPr>
          <w:trHeight w:val="127"/>
        </w:trPr>
        <w:tc>
          <w:tcPr>
            <w:tcW w:w="3120" w:type="dxa"/>
            <w:vAlign w:val="bottom"/>
            <w:gridSpan w:val="2"/>
          </w:tcPr>
          <w:p>
            <w:pPr>
              <w:spacing w:after="0"/>
              <w:rPr>
                <w:sz w:val="11"/>
                <w:szCs w:val="11"/>
                <w:color w:val="auto"/>
              </w:rPr>
            </w:pPr>
          </w:p>
        </w:tc>
        <w:tc>
          <w:tcPr>
            <w:tcW w:w="2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Senior notes, net of unamortized discount</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(1,412)</w:t>
            </w:r>
          </w:p>
        </w:tc>
        <w:tc>
          <w:tcPr>
            <w:tcW w:w="360" w:type="dxa"/>
            <w:vAlign w:val="bottom"/>
          </w:tcPr>
          <w:p>
            <w:pPr>
              <w:ind w:left="20"/>
              <w:spacing w:after="0"/>
              <w:rPr>
                <w:sz w:val="20"/>
                <w:szCs w:val="20"/>
                <w:color w:val="auto"/>
              </w:rPr>
            </w:pPr>
            <w:r>
              <w:rPr>
                <w:rFonts w:ascii="Arial" w:cs="Arial" w:eastAsia="Arial" w:hAnsi="Arial"/>
                <w:sz w:val="14"/>
                <w:szCs w:val="14"/>
                <w:color w:val="auto"/>
              </w:rPr>
              <w:t>(j)</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8,326</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debt, net</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Long-term operating lease liabilities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 and deferred credits</w:t>
            </w:r>
          </w:p>
        </w:tc>
        <w:tc>
          <w:tcPr>
            <w:tcW w:w="2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w:t>
            </w:r>
          </w:p>
        </w:tc>
      </w:tr>
      <w:tr>
        <w:trPr>
          <w:trHeight w:val="181"/>
        </w:trPr>
        <w:tc>
          <w:tcPr>
            <w:tcW w:w="3120" w:type="dxa"/>
            <w:vAlign w:val="bottom"/>
            <w:gridSpan w:val="2"/>
          </w:tcPr>
          <w:p>
            <w:pPr>
              <w:ind w:left="100"/>
              <w:spacing w:after="0"/>
              <w:rPr>
                <w:sz w:val="20"/>
                <w:szCs w:val="20"/>
                <w:color w:val="auto"/>
              </w:rPr>
            </w:pPr>
            <w:r>
              <w:rPr>
                <w:rFonts w:ascii="Arial" w:cs="Arial" w:eastAsia="Arial" w:hAnsi="Arial"/>
                <w:sz w:val="14"/>
                <w:szCs w:val="14"/>
                <w:color w:val="auto"/>
              </w:rPr>
              <w:t>Total long-term liabilities</w:t>
            </w:r>
          </w:p>
        </w:tc>
        <w:tc>
          <w:tcPr>
            <w:tcW w:w="2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(1,435)</w:t>
            </w: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9,590</w:t>
            </w: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5"/>
        </w:trPr>
        <w:tc>
          <w:tcPr>
            <w:tcW w:w="3120" w:type="dxa"/>
            <w:vAlign w:val="bottom"/>
            <w:gridSpan w:val="2"/>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17"/>
        </w:trPr>
        <w:tc>
          <w:tcPr>
            <w:tcW w:w="3120" w:type="dxa"/>
            <w:vAlign w:val="bottom"/>
            <w:gridSpan w:val="2"/>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PARTNERS' CAPITAL</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Class A Shareholders</w:t>
            </w: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191"/>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1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100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9,640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3,084</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12,713</w:t>
            </w:r>
          </w:p>
        </w:tc>
      </w:tr>
      <w:tr>
        <w:trPr>
          <w:trHeight w:val="22"/>
        </w:trPr>
        <w:tc>
          <w:tcPr>
            <w:tcW w:w="1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100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8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Total partners' capital</w:t>
            </w:r>
          </w:p>
        </w:tc>
        <w:tc>
          <w:tcPr>
            <w:tcW w:w="2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11,061</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14,292</w:t>
            </w:r>
          </w:p>
        </w:tc>
      </w:tr>
      <w:tr>
        <w:trPr>
          <w:trHeight w:val="22"/>
        </w:trPr>
        <w:tc>
          <w:tcPr>
            <w:tcW w:w="3120" w:type="dxa"/>
            <w:vAlign w:val="bottom"/>
            <w:tcBorders>
              <w:bottom w:val="single" w:sz="8" w:color="CCEEFF"/>
            </w:tcBorders>
            <w:gridSpan w:val="2"/>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partners' capital</w:t>
            </w:r>
          </w:p>
        </w:tc>
        <w:tc>
          <w:tcPr>
            <w:tcW w:w="2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116"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STATEMENT OF COMBINED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Oryx Historical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371"/>
              <w:spacing w:after="0"/>
              <w:rPr>
                <w:sz w:val="20"/>
                <w:szCs w:val="20"/>
                <w:color w:val="auto"/>
              </w:rPr>
            </w:pPr>
            <w:r>
              <w:rPr>
                <w:rFonts w:ascii="Arial" w:cs="Arial" w:eastAsia="Arial" w:hAnsi="Arial"/>
                <w:sz w:val="11"/>
                <w:szCs w:val="11"/>
                <w:b w:val="1"/>
                <w:bCs w:val="1"/>
                <w:color w:val="auto"/>
              </w:rPr>
              <w:t>PAGP</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As Adjusted</w:t>
            </w:r>
          </w:p>
        </w:tc>
        <w:tc>
          <w:tcPr>
            <w:tcW w:w="200" w:type="dxa"/>
            <w:vAlign w:val="bottom"/>
          </w:tcPr>
          <w:p>
            <w:pPr>
              <w:spacing w:after="0"/>
              <w:rPr>
                <w:sz w:val="11"/>
                <w:szCs w:val="11"/>
                <w:color w:val="auto"/>
              </w:rPr>
            </w:pPr>
          </w:p>
        </w:tc>
        <w:tc>
          <w:tcPr>
            <w:tcW w:w="1000" w:type="dxa"/>
            <w:vAlign w:val="bottom"/>
          </w:tcPr>
          <w:p>
            <w:pPr>
              <w:jc w:val="right"/>
              <w:ind w:right="271"/>
              <w:spacing w:after="0"/>
              <w:rPr>
                <w:sz w:val="20"/>
                <w:szCs w:val="20"/>
                <w:color w:val="auto"/>
              </w:rPr>
            </w:pPr>
            <w:r>
              <w:rPr>
                <w:rFonts w:ascii="Arial" w:cs="Arial" w:eastAsia="Arial" w:hAnsi="Arial"/>
                <w:sz w:val="11"/>
                <w:szCs w:val="11"/>
                <w:b w:val="1"/>
                <w:bCs w:val="1"/>
                <w:color w:val="auto"/>
              </w:rPr>
              <w:t>Pro Forma</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390"/>
              <w:spacing w:after="0"/>
              <w:rPr>
                <w:sz w:val="20"/>
                <w:szCs w:val="20"/>
                <w:color w:val="auto"/>
              </w:rPr>
            </w:pPr>
            <w:r>
              <w:rPr>
                <w:rFonts w:ascii="Arial" w:cs="Arial" w:eastAsia="Arial" w:hAnsi="Arial"/>
                <w:sz w:val="11"/>
                <w:szCs w:val="11"/>
                <w:b w:val="1"/>
                <w:bCs w:val="1"/>
                <w:color w:val="auto"/>
              </w:rPr>
              <w:t>PAGP</w:t>
            </w:r>
          </w:p>
        </w:tc>
      </w:tr>
      <w:tr>
        <w:trPr>
          <w:trHeight w:val="156"/>
        </w:trPr>
        <w:tc>
          <w:tcPr>
            <w:tcW w:w="57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Historical</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2"/>
              </w:rPr>
              <w:t>(Note 5)</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Adjustments</w:t>
            </w: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Pro Forma Combined</w:t>
            </w: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18,313</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(8) (e)</w:t>
            </w: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18,488</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Purchases and related costs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16,669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20"/>
              <w:spacing w:after="0"/>
              <w:rPr>
                <w:sz w:val="20"/>
                <w:szCs w:val="20"/>
                <w:color w:val="auto"/>
              </w:rPr>
            </w:pPr>
            <w:r>
              <w:rPr>
                <w:rFonts w:ascii="Arial" w:cs="Arial" w:eastAsia="Arial" w:hAnsi="Arial"/>
                <w:sz w:val="14"/>
                <w:szCs w:val="14"/>
                <w:color w:val="auto"/>
              </w:rPr>
              <w:t>(8) (e)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16,701</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(79) (c)</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r>
      <w:tr>
        <w:trPr>
          <w:trHeight w:val="191"/>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360" w:type="dxa"/>
            <w:vAlign w:val="bottom"/>
          </w:tcPr>
          <w:p>
            <w:pPr>
              <w:ind w:left="20"/>
              <w:spacing w:after="0"/>
              <w:rPr>
                <w:sz w:val="20"/>
                <w:szCs w:val="20"/>
                <w:color w:val="auto"/>
              </w:rPr>
            </w:pPr>
            <w:r>
              <w:rPr>
                <w:rFonts w:ascii="Arial" w:cs="Arial" w:eastAsia="Arial" w:hAnsi="Arial"/>
                <w:sz w:val="14"/>
                <w:szCs w:val="14"/>
                <w:color w:val="auto"/>
              </w:rPr>
              <w:t>(d)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18,027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18,197</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5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740"/>
              <w:spacing w:after="0"/>
              <w:rPr>
                <w:sz w:val="20"/>
                <w:szCs w:val="20"/>
                <w:color w:val="auto"/>
              </w:rPr>
            </w:pPr>
            <w:r>
              <w:rPr>
                <w:rFonts w:ascii="Arial" w:cs="Arial" w:eastAsia="Arial" w:hAnsi="Arial"/>
                <w:sz w:val="14"/>
                <w:szCs w:val="14"/>
                <w:color w:val="auto"/>
                <w:w w:val="96"/>
              </w:rPr>
              <w:t>(25)</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5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360" w:type="dxa"/>
            <w:vAlign w:val="bottom"/>
          </w:tcPr>
          <w:p>
            <w:pPr>
              <w:ind w:left="20"/>
              <w:spacing w:after="0"/>
              <w:rPr>
                <w:sz w:val="20"/>
                <w:szCs w:val="20"/>
                <w:color w:val="auto"/>
              </w:rPr>
            </w:pPr>
            <w:r>
              <w:rPr>
                <w:rFonts w:ascii="Arial" w:cs="Arial" w:eastAsia="Arial" w:hAnsi="Arial"/>
                <w:sz w:val="14"/>
                <w:szCs w:val="14"/>
                <w:color w:val="auto"/>
              </w:rPr>
              <w:t>(j)</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income/(expense),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Current income tax (expense)/benefit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 tax expense</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91"/>
        </w:trPr>
        <w:tc>
          <w:tcPr>
            <w:tcW w:w="5720" w:type="dxa"/>
            <w:vAlign w:val="bottom"/>
          </w:tcPr>
          <w:p>
            <w:pPr>
              <w:ind w:left="100"/>
              <w:spacing w:after="0"/>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60" w:type="dxa"/>
            <w:vAlign w:val="bottom"/>
            <w:gridSpan w:val="2"/>
          </w:tcPr>
          <w:p>
            <w:pPr>
              <w:ind w:left="740"/>
              <w:spacing w:after="0"/>
              <w:rPr>
                <w:sz w:val="20"/>
                <w:szCs w:val="20"/>
                <w:color w:val="auto"/>
              </w:rPr>
            </w:pPr>
            <w:r>
              <w:rPr>
                <w:rFonts w:ascii="Arial" w:cs="Arial" w:eastAsia="Arial" w:hAnsi="Arial"/>
                <w:sz w:val="14"/>
                <w:szCs w:val="14"/>
                <w:color w:val="auto"/>
              </w:rPr>
              <w:t>(24) (f)</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INCOME/(LOSS) ATTRIBUTABLE TO PAGP</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6"/>
              </w:rPr>
              <w:t>(18)</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NET INCOME PER CLASS A SHARE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WEIGHTED AVERAGE CLASS A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STATEMENT OF COMBINED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Oryx Historical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7"/>
        </w:trPr>
        <w:tc>
          <w:tcPr>
            <w:tcW w:w="5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PAGP</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As Adjusted</w:t>
            </w:r>
          </w:p>
        </w:tc>
        <w:tc>
          <w:tcPr>
            <w:tcW w:w="200" w:type="dxa"/>
            <w:vAlign w:val="bottom"/>
          </w:tcPr>
          <w:p>
            <w:pPr>
              <w:spacing w:after="0"/>
              <w:rPr>
                <w:sz w:val="11"/>
                <w:szCs w:val="11"/>
                <w:color w:val="auto"/>
              </w:rPr>
            </w:pPr>
          </w:p>
        </w:tc>
        <w:tc>
          <w:tcPr>
            <w:tcW w:w="1000" w:type="dxa"/>
            <w:vAlign w:val="bottom"/>
          </w:tcPr>
          <w:p>
            <w:pPr>
              <w:jc w:val="right"/>
              <w:ind w:right="271"/>
              <w:spacing w:after="0"/>
              <w:rPr>
                <w:sz w:val="20"/>
                <w:szCs w:val="20"/>
                <w:color w:val="auto"/>
              </w:rPr>
            </w:pPr>
            <w:r>
              <w:rPr>
                <w:rFonts w:ascii="Arial" w:cs="Arial" w:eastAsia="Arial" w:hAnsi="Arial"/>
                <w:sz w:val="11"/>
                <w:szCs w:val="11"/>
                <w:b w:val="1"/>
                <w:bCs w:val="1"/>
                <w:color w:val="auto"/>
              </w:rPr>
              <w:t>Pro Forma</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390"/>
              <w:spacing w:after="0"/>
              <w:rPr>
                <w:sz w:val="20"/>
                <w:szCs w:val="20"/>
                <w:color w:val="auto"/>
              </w:rPr>
            </w:pPr>
            <w:r>
              <w:rPr>
                <w:rFonts w:ascii="Arial" w:cs="Arial" w:eastAsia="Arial" w:hAnsi="Arial"/>
                <w:sz w:val="11"/>
                <w:szCs w:val="11"/>
                <w:b w:val="1"/>
                <w:bCs w:val="1"/>
                <w:color w:val="auto"/>
              </w:rPr>
              <w:t>PAGP</w:t>
            </w:r>
          </w:p>
        </w:tc>
      </w:tr>
      <w:tr>
        <w:trPr>
          <w:trHeight w:val="156"/>
        </w:trPr>
        <w:tc>
          <w:tcPr>
            <w:tcW w:w="57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1"/>
                <w:szCs w:val="11"/>
                <w:b w:val="1"/>
                <w:bCs w:val="1"/>
                <w:color w:val="auto"/>
              </w:rPr>
              <w:t>Historical</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2"/>
              </w:rPr>
              <w:t>(Note 5)</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Adjustments</w:t>
            </w: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Pro Forma Combined</w:t>
            </w: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rPr>
              <w:t>23,290</w:t>
            </w:r>
          </w:p>
        </w:tc>
        <w:tc>
          <w:tcPr>
            <w:tcW w:w="36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4"/>
                <w:szCs w:val="14"/>
                <w:color w:val="auto"/>
              </w:rPr>
              <w:t>(13) (e)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23,536</w:t>
            </w:r>
          </w:p>
        </w:tc>
      </w:tr>
      <w:tr>
        <w:trPr>
          <w:trHeight w:val="192"/>
        </w:trPr>
        <w:tc>
          <w:tcPr>
            <w:tcW w:w="57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Purchases and related costs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20,431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620" w:type="dxa"/>
            <w:vAlign w:val="bottom"/>
            <w:gridSpan w:val="2"/>
          </w:tcPr>
          <w:p>
            <w:pPr>
              <w:jc w:val="center"/>
              <w:ind w:right="356"/>
              <w:spacing w:after="0"/>
              <w:rPr>
                <w:sz w:val="20"/>
                <w:szCs w:val="20"/>
                <w:color w:val="auto"/>
              </w:rPr>
            </w:pPr>
            <w:r>
              <w:rPr>
                <w:rFonts w:ascii="Arial" w:cs="Arial" w:eastAsia="Arial" w:hAnsi="Arial"/>
                <w:sz w:val="14"/>
                <w:szCs w:val="14"/>
                <w:color w:val="auto"/>
                <w:w w:val="93"/>
              </w:rPr>
              <w:t>(e)</w:t>
            </w:r>
          </w:p>
        </w:tc>
        <w:tc>
          <w:tcPr>
            <w:tcW w:w="940" w:type="dxa"/>
            <w:vAlign w:val="bottom"/>
          </w:tcPr>
          <w:p>
            <w:pPr>
              <w:jc w:val="right"/>
              <w:spacing w:after="0"/>
              <w:rPr>
                <w:sz w:val="20"/>
                <w:szCs w:val="20"/>
                <w:color w:val="auto"/>
              </w:rPr>
            </w:pPr>
            <w:r>
              <w:rPr>
                <w:rFonts w:ascii="Arial" w:cs="Arial" w:eastAsia="Arial" w:hAnsi="Arial"/>
                <w:sz w:val="14"/>
                <w:szCs w:val="14"/>
                <w:color w:val="auto"/>
              </w:rPr>
              <w:t>20,392</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620" w:type="dxa"/>
            <w:vAlign w:val="bottom"/>
            <w:gridSpan w:val="2"/>
          </w:tcPr>
          <w:p>
            <w:pPr>
              <w:jc w:val="center"/>
              <w:ind w:right="356"/>
              <w:spacing w:after="0"/>
              <w:rPr>
                <w:sz w:val="20"/>
                <w:szCs w:val="20"/>
                <w:color w:val="auto"/>
              </w:rPr>
            </w:pPr>
            <w:r>
              <w:rPr>
                <w:rFonts w:ascii="Arial" w:cs="Arial" w:eastAsia="Arial" w:hAnsi="Arial"/>
                <w:sz w:val="14"/>
                <w:szCs w:val="14"/>
                <w:color w:val="auto"/>
                <w:w w:val="93"/>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620" w:type="dxa"/>
            <w:vAlign w:val="bottom"/>
            <w:tcBorders>
              <w:bottom w:val="single" w:sz="8" w:color="CCEEFF"/>
            </w:tcBorders>
            <w:gridSpan w:val="2"/>
            <w:shd w:val="clear" w:color="auto" w:fill="CCEEFF"/>
          </w:tcPr>
          <w:p>
            <w:pPr>
              <w:jc w:val="center"/>
              <w:ind w:right="356"/>
              <w:spacing w:after="0"/>
              <w:rPr>
                <w:sz w:val="20"/>
                <w:szCs w:val="20"/>
                <w:color w:val="auto"/>
              </w:rPr>
            </w:pPr>
            <w:r>
              <w:rPr>
                <w:rFonts w:ascii="Arial" w:cs="Arial" w:eastAsia="Arial" w:hAnsi="Arial"/>
                <w:sz w:val="14"/>
                <w:szCs w:val="14"/>
                <w:color w:val="auto"/>
                <w:w w:val="97"/>
              </w:rPr>
              <w:t>(c)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w:t>
            </w:r>
          </w:p>
        </w:tc>
      </w:tr>
      <w:tr>
        <w:trPr>
          <w:trHeight w:val="191"/>
        </w:trPr>
        <w:tc>
          <w:tcPr>
            <w:tcW w:w="5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620" w:type="dxa"/>
            <w:vAlign w:val="bottom"/>
            <w:gridSpan w:val="2"/>
          </w:tcPr>
          <w:p>
            <w:pPr>
              <w:jc w:val="center"/>
              <w:ind w:right="356"/>
              <w:spacing w:after="0"/>
              <w:rPr>
                <w:sz w:val="20"/>
                <w:szCs w:val="20"/>
                <w:color w:val="auto"/>
              </w:rPr>
            </w:pPr>
            <w:r>
              <w:rPr>
                <w:rFonts w:ascii="Arial" w:cs="Arial" w:eastAsia="Arial" w:hAnsi="Arial"/>
                <w:sz w:val="14"/>
                <w:szCs w:val="14"/>
                <w:color w:val="auto"/>
                <w:w w:val="93"/>
              </w:rPr>
              <w:t>(d)</w:t>
            </w:r>
          </w:p>
        </w:tc>
        <w:tc>
          <w:tcPr>
            <w:tcW w:w="94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Goodwill impairment losses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2,966</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7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25,673</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26,398</w:t>
            </w:r>
          </w:p>
        </w:tc>
      </w:tr>
      <w:tr>
        <w:trPr>
          <w:trHeight w:val="212"/>
        </w:trPr>
        <w:tc>
          <w:tcPr>
            <w:tcW w:w="5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(2,383)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(2,862)</w:t>
            </w:r>
          </w:p>
        </w:tc>
      </w:tr>
      <w:tr>
        <w:trPr>
          <w:trHeight w:val="212"/>
        </w:trPr>
        <w:tc>
          <w:tcPr>
            <w:tcW w:w="5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on/(impairment of) investments in unconsolidated entities, net</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620" w:type="dxa"/>
            <w:vAlign w:val="bottom"/>
            <w:tcBorders>
              <w:bottom w:val="single" w:sz="8" w:color="CCEEFF"/>
            </w:tcBorders>
            <w:gridSpan w:val="2"/>
            <w:shd w:val="clear" w:color="auto" w:fill="CCEEFF"/>
          </w:tcPr>
          <w:p>
            <w:pPr>
              <w:jc w:val="center"/>
              <w:ind w:right="376"/>
              <w:spacing w:after="0"/>
              <w:rPr>
                <w:sz w:val="20"/>
                <w:szCs w:val="20"/>
                <w:color w:val="auto"/>
              </w:rPr>
            </w:pPr>
            <w:r>
              <w:rPr>
                <w:rFonts w:ascii="Arial" w:cs="Arial" w:eastAsia="Arial" w:hAnsi="Arial"/>
                <w:sz w:val="14"/>
                <w:szCs w:val="14"/>
                <w:color w:val="auto"/>
              </w:rPr>
              <w:t>(j)</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Other income/(expense), net</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2"/>
        </w:trPr>
        <w:tc>
          <w:tcPr>
            <w:tcW w:w="57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INCOME/(LOSS) BEFORE TAX</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(2,607)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(3,035)</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expense</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Deferred income tax benefit</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620" w:type="dxa"/>
            <w:vAlign w:val="bottom"/>
            <w:gridSpan w:val="2"/>
          </w:tcPr>
          <w:p>
            <w:pPr>
              <w:jc w:val="center"/>
              <w:ind w:right="376"/>
              <w:spacing w:after="0"/>
              <w:rPr>
                <w:sz w:val="20"/>
                <w:szCs w:val="20"/>
                <w:color w:val="auto"/>
              </w:rPr>
            </w:pPr>
            <w:r>
              <w:rPr>
                <w:rFonts w:ascii="Arial" w:cs="Arial" w:eastAsia="Arial" w:hAnsi="Arial"/>
                <w:sz w:val="14"/>
                <w:szCs w:val="14"/>
                <w:color w:val="auto"/>
              </w:rPr>
              <w:t>(i)</w:t>
            </w:r>
          </w:p>
        </w:tc>
        <w:tc>
          <w:tcPr>
            <w:tcW w:w="94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2"/>
        </w:trPr>
        <w:tc>
          <w:tcPr>
            <w:tcW w:w="57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INCOME/(LOSS)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(2,440)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(2,852)</w:t>
            </w:r>
          </w:p>
        </w:tc>
      </w:tr>
      <w:tr>
        <w:trPr>
          <w:trHeight w:val="22"/>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(income)/loss attributable to noncontrolling interests</w:t>
            </w:r>
          </w:p>
        </w:tc>
        <w:tc>
          <w:tcPr>
            <w:tcW w:w="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620" w:type="dxa"/>
            <w:vAlign w:val="bottom"/>
            <w:tcBorders>
              <w:bottom w:val="single" w:sz="8" w:color="CCEEFF"/>
            </w:tcBorders>
            <w:gridSpan w:val="2"/>
            <w:shd w:val="clear" w:color="auto" w:fill="CCEEFF"/>
          </w:tcPr>
          <w:p>
            <w:pPr>
              <w:jc w:val="center"/>
              <w:ind w:right="376"/>
              <w:spacing w:after="0"/>
              <w:rPr>
                <w:sz w:val="20"/>
                <w:szCs w:val="20"/>
                <w:color w:val="auto"/>
              </w:rPr>
            </w:pPr>
            <w:r>
              <w:rPr>
                <w:rFonts w:ascii="Arial" w:cs="Arial" w:eastAsia="Arial" w:hAnsi="Arial"/>
                <w:sz w:val="14"/>
                <w:szCs w:val="14"/>
                <w:color w:val="auto"/>
              </w:rPr>
              <w:t>(f)</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2,223</w:t>
            </w:r>
          </w:p>
        </w:tc>
      </w:tr>
      <w:tr>
        <w:trPr>
          <w:trHeight w:val="203"/>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INCOME/(LOSS) ATTRIBUTABLE TO PAGP</w:t>
            </w: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3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5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BASIC NET LOSS PER CLASS A SHARE</w:t>
            </w: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16"/>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5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DILUTED NET LOSS PER CLASS A SHARE</w:t>
            </w: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16"/>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5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BASIC WEIGHTED AVERAGE CLASS A SHARES OUTSTANDING</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5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DILUTED WEIGHTED AVERAGE CLASS A SHARES OUTSTANDING</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Presentation</w:t>
      </w:r>
    </w:p>
    <w:p>
      <w:pPr>
        <w:spacing w:after="0" w:line="214" w:lineRule="exact"/>
        <w:rPr>
          <w:sz w:val="20"/>
          <w:szCs w:val="20"/>
          <w:color w:val="auto"/>
        </w:rPr>
      </w:pPr>
    </w:p>
    <w:p>
      <w:pPr>
        <w:ind w:right="160" w:firstLine="255"/>
        <w:spacing w:after="0" w:line="283" w:lineRule="auto"/>
        <w:rPr>
          <w:sz w:val="20"/>
          <w:szCs w:val="20"/>
          <w:color w:val="auto"/>
        </w:rPr>
      </w:pPr>
      <w:r>
        <w:rPr>
          <w:rFonts w:ascii="Arial" w:cs="Arial" w:eastAsia="Arial" w:hAnsi="Arial"/>
          <w:sz w:val="14"/>
          <w:szCs w:val="14"/>
          <w:color w:val="auto"/>
        </w:rPr>
        <w:t>The unaudited pro forma condensed combined financial information was prepared in accordance with Article 11 of SEC Regulation S-X. The pro forma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spacing w:after="0" w:line="173" w:lineRule="exact"/>
        <w:rPr>
          <w:sz w:val="20"/>
          <w:szCs w:val="20"/>
          <w:color w:val="auto"/>
        </w:rPr>
      </w:pPr>
    </w:p>
    <w:p>
      <w:pPr>
        <w:ind w:right="40" w:firstLine="255"/>
        <w:spacing w:after="0" w:line="278" w:lineRule="auto"/>
        <w:rPr>
          <w:sz w:val="20"/>
          <w:szCs w:val="20"/>
          <w:color w:val="auto"/>
        </w:rPr>
      </w:pPr>
      <w:r>
        <w:rPr>
          <w:rFonts w:ascii="Arial" w:cs="Arial" w:eastAsia="Arial" w:hAnsi="Arial"/>
          <w:sz w:val="14"/>
          <w:szCs w:val="14"/>
          <w:color w:val="auto"/>
        </w:rPr>
        <w:t>These unaudited pro forma condensed combined financial statements and underlying pro forma adjustments are based upon currently available information and certain estimates and assumptions that management believes are factually supportable; therefore, actual results could differ materially from the pro forma information. However, we believe the assumptions provide a reasonable basis for presenting the significant effects of the transaction noted herein. We believe the pro forma adjustments give appropriate effect to those assumptions and are properly applied in the pro forma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Purchase Price Allocation</w:t>
      </w:r>
    </w:p>
    <w:p>
      <w:pPr>
        <w:spacing w:after="0" w:line="214" w:lineRule="exact"/>
        <w:rPr>
          <w:sz w:val="20"/>
          <w:szCs w:val="20"/>
          <w:color w:val="auto"/>
        </w:rPr>
      </w:pPr>
    </w:p>
    <w:p>
      <w:pPr>
        <w:ind w:right="20" w:firstLine="255"/>
        <w:spacing w:after="0" w:line="278" w:lineRule="auto"/>
        <w:rPr>
          <w:sz w:val="20"/>
          <w:szCs w:val="20"/>
          <w:color w:val="auto"/>
        </w:rPr>
      </w:pPr>
      <w:r>
        <w:rPr>
          <w:rFonts w:ascii="Arial" w:cs="Arial" w:eastAsia="Arial" w:hAnsi="Arial"/>
          <w:sz w:val="14"/>
          <w:szCs w:val="14"/>
          <w:color w:val="auto"/>
        </w:rPr>
        <w:t>The formation of the Joint Venture is accounted for as a business combination in accordance with ASC 805. As the majority owner and the controlling entity, PAGP is considered the acquirer and as such the PAGP predecessor business is accounted for at historical cost, while the Oryx predecessor business is accounted for at fair value. In accordance with ASC 805, the fair value of Oryx’s ownership interest in the Joint Venture following the formation is utilized as the consideration transferred for the purchase price allocation. The following table presents the fair value of the consideration transferred in the transaction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Consideration:</w:t>
            </w: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color w:val="auto"/>
              </w:rPr>
              <w:t>Ownership Interest</w:t>
            </w:r>
          </w:p>
        </w:tc>
        <w:tc>
          <w:tcPr>
            <w:tcW w:w="1400" w:type="dxa"/>
            <w:vAlign w:val="bottom"/>
          </w:tcPr>
          <w:p>
            <w:pPr>
              <w:jc w:val="right"/>
              <w:ind w:right="1249"/>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3,246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consideration transferred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320" w:firstLine="255"/>
        <w:spacing w:after="0" w:line="321" w:lineRule="auto"/>
        <w:rPr>
          <w:sz w:val="20"/>
          <w:szCs w:val="20"/>
          <w:color w:val="auto"/>
        </w:rPr>
      </w:pPr>
      <w:r>
        <w:rPr>
          <w:rFonts w:ascii="Arial" w:cs="Arial" w:eastAsia="Arial" w:hAnsi="Arial"/>
          <w:sz w:val="13"/>
          <w:szCs w:val="13"/>
          <w:color w:val="auto"/>
        </w:rPr>
        <w:t>The transaction has been accounted for using the acquisition method of accounting and the determination of the fair value of the assets acquired and liabilities assumed has been estimated in accordance with ASC 805. The following table shows our preliminary determination of the fair value of those assets and liabilities as of June 30, 2021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Depreciable</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8"/>
                <w:szCs w:val="18"/>
                <w:color w:val="auto"/>
              </w:rPr>
            </w:pPr>
          </w:p>
        </w:tc>
        <w:tc>
          <w:tcPr>
            <w:tcW w:w="1720" w:type="dxa"/>
            <w:vAlign w:val="bottom"/>
          </w:tcPr>
          <w:p>
            <w:pPr>
              <w:jc w:val="right"/>
              <w:ind w:right="78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2"/>
        </w:trPr>
        <w:tc>
          <w:tcPr>
            <w:tcW w:w="6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Working capital and other assets, net</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r>
      <w:tr>
        <w:trPr>
          <w:trHeight w:val="191"/>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Linefill and base gas</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2"/>
              </w:rPr>
              <w:t>n/a</w:t>
            </w:r>
          </w:p>
        </w:tc>
      </w:tr>
      <w:tr>
        <w:trPr>
          <w:trHeight w:val="22"/>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2420" w:type="dxa"/>
            <w:vAlign w:val="bottom"/>
            <w:tcBorders>
              <w:bottom w:val="single" w:sz="8" w:color="CCEEFF"/>
            </w:tcBorders>
            <w:gridSpan w:val="2"/>
            <w:shd w:val="clear" w:color="auto" w:fill="CCEEFF"/>
          </w:tcPr>
          <w:p>
            <w:pPr>
              <w:jc w:val="right"/>
              <w:ind w:right="849"/>
              <w:spacing w:after="0"/>
              <w:rPr>
                <w:sz w:val="20"/>
                <w:szCs w:val="20"/>
                <w:color w:val="auto"/>
              </w:rPr>
            </w:pPr>
            <w:r>
              <w:rPr>
                <w:rFonts w:ascii="Arial" w:cs="Arial" w:eastAsia="Arial" w:hAnsi="Arial"/>
                <w:sz w:val="14"/>
                <w:szCs w:val="14"/>
                <w:color w:val="auto"/>
              </w:rPr>
              <w:t>3 - 30</w:t>
            </w:r>
          </w:p>
        </w:tc>
      </w:tr>
      <w:tr>
        <w:trPr>
          <w:trHeight w:val="191"/>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Intangible Assets (included within Other long-term assets, net)</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1,250</w:t>
            </w:r>
          </w:p>
        </w:tc>
        <w:tc>
          <w:tcPr>
            <w:tcW w:w="2420" w:type="dxa"/>
            <w:vAlign w:val="bottom"/>
            <w:gridSpan w:val="2"/>
          </w:tcPr>
          <w:p>
            <w:pPr>
              <w:jc w:val="right"/>
              <w:ind w:right="949"/>
              <w:spacing w:after="0"/>
              <w:rPr>
                <w:sz w:val="20"/>
                <w:szCs w:val="20"/>
                <w:color w:val="auto"/>
              </w:rPr>
            </w:pPr>
            <w:r>
              <w:rPr>
                <w:rFonts w:ascii="Arial" w:cs="Arial" w:eastAsia="Arial" w:hAnsi="Arial"/>
                <w:sz w:val="14"/>
                <w:szCs w:val="14"/>
                <w:color w:val="auto"/>
              </w:rPr>
              <w:t>20</w:t>
            </w:r>
          </w:p>
        </w:tc>
      </w:tr>
      <w:tr>
        <w:trPr>
          <w:trHeight w:val="22"/>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Investments in unconsolidated entities</w:t>
            </w: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r>
      <w:tr>
        <w:trPr>
          <w:trHeight w:val="212"/>
        </w:trPr>
        <w:tc>
          <w:tcPr>
            <w:tcW w:w="64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r>
      <w:tr>
        <w:trPr>
          <w:trHeight w:val="22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24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This preliminary purchase price allocation has been used to prepare the Transaction Accounting Adjustments in the pro forma condensed combined balance sheet and statement of operations. The analysis was performed based on estimates that are reflective of market participant assumptions. The determination of the fair value of the assets acquired and liabilities assumed is preliminary pending the completion of valuation procedures and other potential adjustments. The final allocation is expected to be completed as soon as practicable and could differ materially from the preliminary allocation used in the Transaction Accounting Adjustments.</w:t>
      </w:r>
    </w:p>
    <w:p>
      <w:pPr>
        <w:spacing w:after="0" w:line="167"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Intangible Assets are comprised of customer relationships with a 20 year life. Amortization of these customer relationships under the declining balance method of amortization is estimated to be approximately $72 million for the remaining six months of 2021 and approximately $131 million, $119 million, $107 million, $93 million and $82 million, respectively, for each of the five years thereafter.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Pro Forma Adjustments</w:t>
      </w:r>
    </w:p>
    <w:p>
      <w:pPr>
        <w:spacing w:after="0" w:line="183" w:lineRule="exact"/>
        <w:rPr>
          <w:sz w:val="20"/>
          <w:szCs w:val="20"/>
          <w:color w:val="auto"/>
        </w:rPr>
      </w:pPr>
    </w:p>
    <w:p>
      <w:pPr>
        <w:ind w:left="520" w:right="80" w:hanging="260"/>
        <w:spacing w:after="0" w:line="267"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adjustments to fair value of the assets acquired and liabilities assumed in the transaction based on the acquisition method of accounting. Reflects the elimination of Oryx's historical Partners' capital balance and the recognition of Oryx's 35% Noncontrolling interest in the Joint Venture. The difference between the Noncontrolling interest recognized and the fair value of Oryx's assets acquired and liabilities assumed is recognized by PAGP as a gain within Partners' capital.</w:t>
      </w:r>
    </w:p>
    <w:p>
      <w:pPr>
        <w:spacing w:after="0" w:line="173" w:lineRule="exact"/>
        <w:rPr>
          <w:rFonts w:ascii="Arial" w:cs="Arial" w:eastAsia="Arial" w:hAnsi="Arial"/>
          <w:sz w:val="14"/>
          <w:szCs w:val="14"/>
          <w:color w:val="auto"/>
        </w:rPr>
      </w:pPr>
    </w:p>
    <w:p>
      <w:pPr>
        <w:ind w:left="520" w:right="240" w:hanging="260"/>
        <w:spacing w:after="0" w:line="297"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Oryx's outstanding Cash and cash equivalents balance of $18 million as of June 30, 2021, which was not acquired by PAGP in connection with the transaction. The offset to this adjustment is within Partners' capital.</w:t>
      </w:r>
    </w:p>
    <w:p>
      <w:pPr>
        <w:spacing w:after="0" w:line="163" w:lineRule="exact"/>
        <w:rPr>
          <w:rFonts w:ascii="Arial" w:cs="Arial" w:eastAsia="Arial" w:hAnsi="Arial"/>
          <w:sz w:val="14"/>
          <w:szCs w:val="14"/>
          <w:color w:val="auto"/>
        </w:rPr>
      </w:pPr>
    </w:p>
    <w:p>
      <w:pPr>
        <w:ind w:left="520" w:right="180" w:hanging="260"/>
        <w:spacing w:after="0" w:line="297"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Oryx's historical depreciation and amortization of $79 million and $156 million for the six months ended June 30, 2021 and the year ended December 31, 2020, respectively.</w:t>
      </w:r>
    </w:p>
    <w:p>
      <w:pPr>
        <w:spacing w:after="0" w:line="153" w:lineRule="exact"/>
        <w:rPr>
          <w:rFonts w:ascii="Arial" w:cs="Arial" w:eastAsia="Arial" w:hAnsi="Arial"/>
          <w:sz w:val="14"/>
          <w:szCs w:val="14"/>
          <w:color w:val="auto"/>
        </w:rPr>
      </w:pPr>
    </w:p>
    <w:p>
      <w:pPr>
        <w:ind w:left="520" w:right="60" w:hanging="260"/>
        <w:spacing w:after="0" w:line="283"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depreciation on the acquired property and equipment under the straight-line method of depreciation over remaining average useful lives ranging from 3 to 30 years. Also reflects the amortization of the intangible assets under the declining balance method resulting in amortization expense of $72 million and $149 million for the six months ended June 30, 2021, and the year ended December 31, 2020, respectively.</w:t>
      </w:r>
    </w:p>
    <w:p>
      <w:pPr>
        <w:spacing w:after="0" w:line="162" w:lineRule="exact"/>
        <w:rPr>
          <w:rFonts w:ascii="Arial" w:cs="Arial" w:eastAsia="Arial" w:hAnsi="Arial"/>
          <w:sz w:val="14"/>
          <w:szCs w:val="14"/>
          <w:color w:val="auto"/>
        </w:rPr>
      </w:pPr>
    </w:p>
    <w:p>
      <w:pPr>
        <w:ind w:left="520" w:right="120" w:hanging="260"/>
        <w:spacing w:after="0" w:line="283"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transactions between PAGP and Oryx as follows: $8 million from Revenues and Purchases and related costs for the six months ended June 30, 2021, and $13 million from Revenues and Purchases and related costs for the year ended December 31, 2020. There were no material balances between PAGP and Oryx for Trade accounts receivable and other receivables, net and Trade accounts payable.</w:t>
      </w:r>
    </w:p>
    <w:p>
      <w:pPr>
        <w:spacing w:after="0" w:line="162" w:lineRule="exact"/>
        <w:rPr>
          <w:rFonts w:ascii="Arial" w:cs="Arial" w:eastAsia="Arial" w:hAnsi="Arial"/>
          <w:sz w:val="14"/>
          <w:szCs w:val="14"/>
          <w:color w:val="auto"/>
        </w:rPr>
      </w:pPr>
    </w:p>
    <w:p>
      <w:pPr>
        <w:ind w:left="520" w:right="340" w:hanging="260"/>
        <w:spacing w:after="0" w:line="297" w:lineRule="auto"/>
        <w:tabs>
          <w:tab w:leader="none" w:pos="513"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allocation of Net income attributable to non-controlling interests, which includes net income allocated to Oryx's 35% share of net income from the Joint Venture, for the six months ended June 30, 2021 and the year ended December 31, 2020.</w:t>
      </w:r>
    </w:p>
    <w:p>
      <w:pPr>
        <w:spacing w:after="0" w:line="163" w:lineRule="exact"/>
        <w:rPr>
          <w:rFonts w:ascii="Arial" w:cs="Arial" w:eastAsia="Arial" w:hAnsi="Arial"/>
          <w:sz w:val="14"/>
          <w:szCs w:val="14"/>
          <w:color w:val="auto"/>
        </w:rPr>
      </w:pPr>
    </w:p>
    <w:p>
      <w:pPr>
        <w:ind w:left="520" w:right="280" w:hanging="260"/>
        <w:spacing w:after="0" w:line="350" w:lineRule="auto"/>
        <w:tabs>
          <w:tab w:leader="none" w:pos="515" w:val="left"/>
        </w:tabs>
        <w:numPr>
          <w:ilvl w:val="0"/>
          <w:numId w:val="6"/>
        </w:numPr>
        <w:rPr>
          <w:rFonts w:ascii="Arial" w:cs="Arial" w:eastAsia="Arial" w:hAnsi="Arial"/>
          <w:sz w:val="12"/>
          <w:szCs w:val="12"/>
          <w:color w:val="auto"/>
        </w:rPr>
      </w:pPr>
      <w:r>
        <w:rPr>
          <w:rFonts w:ascii="Arial" w:cs="Arial" w:eastAsia="Arial" w:hAnsi="Arial"/>
          <w:sz w:val="12"/>
          <w:szCs w:val="12"/>
          <w:color w:val="auto"/>
        </w:rPr>
        <w:t>Reflects transaction and other costs that are directly attributable to the transaction. Costs of $15 million that are expected to be incurred subsequent to completion of the transaction are reflected as an adjustment to Trade accounts payable on the pro forma condensed combined balance sheet, with the offset to Class A shareholders and Noncontrolling interests within Partners’ capital. This amount has been recorded as an adjustment to General and administrative expense in the pro forma statement of operations for the year ended December 31, 2020.</w:t>
      </w:r>
    </w:p>
    <w:p>
      <w:pPr>
        <w:spacing w:after="0" w:line="128" w:lineRule="exact"/>
        <w:rPr>
          <w:rFonts w:ascii="Arial" w:cs="Arial" w:eastAsia="Arial" w:hAnsi="Arial"/>
          <w:sz w:val="12"/>
          <w:szCs w:val="12"/>
          <w:color w:val="auto"/>
        </w:rPr>
      </w:pPr>
    </w:p>
    <w:p>
      <w:pPr>
        <w:ind w:left="520" w:right="420" w:hanging="260"/>
        <w:spacing w:after="0" w:line="275"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Financial Accounting Standards Board (“FASB”) Accounting Standards Codification (“ASC”) 842 with respect to the accounting for leases, allows different adoption dates for certain companies. As a result, PAGP adopted ASC 842 on January 1, 2019, whereas Oryx had not yet adopted ASC 842 as of June 30, 2021. The unaudited pro forma condensed combined financial statements are adjusted for the estimated impact of ASC 842, assuming Oryx had adopted this standard as of June 30, 2021, for the unaudited pro forma condensed combined balance sheet, and as of January 1, 2020 for the unaudited pro forma condensed combined statements of operations. The adjustments are not material to either the unaudited pro forma condensed combined balance sheet or statements of operations.</w:t>
      </w:r>
    </w:p>
    <w:p>
      <w:pPr>
        <w:spacing w:after="0" w:line="170" w:lineRule="exact"/>
        <w:rPr>
          <w:rFonts w:ascii="Arial" w:cs="Arial" w:eastAsia="Arial" w:hAnsi="Arial"/>
          <w:sz w:val="14"/>
          <w:szCs w:val="14"/>
          <w:color w:val="auto"/>
        </w:rPr>
      </w:pPr>
    </w:p>
    <w:p>
      <w:pPr>
        <w:ind w:left="520" w:right="220" w:hanging="260"/>
        <w:spacing w:after="0" w:line="283"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impact on PAGP's Deferred income tax expense as a result of Oryx's historical operations and the transaction accounting adjustments. The income tax expense was calculated based on PAGP's statutory rate in effect during the six months ended June 30, 2021. The acquisition did not have a material impact on PAGP's historical effective tax rate or Deferred tax asset balance as of June 30, 2021.</w:t>
      </w:r>
    </w:p>
    <w:p>
      <w:pPr>
        <w:spacing w:after="0" w:line="162" w:lineRule="exact"/>
        <w:rPr>
          <w:rFonts w:ascii="Arial" w:cs="Arial" w:eastAsia="Arial" w:hAnsi="Arial"/>
          <w:sz w:val="14"/>
          <w:szCs w:val="14"/>
          <w:color w:val="auto"/>
        </w:rPr>
      </w:pPr>
    </w:p>
    <w:p>
      <w:pPr>
        <w:ind w:left="520" w:hanging="260"/>
        <w:spacing w:after="0" w:line="305" w:lineRule="auto"/>
        <w:tabs>
          <w:tab w:leader="none" w:pos="515" w:val="left"/>
        </w:tabs>
        <w:numPr>
          <w:ilvl w:val="0"/>
          <w:numId w:val="6"/>
        </w:numPr>
        <w:rPr>
          <w:rFonts w:ascii="Arial" w:cs="Arial" w:eastAsia="Arial" w:hAnsi="Arial"/>
          <w:sz w:val="13"/>
          <w:szCs w:val="13"/>
          <w:color w:val="auto"/>
        </w:rPr>
      </w:pPr>
      <w:r>
        <w:rPr>
          <w:rFonts w:ascii="Arial" w:cs="Arial" w:eastAsia="Arial" w:hAnsi="Arial"/>
          <w:sz w:val="13"/>
          <w:szCs w:val="13"/>
          <w:color w:val="auto"/>
        </w:rPr>
        <w:t>Oryx refinanced its debt prior to the completion of the transaction. As a result, the pro forma adjustments reflect the elimination of Oryx's outstanding Short-term debt of $15 million, long-term debt of $1,412 million included within Senior notes, net, and accrued interest rate swaps of $41 million of which $18 million is included within Other current liabilities and $23 million is included within Other long-term liabilities and deferred credits as of June 30, 2021. The offset to this adjustment is within Partners' capital. Also reflects the elimination of Oryx's historical Interest expense of $28 million and $141 million for the six months ended June 30, 2021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Pro Forma Net Income/(Loss) Per Class A Share</w:t>
      </w:r>
    </w:p>
    <w:p>
      <w:pPr>
        <w:spacing w:after="0" w:line="193" w:lineRule="exact"/>
        <w:rPr>
          <w:sz w:val="20"/>
          <w:szCs w:val="20"/>
          <w:color w:val="auto"/>
        </w:rPr>
      </w:pPr>
    </w:p>
    <w:p>
      <w:pPr>
        <w:ind w:right="440" w:firstLine="318"/>
        <w:spacing w:after="0" w:line="297" w:lineRule="auto"/>
        <w:rPr>
          <w:sz w:val="20"/>
          <w:szCs w:val="20"/>
          <w:color w:val="auto"/>
        </w:rPr>
      </w:pPr>
      <w:r>
        <w:rPr>
          <w:rFonts w:ascii="Arial" w:cs="Arial" w:eastAsia="Arial" w:hAnsi="Arial"/>
          <w:sz w:val="14"/>
          <w:szCs w:val="14"/>
          <w:color w:val="auto"/>
        </w:rPr>
        <w:t>Pro forma basic and diluted net income/(loss) per Class A share is determined by dividing the pro forma net income/(loss) attributable to PAGP by the basic and diluted weighted average number of Class A shares outstanding during the applicable periods. The transaction did not involve the issuance or redemption of securities.</w:t>
      </w:r>
    </w:p>
    <w:p>
      <w:pPr>
        <w:spacing w:after="0" w:line="153" w:lineRule="exact"/>
        <w:rPr>
          <w:sz w:val="20"/>
          <w:szCs w:val="20"/>
          <w:color w:val="auto"/>
        </w:rPr>
      </w:pPr>
    </w:p>
    <w:p>
      <w:pPr>
        <w:ind w:right="260" w:firstLine="318"/>
        <w:spacing w:after="0" w:line="338" w:lineRule="auto"/>
        <w:rPr>
          <w:sz w:val="20"/>
          <w:szCs w:val="20"/>
          <w:color w:val="auto"/>
        </w:rPr>
      </w:pPr>
      <w:r>
        <w:rPr>
          <w:rFonts w:ascii="Arial" w:cs="Arial" w:eastAsia="Arial" w:hAnsi="Arial"/>
          <w:sz w:val="13"/>
          <w:szCs w:val="13"/>
          <w:color w:val="auto"/>
        </w:rPr>
        <w:t>The following table sets forth the computation of basic and diluted net income/(loss) per Class A share. Basic and diluted net income/(loss) per Class A share are each calculated by dividing adjusted pro forma net income/(loss) by the weighted average shares outstanding for the six months ended June 30, 2021 and year ended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June 30, 2021</w:t>
            </w:r>
          </w:p>
        </w:tc>
        <w:tc>
          <w:tcPr>
            <w:tcW w:w="80" w:type="dxa"/>
            <w:vAlign w:val="bottom"/>
          </w:tcPr>
          <w:p>
            <w:pPr>
              <w:spacing w:after="0"/>
              <w:rPr>
                <w:sz w:val="16"/>
                <w:szCs w:val="16"/>
                <w:color w:val="auto"/>
              </w:rPr>
            </w:pPr>
          </w:p>
        </w:tc>
        <w:tc>
          <w:tcPr>
            <w:tcW w:w="2460" w:type="dxa"/>
            <w:vAlign w:val="bottom"/>
            <w:gridSpan w:val="4"/>
          </w:tcPr>
          <w:p>
            <w:pPr>
              <w:jc w:val="right"/>
              <w:ind w:right="62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PAGP Historical</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PAGP Historical</w:t>
            </w:r>
          </w:p>
        </w:tc>
        <w:tc>
          <w:tcPr>
            <w:tcW w:w="28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Net Income/(Loss) per Class A Share</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40" w:type="dxa"/>
            <w:vAlign w:val="bottom"/>
          </w:tcPr>
          <w:p>
            <w:pPr>
              <w:ind w:left="100"/>
              <w:spacing w:after="0"/>
              <w:rPr>
                <w:sz w:val="20"/>
                <w:szCs w:val="20"/>
                <w:color w:val="auto"/>
              </w:rPr>
            </w:pPr>
            <w:r>
              <w:rPr>
                <w:rFonts w:ascii="Arial" w:cs="Arial" w:eastAsia="Arial" w:hAnsi="Arial"/>
                <w:sz w:val="14"/>
                <w:szCs w:val="14"/>
                <w:color w:val="auto"/>
              </w:rPr>
              <w:t>Net income/(loss) attributable to PAGP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(568)</w:t>
            </w:r>
          </w:p>
        </w:tc>
        <w:tc>
          <w:tcPr>
            <w:tcW w:w="14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Basic weighted average Class A shares outstanding</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ind w:left="729"/>
              <w:spacing w:after="0"/>
              <w:rPr>
                <w:sz w:val="20"/>
                <w:szCs w:val="20"/>
                <w:color w:val="auto"/>
              </w:rPr>
            </w:pPr>
            <w:r>
              <w:rPr>
                <w:rFonts w:ascii="Arial" w:cs="Arial" w:eastAsia="Arial" w:hAnsi="Arial"/>
                <w:sz w:val="14"/>
                <w:szCs w:val="14"/>
                <w:color w:val="auto"/>
                <w:w w:val="94"/>
              </w:rPr>
              <w:t>194</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ind w:left="609"/>
              <w:spacing w:after="0"/>
              <w:rPr>
                <w:sz w:val="20"/>
                <w:szCs w:val="20"/>
                <w:color w:val="auto"/>
              </w:rPr>
            </w:pPr>
            <w:r>
              <w:rPr>
                <w:rFonts w:ascii="Arial" w:cs="Arial" w:eastAsia="Arial" w:hAnsi="Arial"/>
                <w:sz w:val="14"/>
                <w:szCs w:val="14"/>
                <w:color w:val="auto"/>
                <w:w w:val="85"/>
              </w:rPr>
              <w:t>186</w:t>
            </w:r>
          </w:p>
        </w:tc>
        <w:tc>
          <w:tcPr>
            <w:tcW w:w="0" w:type="dxa"/>
            <w:vAlign w:val="bottom"/>
          </w:tcPr>
          <w:p>
            <w:pPr>
              <w:spacing w:after="0"/>
              <w:rPr>
                <w:sz w:val="1"/>
                <w:szCs w:val="1"/>
                <w:color w:val="auto"/>
              </w:rPr>
            </w:pPr>
          </w:p>
        </w:tc>
      </w:tr>
      <w:tr>
        <w:trPr>
          <w:trHeight w:val="212"/>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 net income/(loss) per Class A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Income/(Loss) per Class A Share</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40" w:type="dxa"/>
            <w:vAlign w:val="bottom"/>
          </w:tcPr>
          <w:p>
            <w:pPr>
              <w:ind w:left="100"/>
              <w:spacing w:after="0"/>
              <w:rPr>
                <w:sz w:val="20"/>
                <w:szCs w:val="20"/>
                <w:color w:val="auto"/>
              </w:rPr>
            </w:pPr>
            <w:r>
              <w:rPr>
                <w:rFonts w:ascii="Arial" w:cs="Arial" w:eastAsia="Arial" w:hAnsi="Arial"/>
                <w:sz w:val="14"/>
                <w:szCs w:val="14"/>
                <w:color w:val="auto"/>
              </w:rPr>
              <w:t>Net income/(loss) attributable to PAGP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(568)</w:t>
            </w:r>
          </w:p>
        </w:tc>
        <w:tc>
          <w:tcPr>
            <w:tcW w:w="14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Incremental net income/(loss) attributable to PAGP resulting from assumed exchange of AAP units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and AAP Management Units</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center"/>
              <w:ind w:left="569"/>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0"/>
        </w:trPr>
        <w:tc>
          <w:tcPr>
            <w:tcW w:w="6040" w:type="dxa"/>
            <w:vAlign w:val="bottom"/>
          </w:tcPr>
          <w:p>
            <w:pPr>
              <w:ind w:left="100"/>
              <w:spacing w:after="0"/>
              <w:rPr>
                <w:sz w:val="20"/>
                <w:szCs w:val="20"/>
                <w:color w:val="auto"/>
              </w:rPr>
            </w:pPr>
            <w:r>
              <w:rPr>
                <w:rFonts w:ascii="Arial" w:cs="Arial" w:eastAsia="Arial" w:hAnsi="Arial"/>
                <w:sz w:val="14"/>
                <w:szCs w:val="14"/>
                <w:color w:val="auto"/>
                <w:w w:val="91"/>
              </w:rPr>
              <w:t>Net income/(loss) attributable to PAGP including incremental net income/(loss) from assumed exchange</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(757)</w:t>
            </w: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80"/>
        </w:trPr>
        <w:tc>
          <w:tcPr>
            <w:tcW w:w="6040" w:type="dxa"/>
            <w:vAlign w:val="bottom"/>
          </w:tcPr>
          <w:p>
            <w:pPr>
              <w:ind w:left="100"/>
              <w:spacing w:after="0"/>
              <w:rPr>
                <w:sz w:val="20"/>
                <w:szCs w:val="20"/>
                <w:color w:val="auto"/>
              </w:rPr>
            </w:pPr>
            <w:r>
              <w:rPr>
                <w:rFonts w:ascii="Arial" w:cs="Arial" w:eastAsia="Arial" w:hAnsi="Arial"/>
                <w:sz w:val="14"/>
                <w:szCs w:val="14"/>
                <w:color w:val="auto"/>
              </w:rPr>
              <w:t>of AAP units and AAP Management Units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40" w:type="dxa"/>
            <w:vAlign w:val="bottom"/>
          </w:tcPr>
          <w:p>
            <w:pPr>
              <w:ind w:left="100"/>
              <w:spacing w:after="0"/>
              <w:rPr>
                <w:sz w:val="20"/>
                <w:szCs w:val="20"/>
                <w:color w:val="auto"/>
              </w:rPr>
            </w:pPr>
            <w:r>
              <w:rPr>
                <w:rFonts w:ascii="Arial" w:cs="Arial" w:eastAsia="Arial" w:hAnsi="Arial"/>
                <w:sz w:val="14"/>
                <w:szCs w:val="14"/>
                <w:color w:val="auto"/>
              </w:rPr>
              <w:t>Basic weighted average Class A shares outstanding</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729"/>
              <w:spacing w:after="0"/>
              <w:rPr>
                <w:sz w:val="20"/>
                <w:szCs w:val="20"/>
                <w:color w:val="auto"/>
              </w:rPr>
            </w:pPr>
            <w:r>
              <w:rPr>
                <w:rFonts w:ascii="Arial" w:cs="Arial" w:eastAsia="Arial" w:hAnsi="Arial"/>
                <w:sz w:val="14"/>
                <w:szCs w:val="14"/>
                <w:color w:val="auto"/>
                <w:w w:val="94"/>
              </w:rPr>
              <w:t>194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left="609"/>
              <w:spacing w:after="0"/>
              <w:rPr>
                <w:sz w:val="20"/>
                <w:szCs w:val="20"/>
                <w:color w:val="auto"/>
              </w:rPr>
            </w:pPr>
            <w:r>
              <w:rPr>
                <w:rFonts w:ascii="Arial" w:cs="Arial" w:eastAsia="Arial" w:hAnsi="Arial"/>
                <w:sz w:val="14"/>
                <w:szCs w:val="14"/>
                <w:color w:val="auto"/>
                <w:w w:val="85"/>
              </w:rPr>
              <w:t>186</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Dilutive shares resulting from assumed exchange of AAP units and AAP Management Units</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center"/>
              <w:ind w:left="569"/>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center"/>
              <w:ind w:left="589"/>
              <w:spacing w:after="0"/>
              <w:rPr>
                <w:sz w:val="20"/>
                <w:szCs w:val="20"/>
                <w:color w:val="auto"/>
              </w:rPr>
            </w:pPr>
            <w:r>
              <w:rPr>
                <w:rFonts w:ascii="Arial" w:cs="Arial" w:eastAsia="Arial" w:hAnsi="Arial"/>
                <w:sz w:val="14"/>
                <w:szCs w:val="14"/>
                <w:color w:val="auto"/>
                <w:w w:val="89"/>
              </w:rPr>
              <w:t>60</w:t>
            </w:r>
          </w:p>
        </w:tc>
        <w:tc>
          <w:tcPr>
            <w:tcW w:w="0" w:type="dxa"/>
            <w:vAlign w:val="bottom"/>
          </w:tcPr>
          <w:p>
            <w:pPr>
              <w:spacing w:after="0"/>
              <w:rPr>
                <w:sz w:val="1"/>
                <w:szCs w:val="1"/>
                <w:color w:val="auto"/>
              </w:rPr>
            </w:pPr>
          </w:p>
        </w:tc>
      </w:tr>
      <w:tr>
        <w:trPr>
          <w:trHeight w:val="203"/>
        </w:trPr>
        <w:tc>
          <w:tcPr>
            <w:tcW w:w="6040" w:type="dxa"/>
            <w:vAlign w:val="bottom"/>
          </w:tcPr>
          <w:p>
            <w:pPr>
              <w:ind w:left="100"/>
              <w:spacing w:after="0"/>
              <w:rPr>
                <w:sz w:val="20"/>
                <w:szCs w:val="20"/>
                <w:color w:val="auto"/>
              </w:rPr>
            </w:pPr>
            <w:r>
              <w:rPr>
                <w:rFonts w:ascii="Arial" w:cs="Arial" w:eastAsia="Arial" w:hAnsi="Arial"/>
                <w:sz w:val="14"/>
                <w:szCs w:val="14"/>
                <w:color w:val="auto"/>
              </w:rPr>
              <w:t>Diluted weighted average Class A shares outstanding</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left="729"/>
              <w:spacing w:after="0"/>
              <w:rPr>
                <w:sz w:val="20"/>
                <w:szCs w:val="20"/>
                <w:color w:val="auto"/>
              </w:rPr>
            </w:pPr>
            <w:r>
              <w:rPr>
                <w:rFonts w:ascii="Arial" w:cs="Arial" w:eastAsia="Arial" w:hAnsi="Arial"/>
                <w:sz w:val="14"/>
                <w:szCs w:val="14"/>
                <w:color w:val="auto"/>
                <w:w w:val="94"/>
              </w:rPr>
              <w:t>194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left="609"/>
              <w:spacing w:after="0"/>
              <w:rPr>
                <w:sz w:val="20"/>
                <w:szCs w:val="20"/>
                <w:color w:val="auto"/>
              </w:rPr>
            </w:pPr>
            <w:r>
              <w:rPr>
                <w:rFonts w:ascii="Arial" w:cs="Arial" w:eastAsia="Arial" w:hAnsi="Arial"/>
                <w:sz w:val="14"/>
                <w:szCs w:val="14"/>
                <w:color w:val="auto"/>
                <w:w w:val="85"/>
              </w:rPr>
              <w:t>246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40" w:type="dxa"/>
            <w:vAlign w:val="bottom"/>
          </w:tcPr>
          <w:p>
            <w:pPr>
              <w:ind w:left="100"/>
              <w:spacing w:after="0"/>
              <w:rPr>
                <w:sz w:val="20"/>
                <w:szCs w:val="20"/>
                <w:color w:val="auto"/>
              </w:rPr>
            </w:pPr>
            <w:r>
              <w:rPr>
                <w:rFonts w:ascii="Arial" w:cs="Arial" w:eastAsia="Arial" w:hAnsi="Arial"/>
                <w:sz w:val="14"/>
                <w:szCs w:val="14"/>
                <w:color w:val="auto"/>
              </w:rPr>
              <w:t>Diluted net income/(loss) per Class A share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Reclassification of Oryx's Historical Financial Statements</w:t>
      </w:r>
    </w:p>
    <w:p>
      <w:pPr>
        <w:spacing w:after="0" w:line="214" w:lineRule="exact"/>
        <w:rPr>
          <w:sz w:val="20"/>
          <w:szCs w:val="20"/>
          <w:color w:val="auto"/>
        </w:rPr>
      </w:pPr>
    </w:p>
    <w:p>
      <w:pPr>
        <w:jc w:val="both"/>
        <w:ind w:right="180" w:firstLine="318"/>
        <w:spacing w:after="0" w:line="283" w:lineRule="auto"/>
        <w:rPr>
          <w:sz w:val="20"/>
          <w:szCs w:val="20"/>
          <w:color w:val="auto"/>
        </w:rPr>
      </w:pPr>
      <w:r>
        <w:rPr>
          <w:rFonts w:ascii="Arial" w:cs="Arial" w:eastAsia="Arial" w:hAnsi="Arial"/>
          <w:sz w:val="14"/>
          <w:szCs w:val="14"/>
          <w:color w:val="auto"/>
        </w:rPr>
        <w:t>Reclassification adjustments were made to Oryx's historical balance sheet as of June 30, 2021, and the statements of operations for the six months ended June 30, 2021 and the twelve months ended December 31, 2020. Certain balance sheet and income statement line items presented by Oryx under GAAP have been reclassified to align with the presentation used by PAGP under GAAP. These reclassification adjustments are shown in the tables below and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Balance Sheet/Income Statement</w:t>
            </w:r>
          </w:p>
        </w:tc>
        <w:tc>
          <w:tcPr>
            <w:tcW w:w="80" w:type="dxa"/>
            <w:vAlign w:val="bottom"/>
            <w:tcBorders>
              <w:bottom w:val="single" w:sz="8" w:color="CCEEFF"/>
            </w:tcBorders>
          </w:tcPr>
          <w:p>
            <w:pPr>
              <w:spacing w:after="0"/>
              <w:rPr>
                <w:sz w:val="15"/>
                <w:szCs w:val="15"/>
                <w:color w:val="auto"/>
              </w:rPr>
            </w:pPr>
          </w:p>
        </w:tc>
        <w:tc>
          <w:tcPr>
            <w:tcW w:w="380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Historical</w:t>
            </w:r>
          </w:p>
        </w:tc>
        <w:tc>
          <w:tcPr>
            <w:tcW w:w="80" w:type="dxa"/>
            <w:vAlign w:val="bottom"/>
            <w:tcBorders>
              <w:bottom w:val="single" w:sz="8" w:color="CCEEFF"/>
            </w:tcBorders>
          </w:tcPr>
          <w:p>
            <w:pPr>
              <w:spacing w:after="0"/>
              <w:rPr>
                <w:sz w:val="15"/>
                <w:szCs w:val="15"/>
                <w:color w:val="auto"/>
              </w:rPr>
            </w:pPr>
          </w:p>
        </w:tc>
        <w:tc>
          <w:tcPr>
            <w:tcW w:w="428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Reclassification</w:t>
            </w: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 related party</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 and other receivables, net</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Other property and equipment, net</w:t>
            </w:r>
          </w:p>
        </w:tc>
        <w:tc>
          <w:tcPr>
            <w:tcW w:w="428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Linefill and base gas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Intangibles, net</w:t>
            </w:r>
          </w:p>
        </w:tc>
        <w:tc>
          <w:tcPr>
            <w:tcW w:w="4280" w:type="dxa"/>
            <w:vAlign w:val="bottom"/>
          </w:tcPr>
          <w:p>
            <w:pPr>
              <w:ind w:left="20"/>
              <w:spacing w:after="0"/>
              <w:rPr>
                <w:sz w:val="20"/>
                <w:szCs w:val="20"/>
                <w:color w:val="auto"/>
              </w:rPr>
            </w:pPr>
            <w:r>
              <w:rPr>
                <w:rFonts w:ascii="Arial" w:cs="Arial" w:eastAsia="Arial" w:hAnsi="Arial"/>
                <w:sz w:val="13"/>
                <w:szCs w:val="13"/>
                <w:color w:val="auto"/>
              </w:rPr>
              <w:t>Other long-term assets, net</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Accrued expenses</w:t>
            </w:r>
          </w:p>
        </w:tc>
        <w:tc>
          <w:tcPr>
            <w:tcW w:w="4280" w:type="dxa"/>
            <w:vAlign w:val="bottom"/>
          </w:tcPr>
          <w:p>
            <w:pPr>
              <w:ind w:left="20"/>
              <w:spacing w:after="0"/>
              <w:rPr>
                <w:sz w:val="20"/>
                <w:szCs w:val="20"/>
                <w:color w:val="auto"/>
              </w:rPr>
            </w:pPr>
            <w:r>
              <w:rPr>
                <w:rFonts w:ascii="Arial" w:cs="Arial" w:eastAsia="Arial" w:hAnsi="Arial"/>
                <w:sz w:val="13"/>
                <w:szCs w:val="13"/>
                <w:color w:val="auto"/>
              </w:rPr>
              <w:t>Trade accounts payable</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 - related party</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Interest rate swap</w:t>
            </w:r>
          </w:p>
        </w:tc>
        <w:tc>
          <w:tcPr>
            <w:tcW w:w="4280" w:type="dxa"/>
            <w:vAlign w:val="bottom"/>
          </w:tcPr>
          <w:p>
            <w:pPr>
              <w:ind w:left="20"/>
              <w:spacing w:after="0"/>
              <w:rPr>
                <w:sz w:val="20"/>
                <w:szCs w:val="20"/>
                <w:color w:val="auto"/>
              </w:rPr>
            </w:pPr>
            <w:r>
              <w:rPr>
                <w:rFonts w:ascii="Arial" w:cs="Arial" w:eastAsia="Arial" w:hAnsi="Arial"/>
                <w:sz w:val="13"/>
                <w:szCs w:val="13"/>
                <w:color w:val="auto"/>
              </w:rPr>
              <w:t>Other long-term liabilities and deferred credits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Trucking and lease capacity fees</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related costs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tcPr>
          <w:p>
            <w:pPr>
              <w:spacing w:after="0"/>
              <w:rPr>
                <w:sz w:val="20"/>
                <w:szCs w:val="20"/>
                <w:color w:val="auto"/>
              </w:rPr>
            </w:pPr>
            <w:r>
              <w:rPr>
                <w:rFonts w:ascii="Arial" w:cs="Arial" w:eastAsia="Arial" w:hAnsi="Arial"/>
                <w:sz w:val="13"/>
                <w:szCs w:val="13"/>
                <w:color w:val="auto"/>
              </w:rPr>
              <w:t>Costs of Goods Sold</w:t>
            </w:r>
          </w:p>
        </w:tc>
        <w:tc>
          <w:tcPr>
            <w:tcW w:w="4280" w:type="dxa"/>
            <w:vAlign w:val="bottom"/>
          </w:tcPr>
          <w:p>
            <w:pPr>
              <w:ind w:left="20"/>
              <w:spacing w:after="0"/>
              <w:rPr>
                <w:sz w:val="20"/>
                <w:szCs w:val="20"/>
                <w:color w:val="auto"/>
              </w:rPr>
            </w:pPr>
            <w:r>
              <w:rPr>
                <w:rFonts w:ascii="Arial" w:cs="Arial" w:eastAsia="Arial" w:hAnsi="Arial"/>
                <w:sz w:val="13"/>
                <w:szCs w:val="13"/>
                <w:color w:val="auto"/>
              </w:rPr>
              <w:t>Purchases and related costs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expenses/Field operating costs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tcPr>
          <w:p>
            <w:pPr>
              <w:spacing w:after="0"/>
              <w:rPr>
                <w:sz w:val="20"/>
                <w:szCs w:val="20"/>
                <w:color w:val="auto"/>
              </w:rPr>
            </w:pPr>
            <w:r>
              <w:rPr>
                <w:rFonts w:ascii="Arial" w:cs="Arial" w:eastAsia="Arial" w:hAnsi="Arial"/>
                <w:sz w:val="13"/>
                <w:szCs w:val="13"/>
                <w:color w:val="auto"/>
              </w:rPr>
              <w:t>Stock compensation expense allocated from parent</w:t>
            </w:r>
          </w:p>
        </w:tc>
        <w:tc>
          <w:tcPr>
            <w:tcW w:w="4280" w:type="dxa"/>
            <w:vAlign w:val="bottom"/>
          </w:tcPr>
          <w:p>
            <w:pPr>
              <w:ind w:left="20"/>
              <w:spacing w:after="0"/>
              <w:rPr>
                <w:sz w:val="20"/>
                <w:szCs w:val="20"/>
                <w:color w:val="auto"/>
              </w:rPr>
            </w:pPr>
            <w:r>
              <w:rPr>
                <w:rFonts w:ascii="Arial" w:cs="Arial" w:eastAsia="Arial" w:hAnsi="Arial"/>
                <w:sz w:val="13"/>
                <w:szCs w:val="13"/>
                <w:color w:val="auto"/>
              </w:rPr>
              <w:t>General and administrative expenses/Field operating costs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related costs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129"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June 30, 2021</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Oryx</w:t>
            </w:r>
          </w:p>
        </w:tc>
        <w:tc>
          <w:tcPr>
            <w:tcW w:w="1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Reclassification</w:t>
            </w:r>
          </w:p>
        </w:tc>
        <w:tc>
          <w:tcPr>
            <w:tcW w:w="160" w:type="dxa"/>
            <w:vAlign w:val="bottom"/>
          </w:tcPr>
          <w:p>
            <w:pPr>
              <w:spacing w:after="0"/>
              <w:rPr>
                <w:sz w:val="12"/>
                <w:szCs w:val="12"/>
                <w:color w:val="auto"/>
              </w:rPr>
            </w:pPr>
          </w:p>
        </w:tc>
        <w:tc>
          <w:tcPr>
            <w:tcW w:w="1040" w:type="dxa"/>
            <w:vAlign w:val="bottom"/>
          </w:tcPr>
          <w:p>
            <w:pPr>
              <w:jc w:val="right"/>
              <w:ind w:right="151"/>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4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Historical</w:t>
            </w:r>
          </w:p>
        </w:tc>
        <w:tc>
          <w:tcPr>
            <w:tcW w:w="16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Adjustments</w:t>
            </w:r>
          </w:p>
        </w:tc>
        <w:tc>
          <w:tcPr>
            <w:tcW w:w="160" w:type="dxa"/>
            <w:vAlign w:val="bottom"/>
          </w:tcPr>
          <w:p>
            <w:pPr>
              <w:spacing w:after="0"/>
              <w:rPr>
                <w:sz w:val="15"/>
                <w:szCs w:val="15"/>
                <w:color w:val="auto"/>
              </w:rPr>
            </w:pPr>
          </w:p>
        </w:tc>
        <w:tc>
          <w:tcPr>
            <w:tcW w:w="1040" w:type="dxa"/>
            <w:vAlign w:val="bottom"/>
          </w:tcPr>
          <w:p>
            <w:pPr>
              <w:jc w:val="right"/>
              <w:ind w:right="231"/>
              <w:spacing w:after="0"/>
              <w:rPr>
                <w:sz w:val="20"/>
                <w:szCs w:val="20"/>
                <w:color w:val="auto"/>
              </w:rPr>
            </w:pPr>
            <w:r>
              <w:rPr>
                <w:rFonts w:ascii="Arial" w:cs="Arial" w:eastAsia="Arial" w:hAnsi="Arial"/>
                <w:sz w:val="11"/>
                <w:szCs w:val="11"/>
                <w:b w:val="1"/>
                <w:bCs w:val="1"/>
                <w:color w:val="auto"/>
              </w:rPr>
              <w:t>As Adjusted</w:t>
            </w:r>
          </w:p>
        </w:tc>
      </w:tr>
      <w:tr>
        <w:trPr>
          <w:trHeight w:val="18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3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Trade accounts receivable and other receivables, net</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Accounts receivable - related party</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2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4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1,448</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property and equipment, net</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Linefill and base gas</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Investments in unconsolidated entities</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Other long-term assets, net</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Intangibles, net</w:t>
            </w:r>
          </w:p>
        </w:tc>
        <w:tc>
          <w:tcPr>
            <w:tcW w:w="2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r>
      <w:tr>
        <w:trPr>
          <w:trHeight w:val="212"/>
        </w:trPr>
        <w:tc>
          <w:tcPr>
            <w:tcW w:w="4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3"/>
        </w:trPr>
        <w:tc>
          <w:tcPr>
            <w:tcW w:w="434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Trade accounts payable</w:t>
            </w:r>
          </w:p>
        </w:tc>
        <w:tc>
          <w:tcPr>
            <w:tcW w:w="2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Accounts payable - related party</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Short-term debt</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4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89"/>
        </w:trPr>
        <w:tc>
          <w:tcPr>
            <w:tcW w:w="4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Senior notes, net of unamortized discount</w:t>
            </w:r>
          </w:p>
        </w:tc>
        <w:tc>
          <w:tcPr>
            <w:tcW w:w="2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r>
      <w:tr>
        <w:trPr>
          <w:trHeight w:val="191"/>
        </w:trPr>
        <w:tc>
          <w:tcPr>
            <w:tcW w:w="4340" w:type="dxa"/>
            <w:vAlign w:val="bottom"/>
          </w:tcPr>
          <w:p>
            <w:pPr>
              <w:ind w:left="100"/>
              <w:spacing w:after="0"/>
              <w:rPr>
                <w:sz w:val="20"/>
                <w:szCs w:val="20"/>
                <w:color w:val="auto"/>
              </w:rPr>
            </w:pPr>
            <w:r>
              <w:rPr>
                <w:rFonts w:ascii="Arial" w:cs="Arial" w:eastAsia="Arial" w:hAnsi="Arial"/>
                <w:sz w:val="14"/>
                <w:szCs w:val="14"/>
                <w:color w:val="auto"/>
              </w:rPr>
              <w:t>Interest rate swap</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long-term liabilities and deferred credits</w:t>
            </w:r>
          </w:p>
        </w:tc>
        <w:tc>
          <w:tcPr>
            <w:tcW w:w="2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1"/>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9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MEMBER'S EQUITY</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2,107</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MEMBER'S EQUITY</w:t>
            </w:r>
          </w:p>
        </w:tc>
        <w:tc>
          <w:tcPr>
            <w:tcW w:w="3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3,630</w:t>
            </w:r>
          </w:p>
        </w:tc>
      </w:tr>
      <w:tr>
        <w:trPr>
          <w:trHeight w:val="22"/>
        </w:trPr>
        <w:tc>
          <w:tcPr>
            <w:tcW w:w="4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54"/>
        </w:trPr>
        <w:tc>
          <w:tcPr>
            <w:tcW w:w="4340" w:type="dxa"/>
            <w:vAlign w:val="bottom"/>
          </w:tcPr>
          <w:p>
            <w:pPr>
              <w:spacing w:after="0"/>
              <w:rPr>
                <w:sz w:val="24"/>
                <w:szCs w:val="24"/>
                <w:color w:val="auto"/>
              </w:rPr>
            </w:pPr>
          </w:p>
        </w:tc>
        <w:tc>
          <w:tcPr>
            <w:tcW w:w="3160" w:type="dxa"/>
            <w:vAlign w:val="bottom"/>
            <w:gridSpan w:val="2"/>
          </w:tcPr>
          <w:p>
            <w:pPr>
              <w:jc w:val="right"/>
              <w:ind w:right="1720"/>
              <w:spacing w:after="0"/>
              <w:rPr>
                <w:sz w:val="20"/>
                <w:szCs w:val="20"/>
                <w:color w:val="auto"/>
              </w:rPr>
            </w:pPr>
            <w:r>
              <w:rPr>
                <w:rFonts w:ascii="Arial" w:cs="Arial" w:eastAsia="Arial" w:hAnsi="Arial"/>
                <w:sz w:val="14"/>
                <w:szCs w:val="14"/>
                <w:color w:val="auto"/>
              </w:rPr>
              <w:t>F-11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80"/>
          </w:cols>
          <w:pgMar w:left="300" w:top="634"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Oryx</w:t>
            </w:r>
          </w:p>
        </w:tc>
        <w:tc>
          <w:tcPr>
            <w:tcW w:w="1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Reclassification</w:t>
            </w:r>
          </w:p>
        </w:tc>
        <w:tc>
          <w:tcPr>
            <w:tcW w:w="160" w:type="dxa"/>
            <w:vAlign w:val="bottom"/>
          </w:tcPr>
          <w:p>
            <w:pPr>
              <w:spacing w:after="0"/>
              <w:rPr>
                <w:sz w:val="12"/>
                <w:szCs w:val="12"/>
                <w:color w:val="auto"/>
              </w:rPr>
            </w:pPr>
          </w:p>
        </w:tc>
        <w:tc>
          <w:tcPr>
            <w:tcW w:w="1040" w:type="dxa"/>
            <w:vAlign w:val="bottom"/>
          </w:tcPr>
          <w:p>
            <w:pPr>
              <w:jc w:val="right"/>
              <w:ind w:right="154"/>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Historical</w:t>
            </w:r>
          </w:p>
        </w:tc>
        <w:tc>
          <w:tcPr>
            <w:tcW w:w="16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Adjustments</w:t>
            </w:r>
          </w:p>
        </w:tc>
        <w:tc>
          <w:tcPr>
            <w:tcW w:w="160" w:type="dxa"/>
            <w:vAlign w:val="bottom"/>
          </w:tcPr>
          <w:p>
            <w:pPr>
              <w:spacing w:after="0"/>
              <w:rPr>
                <w:sz w:val="15"/>
                <w:szCs w:val="15"/>
                <w:color w:val="auto"/>
              </w:rPr>
            </w:pPr>
          </w:p>
        </w:tc>
        <w:tc>
          <w:tcPr>
            <w:tcW w:w="1040" w:type="dxa"/>
            <w:vAlign w:val="bottom"/>
          </w:tcPr>
          <w:p>
            <w:pPr>
              <w:jc w:val="right"/>
              <w:ind w:right="234"/>
              <w:spacing w:after="0"/>
              <w:rPr>
                <w:sz w:val="20"/>
                <w:szCs w:val="20"/>
                <w:color w:val="auto"/>
              </w:rPr>
            </w:pPr>
            <w:r>
              <w:rPr>
                <w:rFonts w:ascii="Arial" w:cs="Arial" w:eastAsia="Arial" w:hAnsi="Arial"/>
                <w:sz w:val="11"/>
                <w:szCs w:val="11"/>
                <w:b w:val="1"/>
                <w:bCs w:val="1"/>
                <w:color w:val="auto"/>
              </w:rPr>
              <w:t>As Adjusted</w:t>
            </w:r>
          </w:p>
        </w:tc>
      </w:tr>
      <w:tr>
        <w:trPr>
          <w:trHeight w:val="192"/>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COSTS OF GOODS SOLD</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Trucking and lease capacity fees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Compensation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Field operating costs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Stock compensation expense allocated from parent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Purchases and related costs</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2"/>
        </w:trPr>
        <w:tc>
          <w:tcPr>
            <w:tcW w:w="7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FROM EQUITY METHOD INVESTMENT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3"/>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00"/>
        </w:trPr>
        <w:tc>
          <w:tcPr>
            <w:tcW w:w="7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7280" w:type="dxa"/>
            <w:vAlign w:val="bottom"/>
          </w:tcPr>
          <w:p>
            <w:pPr>
              <w:ind w:left="100"/>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NET INCOME BEFORE STATE INCOME TAX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0"/>
        </w:trPr>
        <w:tc>
          <w:tcPr>
            <w:tcW w:w="7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STATE INCOME TAX BENEFIT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63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Oryx</w:t>
            </w:r>
          </w:p>
        </w:tc>
        <w:tc>
          <w:tcPr>
            <w:tcW w:w="18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Arial" w:cs="Arial" w:eastAsia="Arial" w:hAnsi="Arial"/>
                <w:sz w:val="11"/>
                <w:szCs w:val="11"/>
                <w:b w:val="1"/>
                <w:bCs w:val="1"/>
                <w:color w:val="auto"/>
              </w:rPr>
              <w:t>Reclassification</w:t>
            </w:r>
          </w:p>
        </w:tc>
        <w:tc>
          <w:tcPr>
            <w:tcW w:w="160" w:type="dxa"/>
            <w:vAlign w:val="bottom"/>
          </w:tcPr>
          <w:p>
            <w:pPr>
              <w:spacing w:after="0"/>
              <w:rPr>
                <w:sz w:val="12"/>
                <w:szCs w:val="12"/>
                <w:color w:val="auto"/>
              </w:rPr>
            </w:pPr>
          </w:p>
        </w:tc>
        <w:tc>
          <w:tcPr>
            <w:tcW w:w="1040" w:type="dxa"/>
            <w:vAlign w:val="bottom"/>
          </w:tcPr>
          <w:p>
            <w:pPr>
              <w:jc w:val="right"/>
              <w:ind w:right="157"/>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7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Historical</w:t>
            </w:r>
          </w:p>
        </w:tc>
        <w:tc>
          <w:tcPr>
            <w:tcW w:w="18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Arial" w:cs="Arial" w:eastAsia="Arial" w:hAnsi="Arial"/>
                <w:sz w:val="11"/>
                <w:szCs w:val="11"/>
                <w:b w:val="1"/>
                <w:bCs w:val="1"/>
                <w:color w:val="auto"/>
              </w:rPr>
              <w:t>Adjustments</w:t>
            </w:r>
          </w:p>
        </w:tc>
        <w:tc>
          <w:tcPr>
            <w:tcW w:w="160" w:type="dxa"/>
            <w:vAlign w:val="bottom"/>
          </w:tcPr>
          <w:p>
            <w:pPr>
              <w:spacing w:after="0"/>
              <w:rPr>
                <w:sz w:val="15"/>
                <w:szCs w:val="15"/>
                <w:color w:val="auto"/>
              </w:rPr>
            </w:pPr>
          </w:p>
        </w:tc>
        <w:tc>
          <w:tcPr>
            <w:tcW w:w="1040" w:type="dxa"/>
            <w:vAlign w:val="bottom"/>
          </w:tcPr>
          <w:p>
            <w:pPr>
              <w:jc w:val="right"/>
              <w:ind w:right="237"/>
              <w:spacing w:after="0"/>
              <w:rPr>
                <w:sz w:val="20"/>
                <w:szCs w:val="20"/>
                <w:color w:val="auto"/>
              </w:rPr>
            </w:pPr>
            <w:r>
              <w:rPr>
                <w:rFonts w:ascii="Arial" w:cs="Arial" w:eastAsia="Arial" w:hAnsi="Arial"/>
                <w:sz w:val="11"/>
                <w:szCs w:val="11"/>
                <w:b w:val="1"/>
                <w:bCs w:val="1"/>
                <w:color w:val="auto"/>
              </w:rPr>
              <w:t>As Adjusted</w:t>
            </w:r>
          </w:p>
        </w:tc>
      </w:tr>
      <w:tr>
        <w:trPr>
          <w:trHeight w:val="191"/>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212"/>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 OF GOODS SOLD</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EXPENSES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7300" w:type="dxa"/>
            <w:vAlign w:val="bottom"/>
          </w:tcPr>
          <w:p>
            <w:pPr>
              <w:ind w:left="100"/>
              <w:spacing w:after="0"/>
              <w:rPr>
                <w:sz w:val="20"/>
                <w:szCs w:val="20"/>
                <w:color w:val="auto"/>
              </w:rPr>
            </w:pPr>
            <w:r>
              <w:rPr>
                <w:rFonts w:ascii="Arial" w:cs="Arial" w:eastAsia="Arial" w:hAnsi="Arial"/>
                <w:sz w:val="13"/>
                <w:szCs w:val="13"/>
                <w:color w:val="auto"/>
              </w:rPr>
              <w:t>Trucking and lease capacity fees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83"/>
        </w:trPr>
        <w:tc>
          <w:tcPr>
            <w:tcW w:w="7300" w:type="dxa"/>
            <w:vAlign w:val="bottom"/>
          </w:tcPr>
          <w:p>
            <w:pPr>
              <w:ind w:left="100"/>
              <w:spacing w:after="0"/>
              <w:rPr>
                <w:sz w:val="20"/>
                <w:szCs w:val="20"/>
                <w:color w:val="auto"/>
              </w:rPr>
            </w:pPr>
            <w:r>
              <w:rPr>
                <w:rFonts w:ascii="Arial" w:cs="Arial" w:eastAsia="Arial" w:hAnsi="Arial"/>
                <w:sz w:val="13"/>
                <w:szCs w:val="13"/>
                <w:color w:val="auto"/>
              </w:rPr>
              <w:t>Compensation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Field operating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83"/>
        </w:trPr>
        <w:tc>
          <w:tcPr>
            <w:tcW w:w="7300" w:type="dxa"/>
            <w:vAlign w:val="bottom"/>
          </w:tcPr>
          <w:p>
            <w:pPr>
              <w:ind w:left="100"/>
              <w:spacing w:after="0"/>
              <w:rPr>
                <w:sz w:val="20"/>
                <w:szCs w:val="20"/>
                <w:color w:val="auto"/>
              </w:rPr>
            </w:pPr>
            <w:r>
              <w:rPr>
                <w:rFonts w:ascii="Arial" w:cs="Arial" w:eastAsia="Arial" w:hAnsi="Arial"/>
                <w:sz w:val="13"/>
                <w:szCs w:val="13"/>
                <w:color w:val="auto"/>
              </w:rPr>
              <w:t>General and administrative expenses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ind w:left="960"/>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compensation expense allocated from parent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300" w:type="dxa"/>
            <w:vAlign w:val="bottom"/>
          </w:tcPr>
          <w:p>
            <w:pPr>
              <w:ind w:left="100"/>
              <w:spacing w:after="0"/>
              <w:rPr>
                <w:sz w:val="20"/>
                <w:szCs w:val="20"/>
                <w:color w:val="auto"/>
              </w:rPr>
            </w:pPr>
            <w:r>
              <w:rPr>
                <w:rFonts w:ascii="Arial" w:cs="Arial" w:eastAsia="Arial" w:hAnsi="Arial"/>
                <w:sz w:val="13"/>
                <w:szCs w:val="13"/>
                <w:color w:val="auto"/>
              </w:rPr>
              <w:t>Purchases and related costs</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Impairment of goodwill</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r>
      <w:tr>
        <w:trPr>
          <w:trHeight w:val="182"/>
        </w:trPr>
        <w:tc>
          <w:tcPr>
            <w:tcW w:w="7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666</w:t>
            </w:r>
          </w:p>
        </w:tc>
      </w:tr>
      <w:tr>
        <w:trPr>
          <w:trHeight w:val="188"/>
        </w:trPr>
        <w:tc>
          <w:tcPr>
            <w:tcW w:w="7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INCOME (LOSS) FROM EQUITY METHOD INVESTMENT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8"/>
        </w:trPr>
        <w:tc>
          <w:tcPr>
            <w:tcW w:w="7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INCOME (LOSS) FROM OPERATIONS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168"/>
        </w:trPr>
        <w:tc>
          <w:tcPr>
            <w:tcW w:w="7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83"/>
        </w:trPr>
        <w:tc>
          <w:tcPr>
            <w:tcW w:w="7300" w:type="dxa"/>
            <w:vAlign w:val="bottom"/>
          </w:tcPr>
          <w:p>
            <w:pPr>
              <w:ind w:left="100"/>
              <w:spacing w:after="0"/>
              <w:rPr>
                <w:sz w:val="20"/>
                <w:szCs w:val="20"/>
                <w:color w:val="auto"/>
              </w:rPr>
            </w:pPr>
            <w:r>
              <w:rPr>
                <w:rFonts w:ascii="Arial" w:cs="Arial" w:eastAsia="Arial" w:hAnsi="Arial"/>
                <w:sz w:val="13"/>
                <w:szCs w:val="13"/>
                <w:color w:val="auto"/>
              </w:rPr>
              <w:t>Gain on bargain purchase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20"/>
        </w:trPr>
        <w:tc>
          <w:tcPr>
            <w:tcW w:w="7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NET INCOME (LOSS) BEFORE STATE INCOME TAX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(497)</w:t>
            </w:r>
          </w:p>
        </w:tc>
      </w:tr>
      <w:tr>
        <w:trPr>
          <w:trHeight w:val="200"/>
        </w:trPr>
        <w:tc>
          <w:tcPr>
            <w:tcW w:w="7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STATE INCOME TAX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20"/>
        </w:trPr>
        <w:tc>
          <w:tcPr>
            <w:tcW w:w="7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2021-12-14T16:32:34Z</dcterms:created>
  <dcterms:modified xsi:type="dcterms:W3CDTF">2021-12-14T16:32:34Z</dcterms:modified>
</cp:coreProperties>
</file>