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20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93"/>
              </w:rPr>
              <w:t>Delaware</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90-1005472</w:t>
            </w:r>
          </w:p>
        </w:tc>
      </w:tr>
      <w:tr>
        <w:trPr>
          <w:trHeight w:val="251"/>
        </w:trPr>
        <w:tc>
          <w:tcPr>
            <w:tcW w:w="6700" w:type="dxa"/>
            <w:vAlign w:val="bottom"/>
          </w:tcPr>
          <w:p>
            <w:pPr>
              <w:jc w:val="center"/>
              <w:ind w:right="3293"/>
              <w:spacing w:after="0"/>
              <w:rPr>
                <w:sz w:val="20"/>
                <w:szCs w:val="20"/>
                <w:color w:val="auto"/>
              </w:rPr>
            </w:pPr>
            <w:r>
              <w:rPr>
                <w:rFonts w:ascii="Arial" w:cs="Arial" w:eastAsia="Arial" w:hAnsi="Arial"/>
                <w:sz w:val="16"/>
                <w:szCs w:val="16"/>
                <w:color w:val="auto"/>
                <w:w w:val="93"/>
              </w:rPr>
              <w:t>(State or other jurisdiction of</w:t>
            </w: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3"/>
              </w:rPr>
              <w:t>incorporation or organization)</w:t>
            </w:r>
          </w:p>
        </w:tc>
        <w:tc>
          <w:tcPr>
            <w:tcW w:w="120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11"/>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00" w:type="dxa"/>
            <w:vAlign w:val="bottom"/>
          </w:tcPr>
          <w:p>
            <w:pPr>
              <w:jc w:val="right"/>
              <w:ind w:right="275"/>
              <w:spacing w:after="0"/>
              <w:rPr>
                <w:sz w:val="20"/>
                <w:szCs w:val="20"/>
                <w:color w:val="auto"/>
              </w:rPr>
            </w:pPr>
            <w:r>
              <w:rPr>
                <w:rFonts w:ascii="Arial" w:cs="Arial" w:eastAsia="Arial" w:hAnsi="Arial"/>
                <w:sz w:val="18"/>
                <w:szCs w:val="18"/>
                <w:b w:val="1"/>
                <w:bCs w:val="1"/>
                <w:color w:val="auto"/>
              </w:rPr>
              <w:t>77002</w:t>
            </w:r>
          </w:p>
        </w:tc>
      </w:tr>
      <w:tr>
        <w:trPr>
          <w:trHeight w:val="251"/>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4"/>
              </w:rPr>
              <w:t>(Address of principal executive offices)</w:t>
            </w: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437"/>
        </w:trPr>
        <w:tc>
          <w:tcPr>
            <w:tcW w:w="6700" w:type="dxa"/>
            <w:vAlign w:val="bottom"/>
          </w:tcPr>
          <w:p>
            <w:pPr>
              <w:jc w:val="right"/>
              <w:ind w:right="1273"/>
              <w:spacing w:after="0"/>
              <w:rPr>
                <w:sz w:val="20"/>
                <w:szCs w:val="20"/>
                <w:color w:val="auto"/>
              </w:rPr>
            </w:pPr>
            <w:r>
              <w:rPr>
                <w:rFonts w:ascii="Arial" w:cs="Arial" w:eastAsia="Arial" w:hAnsi="Arial"/>
                <w:sz w:val="18"/>
                <w:szCs w:val="18"/>
                <w:b w:val="1"/>
                <w:bCs w:val="1"/>
                <w:color w:val="auto"/>
              </w:rPr>
              <w:t>(713) 646-4100</w:t>
            </w:r>
          </w:p>
        </w:tc>
        <w:tc>
          <w:tcPr>
            <w:tcW w:w="1200" w:type="dxa"/>
            <w:vAlign w:val="bottom"/>
          </w:tcPr>
          <w:p>
            <w:pPr>
              <w:spacing w:after="0"/>
              <w:rPr>
                <w:sz w:val="24"/>
                <w:szCs w:val="24"/>
                <w:color w:val="auto"/>
              </w:rPr>
            </w:pPr>
          </w:p>
        </w:tc>
      </w:tr>
      <w:tr>
        <w:trPr>
          <w:trHeight w:val="216"/>
        </w:trPr>
        <w:tc>
          <w:tcPr>
            <w:tcW w:w="6700" w:type="dxa"/>
            <w:vAlign w:val="bottom"/>
          </w:tcPr>
          <w:p>
            <w:pPr>
              <w:ind w:left="2860"/>
              <w:spacing w:after="0"/>
              <w:rPr>
                <w:sz w:val="20"/>
                <w:szCs w:val="20"/>
                <w:color w:val="auto"/>
              </w:rPr>
            </w:pPr>
            <w:r>
              <w:rPr>
                <w:rFonts w:ascii="Arial" w:cs="Arial" w:eastAsia="Arial" w:hAnsi="Arial"/>
                <w:sz w:val="18"/>
                <w:szCs w:val="18"/>
                <w:color w:val="auto"/>
                <w:w w:val="90"/>
              </w:rPr>
              <w:t>(Registrant’s telephone number, including area code)</w:t>
            </w:r>
          </w:p>
        </w:tc>
        <w:tc>
          <w:tcPr>
            <w:tcW w:w="120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May 1, 2018, there were 157,019,038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248920</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163195</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8"/>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080" w:type="dxa"/>
            <w:vAlign w:val="bottom"/>
            <w:gridSpan w:val="18"/>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14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2018 and December 31, 2017</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62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2018 and 2017</w:t>
              </w:r>
            </w:hyperlink>
          </w:p>
        </w:tc>
        <w:tc>
          <w:tcPr>
            <w:tcW w:w="2380" w:type="dxa"/>
            <w:vAlign w:val="bottom"/>
            <w:gridSpan w:val="6"/>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54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2018 and 2017</w:t>
              </w:r>
            </w:hyperlink>
          </w:p>
        </w:tc>
        <w:tc>
          <w:tcPr>
            <w:tcW w:w="1460" w:type="dxa"/>
            <w:vAlign w:val="bottom"/>
            <w:gridSpan w:val="3"/>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Changes in Accumulated Other Comprehensive Income/(Loss): For the three</w:t>
              </w:r>
            </w:hyperlink>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9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months ended March 31, 2018 and 2017</w:t>
              </w:r>
            </w:hyperlink>
          </w:p>
        </w:tc>
        <w:tc>
          <w:tcPr>
            <w:tcW w:w="5340" w:type="dxa"/>
            <w:vAlign w:val="bottom"/>
            <w:tcBorders>
              <w:top w:val="single" w:sz="8" w:color="0000EE"/>
            </w:tcBorders>
            <w:gridSpan w:val="12"/>
          </w:tcPr>
          <w:p>
            <w:pPr>
              <w:spacing w:after="0"/>
              <w:rPr>
                <w:sz w:val="17"/>
                <w:szCs w:val="17"/>
                <w:color w:val="auto"/>
              </w:rPr>
            </w:pPr>
          </w:p>
        </w:tc>
        <w:tc>
          <w:tcPr>
            <w:tcW w:w="1600" w:type="dxa"/>
            <w:vAlign w:val="bottom"/>
            <w:gridSpan w:val="4"/>
          </w:tcPr>
          <w:p>
            <w:pPr>
              <w:spacing w:after="0"/>
              <w:rPr>
                <w:sz w:val="17"/>
                <w:szCs w:val="17"/>
                <w:color w:val="auto"/>
              </w:rPr>
            </w:pPr>
          </w:p>
        </w:tc>
        <w:tc>
          <w:tcPr>
            <w:tcW w:w="11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2018 and 2017</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Partners’ Capital: For the three months ended March 31, 2018 and 2017</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14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4580" w:type="dxa"/>
            <w:vAlign w:val="bottom"/>
            <w:tcBorders>
              <w:top w:val="single" w:sz="8" w:color="0000EE"/>
            </w:tcBorders>
            <w:gridSpan w:val="11"/>
          </w:tcPr>
          <w:p>
            <w:pPr>
              <w:spacing w:after="0"/>
              <w:rPr>
                <w:sz w:val="21"/>
                <w:szCs w:val="21"/>
                <w:color w:val="auto"/>
              </w:rPr>
            </w:pPr>
          </w:p>
        </w:tc>
        <w:tc>
          <w:tcPr>
            <w:tcW w:w="112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440" w:type="dxa"/>
            <w:vAlign w:val="bottom"/>
            <w:gridSpan w:val="12"/>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2680" w:type="dxa"/>
            <w:vAlign w:val="bottom"/>
            <w:gridSpan w:val="15"/>
          </w:tcPr>
          <w:p>
            <w:pPr>
              <w:ind w:left="2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Recent Accounting Pronouncements</w:t>
              </w:r>
            </w:hyperlink>
          </w:p>
        </w:tc>
        <w:tc>
          <w:tcPr>
            <w:tcW w:w="6960" w:type="dxa"/>
            <w:vAlign w:val="bottom"/>
            <w:gridSpan w:val="1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2680" w:type="dxa"/>
            <w:vAlign w:val="bottom"/>
            <w:gridSpan w:val="15"/>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Revenues</w:t>
              </w:r>
            </w:hyperlink>
          </w:p>
        </w:tc>
        <w:tc>
          <w:tcPr>
            <w:tcW w:w="6960" w:type="dxa"/>
            <w:vAlign w:val="bottom"/>
            <w:gridSpan w:val="1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4.</w:t>
              </w:r>
            </w:hyperlink>
          </w:p>
        </w:tc>
        <w:tc>
          <w:tcPr>
            <w:tcW w:w="2220" w:type="dxa"/>
            <w:vAlign w:val="bottom"/>
            <w:gridSpan w:val="11"/>
          </w:tcPr>
          <w:p>
            <w:pPr>
              <w:ind w:left="20"/>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Net Income Per Class A Share</w:t>
              </w:r>
            </w:hyperlink>
          </w:p>
        </w:tc>
        <w:tc>
          <w:tcPr>
            <w:tcW w:w="7420" w:type="dxa"/>
            <w:vAlign w:val="bottom"/>
            <w:gridSpan w:val="2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5.</w:t>
              </w:r>
            </w:hyperlink>
          </w:p>
        </w:tc>
        <w:tc>
          <w:tcPr>
            <w:tcW w:w="2220" w:type="dxa"/>
            <w:vAlign w:val="bottom"/>
            <w:gridSpan w:val="11"/>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Accounts Receivable, Net</w:t>
              </w:r>
            </w:hyperlink>
          </w:p>
        </w:tc>
        <w:tc>
          <w:tcPr>
            <w:tcW w:w="7420" w:type="dxa"/>
            <w:vAlign w:val="bottom"/>
            <w:gridSpan w:val="2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6.</w:t>
              </w:r>
            </w:hyperlink>
          </w:p>
        </w:tc>
        <w:tc>
          <w:tcPr>
            <w:tcW w:w="4240" w:type="dxa"/>
            <w:vAlign w:val="bottom"/>
            <w:gridSpan w:val="21"/>
          </w:tcPr>
          <w:p>
            <w:pPr>
              <w:ind w:left="20"/>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Inventory, Linefill and Base Gas and Long-term Inventory</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7.</w:t>
              </w:r>
            </w:hyperlink>
          </w:p>
        </w:tc>
        <w:tc>
          <w:tcPr>
            <w:tcW w:w="860" w:type="dxa"/>
            <w:vAlign w:val="bottom"/>
            <w:gridSpan w:val="4"/>
          </w:tcPr>
          <w:p>
            <w:pPr>
              <w:ind w:left="20"/>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Divestitures</w:t>
              </w:r>
            </w:hyperlink>
          </w:p>
        </w:tc>
        <w:tc>
          <w:tcPr>
            <w:tcW w:w="3380" w:type="dxa"/>
            <w:vAlign w:val="bottom"/>
            <w:gridSpan w:val="17"/>
          </w:tcPr>
          <w:p>
            <w:pPr>
              <w:spacing w:after="0"/>
              <w:rPr>
                <w:sz w:val="21"/>
                <w:szCs w:val="21"/>
                <w:color w:val="auto"/>
              </w:rPr>
            </w:pPr>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Debt</w:t>
              </w:r>
            </w:hyperlink>
          </w:p>
        </w:tc>
        <w:tc>
          <w:tcPr>
            <w:tcW w:w="480" w:type="dxa"/>
            <w:vAlign w:val="bottom"/>
            <w:gridSpan w:val="3"/>
          </w:tcPr>
          <w:p>
            <w:pPr>
              <w:spacing w:after="0"/>
              <w:rPr>
                <w:sz w:val="21"/>
                <w:szCs w:val="21"/>
                <w:color w:val="auto"/>
              </w:rPr>
            </w:pPr>
          </w:p>
        </w:tc>
        <w:tc>
          <w:tcPr>
            <w:tcW w:w="8780" w:type="dxa"/>
            <w:vAlign w:val="bottom"/>
            <w:gridSpan w:val="2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9.</w:t>
              </w:r>
            </w:hyperlink>
          </w:p>
        </w:tc>
        <w:tc>
          <w:tcPr>
            <w:tcW w:w="2500" w:type="dxa"/>
            <w:vAlign w:val="bottom"/>
            <w:gridSpan w:val="13"/>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Partners’ Capital and Distributions</w:t>
              </w:r>
            </w:hyperlink>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19"/>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10. Derivatives and Risk Management Activities</w:t>
              </w:r>
            </w:hyperlink>
          </w:p>
        </w:tc>
        <w:tc>
          <w:tcPr>
            <w:tcW w:w="628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11. Related Party Transactions</w:t>
              </w:r>
            </w:hyperlink>
          </w:p>
        </w:tc>
        <w:tc>
          <w:tcPr>
            <w:tcW w:w="628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12. Commitments and Contingencies</w:t>
              </w:r>
            </w:hyperlink>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13. Operating Segments</w:t>
              </w:r>
            </w:hyperlink>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3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140" w:type="dxa"/>
            <w:vAlign w:val="bottom"/>
            <w:gridSpan w:val="3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9"/>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Item 3. QUANTITATIVE AND QUALITATIVE DISCLOSURES ABOUT MARKET RISK</w:t>
              </w:r>
            </w:hyperlink>
          </w:p>
        </w:tc>
        <w:tc>
          <w:tcPr>
            <w:tcW w:w="2760" w:type="dxa"/>
            <w:vAlign w:val="bottom"/>
            <w:gridSpan w:val="6"/>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19"/>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Item 4. CONTROLS AND PROCEDURES</w:t>
              </w:r>
            </w:hyperlink>
          </w:p>
        </w:tc>
        <w:tc>
          <w:tcPr>
            <w:tcW w:w="3520" w:type="dxa"/>
            <w:vAlign w:val="bottom"/>
            <w:gridSpan w:val="10"/>
          </w:tcPr>
          <w:p>
            <w:pPr>
              <w:spacing w:after="0"/>
              <w:rPr>
                <w:sz w:val="21"/>
                <w:szCs w:val="21"/>
                <w:color w:val="auto"/>
              </w:rPr>
            </w:pPr>
          </w:p>
        </w:tc>
        <w:tc>
          <w:tcPr>
            <w:tcW w:w="3440" w:type="dxa"/>
            <w:vAlign w:val="bottom"/>
            <w:gridSpan w:val="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520"/>
        </w:trPr>
        <w:tc>
          <w:tcPr>
            <w:tcW w:w="276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3"/>
          </w:tcPr>
          <w:p>
            <w:pPr>
              <w:spacing w:after="0"/>
              <w:rPr>
                <w:sz w:val="24"/>
                <w:szCs w:val="24"/>
                <w:color w:val="auto"/>
              </w:rPr>
            </w:pPr>
          </w:p>
        </w:tc>
        <w:tc>
          <w:tcPr>
            <w:tcW w:w="6960" w:type="dxa"/>
            <w:vAlign w:val="bottom"/>
            <w:gridSpan w:val="17"/>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140" w:type="dxa"/>
            <w:vAlign w:val="bottom"/>
            <w:gridSpan w:val="3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 LEGAL PROCEEDINGS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1A. RISK FACTORS</w:t>
              </w:r>
            </w:hyperlink>
          </w:p>
        </w:tc>
        <w:tc>
          <w:tcPr>
            <w:tcW w:w="7720" w:type="dxa"/>
            <w:vAlign w:val="bottom"/>
            <w:gridSpan w:val="2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3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1"/>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Item 3. DEFAULTS UPON SENIOR SECURITIES</w:t>
              </w:r>
            </w:hyperlink>
          </w:p>
        </w:tc>
        <w:tc>
          <w:tcPr>
            <w:tcW w:w="2880" w:type="dxa"/>
            <w:vAlign w:val="bottom"/>
            <w:gridSpan w:val="7"/>
          </w:tcPr>
          <w:p>
            <w:pPr>
              <w:spacing w:after="0"/>
              <w:rPr>
                <w:sz w:val="21"/>
                <w:szCs w:val="21"/>
                <w:color w:val="auto"/>
              </w:rPr>
            </w:pPr>
          </w:p>
        </w:tc>
        <w:tc>
          <w:tcPr>
            <w:tcW w:w="352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7"/>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4. MINE SAFETY DISCLOSURES</w:t>
              </w:r>
            </w:hyperlink>
          </w:p>
        </w:tc>
        <w:tc>
          <w:tcPr>
            <w:tcW w:w="740" w:type="dxa"/>
            <w:vAlign w:val="bottom"/>
            <w:gridSpan w:val="4"/>
          </w:tcPr>
          <w:p>
            <w:pPr>
              <w:spacing w:after="0"/>
              <w:rPr>
                <w:sz w:val="21"/>
                <w:szCs w:val="21"/>
                <w:color w:val="auto"/>
              </w:rPr>
            </w:pPr>
          </w:p>
        </w:tc>
        <w:tc>
          <w:tcPr>
            <w:tcW w:w="6400" w:type="dxa"/>
            <w:vAlign w:val="bottom"/>
            <w:gridSpan w:val="1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140" w:type="dxa"/>
            <w:vAlign w:val="bottom"/>
            <w:gridSpan w:val="1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7700" w:type="dxa"/>
            <w:vAlign w:val="bottom"/>
            <w:gridSpan w:val="2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6. EXHIBITS</w:t>
              </w:r>
            </w:hyperlink>
          </w:p>
        </w:tc>
        <w:tc>
          <w:tcPr>
            <w:tcW w:w="7700" w:type="dxa"/>
            <w:vAlign w:val="bottom"/>
            <w:gridSpan w:val="2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780" w:type="dxa"/>
            <w:vAlign w:val="bottom"/>
            <w:gridSpan w:val="2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6"/>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8780" w:type="dxa"/>
            <w:vAlign w:val="bottom"/>
            <w:gridSpan w:val="2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300" w:type="dxa"/>
            <w:vAlign w:val="bottom"/>
            <w:gridSpan w:val="20"/>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60" w:type="dxa"/>
            <w:vAlign w:val="bottom"/>
          </w:tcPr>
          <w:p>
            <w:pPr>
              <w:jc w:val="right"/>
              <w:ind w:right="231"/>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176"/>
        </w:trPr>
        <w:tc>
          <w:tcPr>
            <w:tcW w:w="8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713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16,976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16,901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14,105</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2,756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872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901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176"/>
        </w:trPr>
        <w:tc>
          <w:tcPr>
            <w:tcW w:w="8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3,459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4,533</w:t>
            </w:r>
          </w:p>
        </w:tc>
      </w:tr>
      <w:tr>
        <w:trPr>
          <w:trHeight w:val="169"/>
        </w:trPr>
        <w:tc>
          <w:tcPr>
            <w:tcW w:w="83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8,935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8,933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679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9,862</w:t>
            </w:r>
          </w:p>
        </w:tc>
      </w:tr>
      <w:tr>
        <w:trPr>
          <w:trHeight w:val="169"/>
        </w:trPr>
        <w:tc>
          <w:tcPr>
            <w:tcW w:w="83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176"/>
        </w:trPr>
        <w:tc>
          <w:tcPr>
            <w:tcW w:w="8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Class A Shareholders (157,019,038 and 156,111,139 shares outstanding, respectively)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1,695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per share data)</w:t>
      </w:r>
    </w:p>
    <w:p>
      <w:pPr>
        <w:spacing w:after="0" w:line="148"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13335</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196"/>
        </w:trPr>
        <w:tc>
          <w:tcPr>
            <w:tcW w:w="8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7"/>
                <w:szCs w:val="17"/>
                <w:color w:val="auto"/>
              </w:rPr>
            </w:pP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6,395</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6,667</w:t>
            </w:r>
          </w:p>
        </w:tc>
      </w:tr>
      <w:tr>
        <w:trPr>
          <w:trHeight w:val="297"/>
        </w:trPr>
        <w:tc>
          <w:tcPr>
            <w:tcW w:w="8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5,593</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37"/>
        </w:trPr>
        <w:tc>
          <w:tcPr>
            <w:tcW w:w="87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6,078</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8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589</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7"/>
        </w:trPr>
        <w:tc>
          <w:tcPr>
            <w:tcW w:w="8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$6 and $6, respectively)</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8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91"/>
        </w:trPr>
        <w:tc>
          <w:tcPr>
            <w:tcW w:w="8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243"/>
        </w:trPr>
        <w:tc>
          <w:tcPr>
            <w:tcW w:w="87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5"/>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5"/>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WEIGHTED AVERAGE CLASS A SHARES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10080" w:type="dxa"/>
            <w:vAlign w:val="bottom"/>
            <w:gridSpan w:val="4"/>
          </w:tcPr>
          <w:p>
            <w:pPr>
              <w:ind w:left="2160"/>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75"/>
        </w:trPr>
        <w:tc>
          <w:tcPr>
            <w:tcW w:w="8740" w:type="dxa"/>
            <w:vAlign w:val="bottom"/>
          </w:tcPr>
          <w:p>
            <w:pPr>
              <w:ind w:left="56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3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196"/>
        </w:trPr>
        <w:tc>
          <w:tcPr>
            <w:tcW w:w="8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PAGP</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Derivative</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440" w:type="dxa"/>
            <w:vAlign w:val="bottom"/>
          </w:tcPr>
          <w:p>
            <w:pPr>
              <w:spacing w:after="0"/>
              <w:rPr>
                <w:sz w:val="14"/>
                <w:szCs w:val="1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gain on cash flow hedges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Derivative</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440" w:type="dxa"/>
            <w:vAlign w:val="bottom"/>
          </w:tcPr>
          <w:p>
            <w:pPr>
              <w:spacing w:after="0"/>
              <w:rPr>
                <w:sz w:val="24"/>
                <w:szCs w:val="2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gain on cash flow hedges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402</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815</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9"/>
        </w:trPr>
        <w:tc>
          <w:tcPr>
            <w:tcW w:w="8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161</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9"/>
        </w:trPr>
        <w:tc>
          <w:tcPr>
            <w:tcW w:w="8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borrowings/(repayments) under PAA commercial paper program (Note 8)</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borrowings under PAA senior unsecured revolving credit facility (Note 8)</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repayments under PAA senior secured hedged inventory facility (Note 8)</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PAA senior notes</w:t>
            </w:r>
          </w:p>
        </w:tc>
        <w:tc>
          <w:tcPr>
            <w:tcW w:w="9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sales of Class A shares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sales of common units by a subsidiary</w:t>
            </w:r>
          </w:p>
        </w:tc>
        <w:tc>
          <w:tcPr>
            <w:tcW w:w="9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Class A shareholders (Note 9)</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noncontrolling interests (Note 9)</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9"/>
        </w:trPr>
        <w:tc>
          <w:tcPr>
            <w:tcW w:w="8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5"/>
        </w:trPr>
        <w:tc>
          <w:tcPr>
            <w:tcW w:w="8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r>
      <w:tr>
        <w:trPr>
          <w:trHeight w:val="67"/>
        </w:trPr>
        <w:tc>
          <w:tcPr>
            <w:tcW w:w="834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16"/>
        </w:trPr>
        <w:tc>
          <w:tcPr>
            <w:tcW w:w="8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10,663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Impact of adoption of ASU 2017-05 (Note 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Distributions (Note 9)</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10,723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12,827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right="246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March 31, 2018,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March 31, 2018, PAGP owned (i) a 100% managing member interest in Plains All American GP LLC (“GP LLC”), an entity that has also elected to be taxed as a corporation for United States federal income tax purposes and (ii) an approximate 55% limited partner interest in Plains AAP, L.P. (“AAP”) through our direct ownership of approximately 156.0 million Class A units of AAP (“AAP units”) and indirect ownership of approximately 1.0 million AAP units through GP LLC. GP LLC is a Delaware limited liability company that also holds the non-economic general partner interest in AAP. AAP is a Delaware limited partnership that, as of March 31, 2018, directly owned a limited partner interest in PAA through its ownership of approximately 283.9 million PAA common units (approximately 36% of PAA’s total outstanding common units and Series A preferred units combined). AAP is the sole member of PAA GP LLC (“PAA GP”), a Delaware limited liability company that directly holds the non-economic general partner interest in PAA.</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Supply and Logistics, Transportation and Facilities. See Note 13 for further discussion of our operating segments.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 (“PMC”).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5"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2017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2017 was derived from audited financial statements, but does not include all disclosures required by GAAP. The results of operations for the three months ended March 31, 2018 should not be taken as indicative of results to be expected for the entire year.</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25" w:lineRule="exact"/>
        <w:rPr>
          <w:sz w:val="20"/>
          <w:szCs w:val="20"/>
          <w:color w:val="auto"/>
        </w:rPr>
      </w:pPr>
    </w:p>
    <w:p>
      <w:pPr>
        <w:ind w:left="980" w:right="44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With the exception of a deferred tax asset of $1,373 million and $1,386 million as of March 31, 2018 and December 31, 2017, respectively, substantially all assets and liabilities presented on PAGP’s consolidated balance sheet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three months ended March 31, 2018 or the year ended December 31, 2017, respectively. See Note 15 to our Consolidated Financial Statements included in Part IV of our 2017 Annual Report on Form 10-K for information regarding the Omnibus Agreement entered into in connection with the Simplification Transactions.</w:t>
      </w:r>
    </w:p>
    <w:p>
      <w:pPr>
        <w:spacing w:after="0" w:line="19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Except as discussed below and in our 2017 Annual Report on Form 10-K, there have been no new accounting pronouncements that have become effective or have been issued during the three months ended March 31, 2018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In February 2017, the FASB issued ASU 2017-05, </w:t>
      </w:r>
      <w:r>
        <w:rPr>
          <w:rFonts w:ascii="Arial" w:cs="Arial" w:eastAsia="Arial" w:hAnsi="Arial"/>
          <w:sz w:val="18"/>
          <w:szCs w:val="18"/>
          <w:i w:val="1"/>
          <w:iCs w:val="1"/>
          <w:color w:val="auto"/>
        </w:rPr>
        <w:t>Other Income—Gains and Losses from the Derecognition of Nonfinancial Assets (Subtopic 610-20): Clarifying the Scope of Asset Derecognition Guidance and Accounting for Partial Sales of Nonfinancial Assets</w:t>
      </w:r>
      <w:r>
        <w:rPr>
          <w:rFonts w:ascii="Arial" w:cs="Arial" w:eastAsia="Arial" w:hAnsi="Arial"/>
          <w:sz w:val="18"/>
          <w:szCs w:val="18"/>
          <w:color w:val="auto"/>
        </w:rPr>
        <w:t>. The ASU clarifies what type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involving nonfinancial assets are covered by the scope of the standard and provides guidance on how to account for those transactions, including partial sales of real estate. Within this guidance, all sales and partial sales of businesses, which may have previously been accounted for using the in-substance real estate guidance, should follow the consolidation guidance. This guidance is effective for interim and annual periods beginning after December 15, 2017, and must be adopted at the same time as Topic 606. We adopted this ASU on January 1, 2018, using the modified retrospective approach. The cumulative effect of our adoption resulted in increases in both the carrying value of investments in unconsolidated entities and retained earnings of $113 million related to the retained noncontrolling interest in those entities from partial sales of businesses accounted for under in-substance real estate guidance during 2016 and 2017.</w:t>
      </w:r>
    </w:p>
    <w:p>
      <w:pPr>
        <w:spacing w:after="0" w:line="19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 (a consensus of the FASB Emerging</w:t>
      </w:r>
      <w:r>
        <w:rPr>
          <w:rFonts w:ascii="Arial" w:cs="Arial" w:eastAsia="Arial" w:hAnsi="Arial"/>
          <w:sz w:val="18"/>
          <w:szCs w:val="18"/>
          <w:color w:val="auto"/>
        </w:rPr>
        <w:t xml:space="preserve"> </w:t>
      </w:r>
      <w:r>
        <w:rPr>
          <w:rFonts w:ascii="Arial" w:cs="Arial" w:eastAsia="Arial" w:hAnsi="Arial"/>
          <w:sz w:val="18"/>
          <w:szCs w:val="18"/>
          <w:i w:val="1"/>
          <w:iCs w:val="1"/>
          <w:color w:val="auto"/>
        </w:rPr>
        <w:t>Issues Task Force)</w:t>
      </w:r>
      <w:r>
        <w:rPr>
          <w:rFonts w:ascii="Arial" w:cs="Arial" w:eastAsia="Arial" w:hAnsi="Arial"/>
          <w:sz w:val="18"/>
          <w:szCs w:val="18"/>
          <w:color w:val="auto"/>
        </w:rPr>
        <w:t>, requiring that a statement of cash flows explain the change in total cash, cash equivalents, and amounts generally described as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is effective for interim and annual periods beginning after December 31, 2017. We adopted this ASU on January 1, 2018. Our adoption did not have an impact on our statement of cash flows.</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followed by a series of related accounting standard updates (collectively referred to as “Topic 606”) with the underlying principle that an entity will recognize revenue to reflect amounts expected to be received in exchange for the provision of goods and services to customers upon the transfer of control of those goods or services. We adopted Topic 606 on January 1, 2018, and applied the modified retrospective approach. See Note 3 for additional information.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Standards Updates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that revises the current accounting model for leases. The most significant changes are the clarification of the definition of a lease and required lessee recognition on the balance sheet of lease assets and liabilities with lease terms of more than 12 months (with the election of the practical expedient to exclude short-term leases on the balance sheet),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and are assessing the use of optional practical expedients. We are currently evaluating the effect that adopting this guidance will have on our financial position, results of operations and cash flows. Although our evaluation is ongoing, we do expect that the adoption will impact our financial statements as the standard requires the recognition on the balance sheet of a right of use asset and corresponding lease liability. We are currently analyzing our contracts to determine whether they contain a lease under the revised guidance and have not quantified the amount of the asset and liability that will be recognized on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January 1, 2018, we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ASC Topic 605, Revenue Recognition.</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There was no material impact to opening retained earnings as of January 1, 2018 due to the adoption of Topic 606. There also was no material impact to revenues, or any other financial statement line items, for the three months ended March 31, 2018 as a result of applying Topic 606.</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Under Topic 606, we disaggregate our revenues by segment and type of activity. These categories depict how the nature, amount, timing and uncertainty of revenues and cash flows are affected by economic factors. Our business activities are conducted through three operating segments: Supply and Logistics, Transportation and Facilities. See Note 13 for further discussion of our operating segments.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segment and type of activity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Three Months Ended</w:t>
            </w:r>
          </w:p>
        </w:tc>
      </w:tr>
      <w:tr>
        <w:trPr>
          <w:trHeight w:val="192"/>
        </w:trPr>
        <w:tc>
          <w:tcPr>
            <w:tcW w:w="9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revenues from contracts with customers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160"/>
              <w:spacing w:after="0"/>
              <w:rPr>
                <w:sz w:val="20"/>
                <w:szCs w:val="20"/>
                <w:color w:val="auto"/>
              </w:rPr>
            </w:pPr>
            <w:r>
              <w:rPr>
                <w:rFonts w:ascii="Arial" w:cs="Arial" w:eastAsia="Arial" w:hAnsi="Arial"/>
                <w:sz w:val="18"/>
                <w:szCs w:val="18"/>
                <w:color w:val="auto"/>
              </w:rPr>
              <w:t>Crude oil transactions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7,023</w:t>
            </w:r>
          </w:p>
        </w:tc>
      </w:tr>
      <w:tr>
        <w:trPr>
          <w:trHeight w:val="27"/>
        </w:trPr>
        <w:tc>
          <w:tcPr>
            <w:tcW w:w="9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other transactions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1,151</w:t>
            </w:r>
          </w:p>
        </w:tc>
      </w:tr>
      <w:tr>
        <w:trPr>
          <w:trHeight w:val="257"/>
        </w:trPr>
        <w:tc>
          <w:tcPr>
            <w:tcW w:w="9540" w:type="dxa"/>
            <w:vAlign w:val="bottom"/>
          </w:tcPr>
          <w:p>
            <w:pPr>
              <w:ind w:left="20"/>
              <w:spacing w:after="0"/>
              <w:rPr>
                <w:sz w:val="20"/>
                <w:szCs w:val="20"/>
                <w:color w:val="auto"/>
              </w:rPr>
            </w:pPr>
            <w:r>
              <w:rPr>
                <w:rFonts w:ascii="Arial" w:cs="Arial" w:eastAsia="Arial" w:hAnsi="Arial"/>
                <w:sz w:val="18"/>
                <w:szCs w:val="18"/>
                <w:color w:val="auto"/>
              </w:rPr>
              <w:t>Total Supply and Logistics revenues from contracts with customers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8,174</w:t>
            </w:r>
          </w:p>
        </w:tc>
      </w:tr>
      <w:tr>
        <w:trPr>
          <w:trHeight w:val="20"/>
        </w:trPr>
        <w:tc>
          <w:tcPr>
            <w:tcW w:w="9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purchases and sales under buy/sell transactions are treated as inventory exchanges which are excluded from Supply and Logistics segment revenues in our Condensed Consolidated Statements of Operations. Revenues recognized by our Supply and Logistics segment primarily represent margin based activities.</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Additionally, we may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 along with the ineffective portion of the change in fair value of derivatives that are designated as cash flow hedges. For commodity derivatives that are designated as cash flow hedges, derivative gains and losses are deferred in AOCI and recognized in revenues in the periods during which the underlying physical hedged transaction impacts earnings.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disaggregated by segment and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Three Months Ended</w:t>
            </w:r>
          </w:p>
        </w:tc>
      </w:tr>
      <w:tr>
        <w:trPr>
          <w:trHeight w:val="192"/>
        </w:trPr>
        <w:tc>
          <w:tcPr>
            <w:tcW w:w="9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Transportation revenues from contracts with customers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Tariff activities: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389</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18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27</w:t>
            </w:r>
          </w:p>
        </w:tc>
      </w:tr>
      <w:tr>
        <w:trPr>
          <w:trHeight w:val="27"/>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416</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Trucking</w:t>
            </w:r>
          </w:p>
        </w:tc>
        <w:tc>
          <w:tcPr>
            <w:tcW w:w="18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34</w:t>
            </w:r>
          </w:p>
        </w:tc>
      </w:tr>
      <w:tr>
        <w:trPr>
          <w:trHeight w:val="27"/>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Transportation revenues from contracts with customers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450</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7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segment and type of activity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Three Months Ended</w:t>
            </w:r>
          </w:p>
        </w:tc>
      </w:tr>
      <w:tr>
        <w:trPr>
          <w:trHeight w:val="192"/>
        </w:trPr>
        <w:tc>
          <w:tcPr>
            <w:tcW w:w="9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revenues from contracts with customers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160"/>
              <w:spacing w:after="0"/>
              <w:rPr>
                <w:sz w:val="20"/>
                <w:szCs w:val="20"/>
                <w:color w:val="auto"/>
              </w:rPr>
            </w:pPr>
            <w:r>
              <w:rPr>
                <w:rFonts w:ascii="Arial" w:cs="Arial" w:eastAsia="Arial" w:hAnsi="Arial"/>
                <w:sz w:val="18"/>
                <w:szCs w:val="18"/>
                <w:color w:val="auto"/>
              </w:rPr>
              <w:t>Crude oil, NGL and other terminalling and storage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166</w:t>
            </w:r>
          </w:p>
        </w:tc>
      </w:tr>
      <w:tr>
        <w:trPr>
          <w:trHeight w:val="27"/>
        </w:trPr>
        <w:tc>
          <w:tcPr>
            <w:tcW w:w="9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natural gas processing and fractionation</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w:t>
            </w:r>
          </w:p>
        </w:tc>
      </w:tr>
      <w:tr>
        <w:trPr>
          <w:trHeight w:val="243"/>
        </w:trPr>
        <w:tc>
          <w:tcPr>
            <w:tcW w:w="9540" w:type="dxa"/>
            <w:vAlign w:val="bottom"/>
          </w:tcPr>
          <w:p>
            <w:pPr>
              <w:ind w:left="160"/>
              <w:spacing w:after="0"/>
              <w:rPr>
                <w:sz w:val="20"/>
                <w:szCs w:val="20"/>
                <w:color w:val="auto"/>
              </w:rPr>
            </w:pPr>
            <w:r>
              <w:rPr>
                <w:rFonts w:ascii="Arial" w:cs="Arial" w:eastAsia="Arial" w:hAnsi="Arial"/>
                <w:sz w:val="18"/>
                <w:szCs w:val="18"/>
                <w:color w:val="auto"/>
              </w:rPr>
              <w:t>Rail load / unload</w:t>
            </w:r>
          </w:p>
        </w:tc>
        <w:tc>
          <w:tcPr>
            <w:tcW w:w="180" w:type="dxa"/>
            <w:vAlign w:val="bottom"/>
          </w:tcPr>
          <w:p>
            <w:pPr>
              <w:spacing w:after="0"/>
              <w:rPr>
                <w:sz w:val="21"/>
                <w:szCs w:val="21"/>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16</w:t>
            </w:r>
          </w:p>
        </w:tc>
      </w:tr>
      <w:tr>
        <w:trPr>
          <w:trHeight w:val="27"/>
        </w:trPr>
        <w:tc>
          <w:tcPr>
            <w:tcW w:w="9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revenues from contracts with customers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282</w:t>
            </w:r>
          </w:p>
        </w:tc>
      </w:tr>
      <w:tr>
        <w:trPr>
          <w:trHeight w:val="20"/>
        </w:trPr>
        <w:tc>
          <w:tcPr>
            <w:tcW w:w="9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liquids from one connecting source and deliver the applicable product to another connecting carrier, (iii) fees from NGL fractionation and isomerization services, (iv) fees from natural gas and condensate processing services, (v) fees associated with natural gas park and loan activities, interruptible storage services and wheeling and balancing services (“natural gas storage related activities”) and (vi) loading and unloading fees at our rail terminals.</w:t>
      </w:r>
    </w:p>
    <w:p>
      <w:pPr>
        <w:spacing w:after="0" w:line="1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Topic 606 requires us to provide information about the relationship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revenues presented above and segment revenues. These disclosures only include information regarding revenues associated with consolidated entities, and revenues from entities accounted for by the equity method are not included in the disclosures. The following table presents the reconciliation of our revenues from contracts with customers (as described above for each segment) to segment revenues and total revenues as disclosed in our Condensed Consolidated Statement of Operations (in millions):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9"/>
              </w:rPr>
              <w:t>Transportation</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Supply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agreed upon period. These contracts are within the scope of Topic 606. In addition, we have certain buy/sell agreements that require customers to deliver a minimum volume over an agreed upon period that are within the scope of ASC Topic 845, </w:t>
      </w:r>
      <w:r>
        <w:rPr>
          <w:rFonts w:ascii="Arial" w:cs="Arial" w:eastAsia="Arial" w:hAnsi="Arial"/>
          <w:sz w:val="17"/>
          <w:szCs w:val="17"/>
          <w:i w:val="1"/>
          <w:iCs w:val="1"/>
          <w:color w:val="auto"/>
        </w:rPr>
        <w:t>Nonmonetary Transactions</w:t>
      </w:r>
      <w:r>
        <w:rPr>
          <w:rFonts w:ascii="Arial" w:cs="Arial" w:eastAsia="Arial" w:hAnsi="Arial"/>
          <w:sz w:val="17"/>
          <w:szCs w:val="17"/>
          <w:color w:val="auto"/>
        </w:rPr>
        <w:t>, (“Topic 845”).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79"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At March 31, 2018 and December 31, 2017, counterparty deficiencies associated with agreements (under Topic 606 and Topic 845) that include minimum volume commitments totaled $59 million and $57 million, respectively, of which $44 million and $37 million, respectively, was recorded as a contract liability, which we refer to as deferred revenue. The remaining balance of $15 million and $20 million at March 31, 2018 and December 31, 2017,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73"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i w:val="1"/>
          <w:iCs w:val="1"/>
          <w:color w:val="auto"/>
        </w:rPr>
        <w:t>Contract Balances</w:t>
      </w:r>
      <w:r>
        <w:rPr>
          <w:rFonts w:ascii="Arial" w:cs="Arial" w:eastAsia="Arial" w:hAnsi="Arial"/>
          <w:sz w:val="17"/>
          <w:szCs w:val="17"/>
          <w:color w:val="auto"/>
        </w:rPr>
        <w:t>. Our contract balances primarily consist of trade accounts receivable and liabilities. Our liabilities primarily consist of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and advance cash payments. We invoice customers in the month following that in which products or services were provided and generally require payment within 30 days of the invoice date. See Note 5 for further discussion of trade accounts receivable and advance cash payments. Included in these deferred revenues are amounts recognized under minimum volume commitments, as discussed above.</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2,584</w:t>
            </w:r>
          </w:p>
        </w:tc>
      </w:tr>
      <w:tr>
        <w:trPr>
          <w:trHeight w:val="270"/>
        </w:trPr>
        <w:tc>
          <w:tcPr>
            <w:tcW w:w="8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3,709</w:t>
            </w: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57"/>
        </w:trPr>
        <w:tc>
          <w:tcPr>
            <w:tcW w:w="8280" w:type="dxa"/>
            <w:vAlign w:val="bottom"/>
          </w:tcPr>
          <w:p>
            <w:pPr>
              <w:ind w:left="160"/>
              <w:spacing w:after="0"/>
              <w:rPr>
                <w:sz w:val="20"/>
                <w:szCs w:val="20"/>
                <w:color w:val="auto"/>
              </w:rPr>
            </w:pPr>
            <w:r>
              <w:rPr>
                <w:rFonts w:ascii="Arial" w:cs="Arial" w:eastAsia="Arial" w:hAnsi="Arial"/>
                <w:sz w:val="18"/>
                <w:szCs w:val="18"/>
                <w:color w:val="auto"/>
              </w:rPr>
              <w:t>Trade accounts receivable and other receivables,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3,029</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00" w:lineRule="exact"/>
        <w:rPr>
          <w:rFonts w:ascii="Arial" w:cs="Arial" w:eastAsia="Arial" w:hAnsi="Arial"/>
          <w:sz w:val="24"/>
          <w:szCs w:val="24"/>
          <w:color w:val="auto"/>
          <w:vertAlign w:val="superscript"/>
        </w:rPr>
      </w:pPr>
    </w:p>
    <w:p>
      <w:pPr>
        <w:spacing w:after="0" w:line="200" w:lineRule="exact"/>
        <w:rPr>
          <w:rFonts w:ascii="Arial" w:cs="Arial" w:eastAsia="Arial" w:hAnsi="Arial"/>
          <w:sz w:val="24"/>
          <w:szCs w:val="24"/>
          <w:color w:val="auto"/>
          <w:vertAlign w:val="superscript"/>
        </w:rPr>
      </w:pPr>
    </w:p>
    <w:p>
      <w:pPr>
        <w:spacing w:after="0" w:line="314"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contract liabilities primarily consist of amounts received under minimum volume commitments for which revenues are yet to be recognized and customer pre-payments and deposits. The following table presents the change in the contract liability balance during the three months ended March 31, 2018 (in millions):</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Minimum Volume Commitments</w:t>
            </w:r>
          </w:p>
        </w:tc>
        <w:tc>
          <w:tcPr>
            <w:tcW w:w="140" w:type="dxa"/>
            <w:vAlign w:val="bottom"/>
          </w:tcPr>
          <w:p>
            <w:pPr>
              <w:spacing w:after="0"/>
              <w:rPr>
                <w:sz w:val="14"/>
                <w:szCs w:val="14"/>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Customer Prepayments and</w:t>
            </w:r>
          </w:p>
        </w:tc>
        <w:tc>
          <w:tcPr>
            <w:tcW w:w="200" w:type="dxa"/>
            <w:vAlign w:val="bottom"/>
          </w:tcPr>
          <w:p>
            <w:pPr>
              <w:spacing w:after="0"/>
              <w:rPr>
                <w:sz w:val="14"/>
                <w:szCs w:val="14"/>
                <w:color w:val="auto"/>
              </w:rPr>
            </w:pPr>
          </w:p>
        </w:tc>
        <w:tc>
          <w:tcPr>
            <w:tcW w:w="1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4"/>
              </w:rPr>
              <w:t>Total Deferred Revenues</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21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9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tcPr>
          <w:p>
            <w:pPr>
              <w:ind w:left="160"/>
              <w:spacing w:after="0"/>
              <w:rPr>
                <w:sz w:val="20"/>
                <w:szCs w:val="20"/>
                <w:color w:val="auto"/>
              </w:rPr>
            </w:pPr>
            <w:r>
              <w:rPr>
                <w:rFonts w:ascii="Arial" w:cs="Arial" w:eastAsia="Arial" w:hAnsi="Arial"/>
                <w:sz w:val="18"/>
                <w:szCs w:val="18"/>
                <w:color w:val="auto"/>
              </w:rPr>
              <w:t>Amounts recognized as revenue</w:t>
            </w:r>
          </w:p>
        </w:tc>
        <w:tc>
          <w:tcPr>
            <w:tcW w:w="9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9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020" w:type="dxa"/>
            <w:vAlign w:val="bottom"/>
          </w:tcPr>
          <w:p>
            <w:pPr>
              <w:ind w:left="16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March 31, 2018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8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2023 and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Pipeline revenues supported by minimum volume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commitments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Long-term storage, terminalling and throughput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agreements revenues</w:t>
            </w:r>
          </w:p>
        </w:tc>
        <w:tc>
          <w:tcPr>
            <w:tcW w:w="14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40" w:hanging="652"/>
        <w:spacing w:after="0" w:line="21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Includes revenues from certain contracts for which the amount and timing of revenue is subject to the completion of underlying construction projects.</w:t>
      </w:r>
    </w:p>
    <w:p>
      <w:pPr>
        <w:spacing w:after="0" w:line="20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right="200" w:hanging="164"/>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related to the assets of equity method investees — contracts include those related to the Eagle Ford, BridgeTex, STACK, Caddo, Saddlehorn, White Cliffs, Cheyenne and Diamond pipeline systems;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560" w:hanging="164"/>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and Logistics contracts within the scope of Topic 845 — including buy/sell arrangements with future committed volumes on certain Permian Basin, Eagle Ford, Central and Canada region systems;</w:t>
      </w:r>
    </w:p>
    <w:p>
      <w:pPr>
        <w:spacing w:after="0" w:line="62" w:lineRule="exact"/>
        <w:rPr>
          <w:rFonts w:ascii="Arial" w:cs="Arial" w:eastAsia="Arial" w:hAnsi="Arial"/>
          <w:sz w:val="18"/>
          <w:szCs w:val="18"/>
          <w:color w:val="auto"/>
        </w:rPr>
      </w:pPr>
    </w:p>
    <w:p>
      <w:pPr>
        <w:ind w:left="820" w:right="220" w:hanging="164"/>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Contracts within the scope of ASC Topic 840, Leases;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Contracts within the scope of ASC Topic 815, Derivatives and Hedging.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under Topic 606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Additionally, we have elected practical expedients to exclude contracts with terms of one year or less, which excludes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Class A Share</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to our Consolidated Financial Statements included in Part IV of our 2017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16 to our Consolidated Financial Statements included in Part IV of our 2017 Annual Report on Form 10-K for information regarding PAGP LTIP awards.</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the three months ended March 31, 2018 and 2017, the possible exchange of any AAP units and certain AAP Management Units would not have had a dilutive effect on basic net income per Class A share. For the three months ended March 31, 2018 and 2017, our PAGP LTIP awards were dilutive; however, there were less than 0.1 million dilutive LTIP awards for each period, which did not change the presentation of weighted average Class A shares outstanding or net income per Class A share.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364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4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Basic and diluted weighted average Class A shares outstanding</w:t>
            </w:r>
          </w:p>
        </w:tc>
        <w:tc>
          <w:tcPr>
            <w:tcW w:w="3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444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2914"/>
              <w:spacing w:after="0"/>
              <w:rPr>
                <w:sz w:val="20"/>
                <w:szCs w:val="20"/>
                <w:color w:val="auto"/>
              </w:rPr>
            </w:pPr>
            <w:r>
              <w:rPr>
                <w:rFonts w:ascii="Arial" w:cs="Arial" w:eastAsia="Arial" w:hAnsi="Arial"/>
                <w:sz w:val="18"/>
                <w:szCs w:val="18"/>
                <w:color w:val="auto"/>
              </w:rPr>
              <w:t>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5—Accounts Receivable, Net</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As of March 31, 2018 and December 31, 2017, we had received $132 million and $117 million, respectively, of advance cash payments from third parties to mitigate credit risk. We also received $44 million and $54 million as of March 31, 2018 and December 31, 2017,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78"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2018 and December 31, 2017, substantially all of our trade accounts receivable (net of allowance for doubtful accounts) were less than 30 days past their scheduled invoice date. Our allowance for doubtful accounts receivable totaled $3 million at both March 31, 2018 and December 31, 2017.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9,171</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494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53.87</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4,144</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12,428</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57.85</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1,823</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59.24</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1,989</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7—Divestitures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first quarter of 2018, we received proceeds from asset sales of $83 million, and we received an additional approximately $255 million from sales completed subsequent to quarter end through May 1, 2018. The assets sold primarily included non-core property and equipment previously reported in our Facilities and Transportation segments. As of March 31, 2018, we had classified approximately $150 million of assets as held for sale on our Condensed Consolidated Balance Sheet (in “Other current assets”) related to these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63" w:lineRule="exact"/>
        <w:rPr>
          <w:sz w:val="20"/>
          <w:szCs w:val="20"/>
          <w:color w:val="auto"/>
        </w:rPr>
      </w:pPr>
    </w:p>
    <w:p>
      <w:pPr>
        <w:ind w:left="8920"/>
        <w:spacing w:after="0"/>
        <w:tabs>
          <w:tab w:leader="none" w:pos="1030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9120"/>
        <w:spacing w:after="0"/>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PAA commercial paper notes, bearing a weighted-average interest rate of 2.8% and 2.4%, respectively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6" w:lineRule="exact"/>
        <w:rPr>
          <w:sz w:val="20"/>
          <w:szCs w:val="20"/>
          <w:color w:val="auto"/>
        </w:rPr>
      </w:pPr>
    </w:p>
    <w:p>
      <w:pPr>
        <w:ind w:left="200" w:right="220" w:hanging="161"/>
        <w:spacing w:after="0" w:line="238" w:lineRule="auto"/>
        <w:rPr>
          <w:sz w:val="20"/>
          <w:szCs w:val="20"/>
          <w:color w:val="auto"/>
        </w:rPr>
      </w:pPr>
      <w:r>
        <w:rPr>
          <w:rFonts w:ascii="Arial" w:cs="Arial" w:eastAsia="Arial" w:hAnsi="Arial"/>
          <w:sz w:val="18"/>
          <w:szCs w:val="18"/>
          <w:color w:val="auto"/>
        </w:rPr>
        <w:t xml:space="preserve">PAA senior secured hedged inventory facility, bearing a weighted-average interest rate of 2.9% and 2.6%, respectively </w:t>
      </w:r>
      <w:r>
        <w:rPr>
          <w:rFonts w:ascii="Arial" w:cs="Arial" w:eastAsia="Arial" w:hAnsi="Arial"/>
          <w:sz w:val="25"/>
          <w:szCs w:val="25"/>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PAA senior unsecured revolving credit facility, bearing a weighted-average interest rate of 3.0% </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PAA senior notes, net of unamortized discounts and debt issuance costs of $65 and $67, respectively </w:t>
      </w:r>
      <w:r>
        <w:rPr>
          <w:rFonts w:ascii="Arial" w:cs="Arial" w:eastAsia="Arial" w:hAnsi="Arial"/>
          <w:sz w:val="22"/>
          <w:szCs w:val="22"/>
          <w:color w:val="auto"/>
          <w:vertAlign w:val="superscript"/>
        </w:rPr>
        <w:t>(3)</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PAA commercial paper notes and senior secured hedged inventory facility borrowings </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 xml:space="preserve">PAA senior unsecured revolving credit facility </w:t>
      </w:r>
      <w:r>
        <w:rPr>
          <w:rFonts w:ascii="Arial" w:cs="Arial" w:eastAsia="Arial" w:hAnsi="Arial"/>
          <w:sz w:val="25"/>
          <w:szCs w:val="25"/>
          <w:color w:val="auto"/>
          <w:vertAlign w:val="superscript"/>
        </w:rPr>
        <w:t>(3)</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tabs>
          <w:tab w:leader="none" w:pos="960" w:val="left"/>
          <w:tab w:leader="none" w:pos="1460" w:val="left"/>
          <w:tab w:leader="none" w:pos="2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116</w:t>
        <w:tab/>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jc w:val="both"/>
        <w:ind w:left="980"/>
        <w:spacing w:after="0"/>
        <w:tabs>
          <w:tab w:leader="none" w:pos="242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8"/>
          <w:szCs w:val="18"/>
          <w:color w:val="auto"/>
        </w:rPr>
        <w:t>664</w:t>
      </w:r>
    </w:p>
    <w:p>
      <w:pPr>
        <w:spacing w:after="0" w:line="117"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jc w:val="both"/>
        <w:ind w:left="980"/>
        <w:spacing w:after="0"/>
        <w:tabs>
          <w:tab w:leader="none" w:pos="2420" w:val="left"/>
        </w:tabs>
        <w:rPr>
          <w:sz w:val="20"/>
          <w:szCs w:val="20"/>
          <w:color w:val="auto"/>
        </w:rPr>
      </w:pPr>
      <w:r>
        <w:rPr>
          <w:rFonts w:ascii="Arial" w:cs="Arial" w:eastAsia="Arial" w:hAnsi="Arial"/>
          <w:sz w:val="18"/>
          <w:szCs w:val="18"/>
          <w:color w:val="auto"/>
        </w:rPr>
        <w:t>774</w:t>
      </w:r>
      <w:r>
        <w:rPr>
          <w:sz w:val="20"/>
          <w:szCs w:val="20"/>
          <w:color w:val="auto"/>
        </w:rPr>
        <w:tab/>
      </w:r>
      <w:r>
        <w:rPr>
          <w:rFonts w:ascii="Arial" w:cs="Arial" w:eastAsia="Arial" w:hAnsi="Arial"/>
          <w:sz w:val="18"/>
          <w:szCs w:val="18"/>
          <w:color w:val="auto"/>
        </w:rPr>
        <w:t>737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40"/>
        <w:spacing w:after="0"/>
        <w:tabs>
          <w:tab w:leader="none" w:pos="2280" w:val="left"/>
        </w:tabs>
        <w:rPr>
          <w:sz w:val="20"/>
          <w:szCs w:val="20"/>
          <w:color w:val="auto"/>
        </w:rPr>
      </w:pPr>
      <w:r>
        <w:rPr>
          <w:rFonts w:ascii="Arial" w:cs="Arial" w:eastAsia="Arial" w:hAnsi="Arial"/>
          <w:sz w:val="18"/>
          <w:szCs w:val="18"/>
          <w:color w:val="auto"/>
        </w:rPr>
        <w:t>8,935</w:t>
      </w:r>
      <w:r>
        <w:rPr>
          <w:sz w:val="20"/>
          <w:szCs w:val="20"/>
          <w:color w:val="auto"/>
        </w:rPr>
        <w:tab/>
      </w:r>
      <w:r>
        <w:rPr>
          <w:rFonts w:ascii="Arial" w:cs="Arial" w:eastAsia="Arial" w:hAnsi="Arial"/>
          <w:sz w:val="18"/>
          <w:szCs w:val="18"/>
          <w:color w:val="auto"/>
        </w:rPr>
        <w:t>8,933</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247</w:t>
      </w:r>
    </w:p>
    <w:p>
      <w:pPr>
        <w:spacing w:after="0" w:line="117"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1160"/>
        <w:spacing w:after="0"/>
        <w:tabs>
          <w:tab w:leader="none" w:pos="26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3</w:t>
      </w:r>
    </w:p>
    <w:p>
      <w:pPr>
        <w:spacing w:after="0" w:line="77" w:lineRule="exact"/>
        <w:rPr>
          <w:sz w:val="20"/>
          <w:szCs w:val="20"/>
          <w:color w:val="auto"/>
        </w:rPr>
      </w:pPr>
    </w:p>
    <w:p>
      <w:pPr>
        <w:jc w:val="both"/>
        <w:ind w:left="840"/>
        <w:spacing w:after="0"/>
        <w:tabs>
          <w:tab w:leader="none" w:pos="2280" w:val="left"/>
        </w:tabs>
        <w:rPr>
          <w:sz w:val="20"/>
          <w:szCs w:val="20"/>
          <w:color w:val="auto"/>
        </w:rPr>
      </w:pPr>
      <w:r>
        <w:rPr>
          <w:rFonts w:ascii="Arial" w:cs="Arial" w:eastAsia="Arial" w:hAnsi="Arial"/>
          <w:sz w:val="18"/>
          <w:szCs w:val="18"/>
          <w:color w:val="auto"/>
        </w:rPr>
        <w:t>9,050</w:t>
      </w:r>
      <w:r>
        <w:rPr>
          <w:sz w:val="20"/>
          <w:szCs w:val="20"/>
          <w:color w:val="auto"/>
        </w:rPr>
        <w:tab/>
      </w:r>
      <w:r>
        <w:rPr>
          <w:rFonts w:ascii="Arial" w:cs="Arial" w:eastAsia="Arial" w:hAnsi="Arial"/>
          <w:sz w:val="18"/>
          <w:szCs w:val="18"/>
          <w:color w:val="auto"/>
        </w:rPr>
        <w:t>9,183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spacing w:after="0"/>
        <w:tabs>
          <w:tab w:leader="none" w:pos="820" w:val="left"/>
          <w:tab w:leader="none" w:pos="146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9,824</w:t>
        <w:tab/>
        <w:t>$</w:t>
      </w:r>
      <w:r>
        <w:rPr>
          <w:sz w:val="20"/>
          <w:szCs w:val="20"/>
          <w:color w:val="auto"/>
        </w:rPr>
        <w:tab/>
      </w:r>
      <w:r>
        <w:rPr>
          <w:rFonts w:ascii="Arial" w:cs="Arial" w:eastAsia="Arial" w:hAnsi="Arial"/>
          <w:sz w:val="16"/>
          <w:szCs w:val="16"/>
          <w:color w:val="auto"/>
        </w:rPr>
        <w:t>9,920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7880" w:space="720"/>
            <w:col w:w="2800"/>
          </w:cols>
          <w:pgMar w:left="240" w:top="125" w:right="259" w:bottom="1440" w:gutter="0" w:footer="0" w:header="0"/>
          <w:type w:val="continuous"/>
        </w:sectPr>
      </w:pPr>
    </w:p>
    <w:p>
      <w:pPr>
        <w:spacing w:after="0" w:line="53" w:lineRule="exact"/>
        <w:rPr>
          <w:sz w:val="20"/>
          <w:szCs w:val="20"/>
          <w:color w:val="auto"/>
        </w:rPr>
      </w:pPr>
    </w:p>
    <w:p>
      <w:pPr>
        <w:ind w:left="660" w:right="40" w:hanging="652"/>
        <w:spacing w:after="0" w:line="22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as of March 31, 2018 and December 31, 2017,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 of March 31, 2018 and December 31, 2017, balance includes borrowings of $217 million and $212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36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 of March 31, 2018 and December 31, 2017, we classified a portion of PAA's commercial paper notes and PAA's credit facility borrowings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right="40" w:hanging="652"/>
        <w:spacing w:after="0" w:line="254"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PAA’s fixed-rate senior notes had a face value of approximately $9.0 billion at both March 31, 2018 and December 31, 2017. We estimated the aggregate fair value of these notes as of March 31, 2018 and December 31, 2017 to be approximately $8.8 billion and $9.1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-2138680</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Total borrowings under the credit facilities and the PAA commercial paper program for the three months ended March 31, 2018 and 2017 were approximately $10.5 billion and $18.8 billion, respectively. Total repayments under the credit facilities and the PAA commercial paper program were approximately $10.7 billion and $19.2 billion for the three months ended March 31, 2018 and 2017,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and construction activities. At March 31, 2018 and December 31, 2017, we had outstanding letters of credit of $102 million and $166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156,111,139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126,984,572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510,925,432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907,899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(907,899)</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39,224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Series A preferred units by a subsidiary</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1,393,926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157,019,038</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126,037,449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512,376,348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740" w:type="dxa"/>
            <w:vAlign w:val="bottom"/>
          </w:tcPr>
          <w:p>
            <w:pPr>
              <w:spacing w:after="0"/>
              <w:rPr>
                <w:sz w:val="24"/>
                <w:szCs w:val="2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101,206,526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138,043,486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491,910,863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276,405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479,298</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(479,298)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(3,454,374)</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3,454,374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50,086,326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4,033,567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Series A preferred units by a subsidiary</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1,287,773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7,810</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82,872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151,779,960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134,386,219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500,769,449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___________________________________________</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0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See Note 11 to our Consolidated Financial Statements included in Part IV of our 2017 Annual Report on Form 10-K for information regarding conversions of AAP Management Units, Exchange Rights and Redemption Rights.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details the distributions paid to Class A shareholders during or pertaining to the first three months of 2018 (in millions,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2"/>
          </w:tcPr>
          <w:p>
            <w:pPr>
              <w:ind w:left="400"/>
              <w:spacing w:after="0"/>
              <w:rPr>
                <w:sz w:val="20"/>
                <w:szCs w:val="20"/>
                <w:color w:val="auto"/>
              </w:rPr>
            </w:pPr>
            <w:r>
              <w:rPr>
                <w:rFonts w:ascii="Arial" w:cs="Arial" w:eastAsia="Arial" w:hAnsi="Arial"/>
                <w:sz w:val="14"/>
                <w:szCs w:val="14"/>
                <w:b w:val="1"/>
                <w:bCs w:val="1"/>
                <w:color w:val="auto"/>
              </w:rPr>
              <w:t>Distributions to</w:t>
            </w:r>
          </w:p>
        </w:tc>
        <w:tc>
          <w:tcPr>
            <w:tcW w:w="440" w:type="dxa"/>
            <w:vAlign w:val="bottom"/>
          </w:tcPr>
          <w:p>
            <w:pPr>
              <w:spacing w:after="0"/>
              <w:rPr>
                <w:sz w:val="14"/>
                <w:szCs w:val="14"/>
                <w:color w:val="auto"/>
              </w:rPr>
            </w:pPr>
          </w:p>
        </w:tc>
        <w:tc>
          <w:tcPr>
            <w:tcW w:w="2140" w:type="dxa"/>
            <w:vAlign w:val="bottom"/>
          </w:tcPr>
          <w:p>
            <w:pPr>
              <w:jc w:val="right"/>
              <w:ind w:right="679"/>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Class A Shareholders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61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2018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February 14,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9"/>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9"/>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6000" w:type="dxa"/>
            <w:vAlign w:val="bottom"/>
          </w:tcPr>
          <w:p>
            <w:pPr>
              <w:jc w:val="right"/>
              <w:ind w:right="2034"/>
              <w:spacing w:after="0"/>
              <w:rPr>
                <w:sz w:val="20"/>
                <w:szCs w:val="20"/>
                <w:color w:val="auto"/>
              </w:rPr>
            </w:pPr>
            <w:r>
              <w:rPr>
                <w:rFonts w:ascii="Arial" w:cs="Arial" w:eastAsia="Arial" w:hAnsi="Arial"/>
                <w:sz w:val="18"/>
                <w:szCs w:val="18"/>
                <w:color w:val="auto"/>
                <w:w w:val="89"/>
              </w:rPr>
              <w:t>___________________________________________</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line="234" w:lineRule="auto"/>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Payable to shareholders of record at the close of business on May 1, 2018 for the period from January 1, 2018 through March 31,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March 31, 2018, noncontrolling interests in our subsidiaries consisted of (i) limited partner interests in PAA including a 64% interest in PAA common units and PAA Series A preferred units combined and 100% of PAA's Series B preferred units and (ii) an approximate 45% limited partner interest in AAP.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the distributions to PAA’s common unitholders during or pertaining to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2018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w w:val="92"/>
              </w:rPr>
              <w:t>Common Unitholders</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AAP</w:t>
            </w: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2018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2018</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May 1, 2018 for the period from January 1, 2018 through March 31, 2018.</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With respect to any quarter ending on or prior to December 31, 2017 (the “Initial Distribution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PAA was able to elect to pay distributions on the PAA Series A preferred units in additional preferred units, in cash or a combination of both. On February 14, 2018, PAA issued 1,393,926 Series A preferred units in lieu of a cash distribution of $37 million on PAA's Series A preferred units outstanding as of January 31, 2018, the record date for such distribution.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Initial Distribution Period ended with the February 2018 distribution; as such, with respect to any quarter ending after the Initial Distribution Period, PAA must pay distributions on the Series A preferred units in cash. On May 15, 2018, PAA will pay a cash distribution of $37 million on its Series A preferred units outstanding as of May 1, 2018, the record date for such distribution, for the period from January 1, 2018 through March 31, 2018. At March 31, 2018, such amount was accrued to distributions payable (in “Accounts payable and accrued liabilities” on our Condensed Consolidated Balance Sheet).</w:t>
      </w:r>
    </w:p>
    <w:p>
      <w:pPr>
        <w:spacing w:after="0" w:line="188"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purchasers may convert their Series A preferred units into PAA common units, generally on a one-for-one basis and subject to customary anti-dilution adjustments, at any time, in whole or in part, subject to certain minimum conversion amounts (and not more often than once per quarter).</w:t>
      </w:r>
    </w:p>
    <w:p>
      <w:pPr>
        <w:spacing w:after="0" w:line="12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PAA Series B Preferred Unit Distributions. </w:t>
      </w:r>
      <w:r>
        <w:rPr>
          <w:rFonts w:ascii="Arial" w:cs="Arial" w:eastAsia="Arial" w:hAnsi="Arial"/>
          <w:sz w:val="18"/>
          <w:szCs w:val="18"/>
          <w:color w:val="auto"/>
        </w:rPr>
        <w:t>On May 15, 2018, PAA will pay the semi-annual cash distribution of $24.5 million on its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units to holders of record at the close of business on May 1, 2018, for the period from November 15, 2017 through May 14, 2018. As of March 31, 2018, we had accrued approximately $18 million of distributions payable to its Series B preferred unitholders (in “Accounts payable and accrued liabilities” on our Condensed Consolidated Balance Sheet).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paid to AAP’s partners during or pertaining to the first three months of 2018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Distribution to AAP's Partners</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Total Cash Distributions</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2018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85</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February 14, 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6"/>
              <w:spacing w:after="0"/>
              <w:rPr>
                <w:sz w:val="20"/>
                <w:szCs w:val="20"/>
                <w:color w:val="auto"/>
              </w:rPr>
            </w:pPr>
            <w:r>
              <w:rPr>
                <w:rFonts w:ascii="Arial" w:cs="Arial" w:eastAsia="Arial" w:hAnsi="Arial"/>
                <w:sz w:val="18"/>
                <w:szCs w:val="18"/>
                <w:color w:val="auto"/>
              </w:rPr>
              <w:t>85</w:t>
            </w:r>
          </w:p>
        </w:tc>
      </w:tr>
      <w:tr>
        <w:trPr>
          <w:trHeight w:val="243"/>
        </w:trPr>
        <w:tc>
          <w:tcPr>
            <w:tcW w:w="5260" w:type="dxa"/>
            <w:vAlign w:val="bottom"/>
          </w:tcPr>
          <w:p>
            <w:pPr>
              <w:jc w:val="right"/>
              <w:ind w:right="1294"/>
              <w:spacing w:after="0"/>
              <w:rPr>
                <w:sz w:val="20"/>
                <w:szCs w:val="20"/>
                <w:color w:val="auto"/>
              </w:rPr>
            </w:pPr>
            <w:r>
              <w:rPr>
                <w:rFonts w:ascii="Arial" w:cs="Arial" w:eastAsia="Arial" w:hAnsi="Arial"/>
                <w:sz w:val="18"/>
                <w:szCs w:val="18"/>
                <w:color w:val="auto"/>
                <w:w w:val="89"/>
              </w:rPr>
              <w:t>___________________________________________</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ind w:left="660" w:hanging="652"/>
        <w:spacing w:after="0" w:line="225"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May 1, 2018 for the period from January 1, 2018 through March 31,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2018, net derivative positions related to these activities included:</w:t>
      </w:r>
    </w:p>
    <w:p>
      <w:pPr>
        <w:spacing w:after="0" w:line="147" w:lineRule="exact"/>
        <w:rPr>
          <w:sz w:val="20"/>
          <w:szCs w:val="20"/>
          <w:color w:val="auto"/>
        </w:rPr>
      </w:pPr>
    </w:p>
    <w:p>
      <w:pPr>
        <w:ind w:left="980" w:right="5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long position of 3.3 million barrels associated with our crude oil purchases, which was unwound ratably during April 2018 to match monthly average pricing.</w:t>
      </w:r>
    </w:p>
    <w:p>
      <w:pPr>
        <w:spacing w:after="0" w:line="116"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short time spread position of 6.7 million barrels, which hedges a portion of our anticipated crude oil lease gathering purchases through June 2019.</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crude oil grade basis position of 36.4 million barrels through December 2019.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net short position of 14.9 million barrels through February 2020 related to anticipated net sales of our crude oil and NGL inventory.</w:t>
      </w:r>
    </w:p>
    <w:p>
      <w:pPr>
        <w:spacing w:after="0" w:line="23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We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to hedge a portion of the anticipated sales of the loss allowance oil that is to be collected under our tariffs. As of March 31, 2018, our PLA hedges included a short position consisting of crude oil futures of 1.1 million barrels and a long call option position of 0.7 million barrels through December 2019.</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March 31, 2018, we had a long natural gas position of 51.3 Bcf which hedges our natural gas processing and operational needs through December 2020. We also had a short propane position of 7.9 million barrels through December 2019, a short butane position of 2.4 million barrels through December 2019 and a short WTI position of 0.8 million barrels through December 2019. In addition, we had a long power position of 0.3 million megawatt hours, which hedges a portion of our power supply requirements at our Canadian natural gas processing and fractionation plants through December 2019.</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March 31, 2018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16 forward starting swaps (30-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As of March 31, 2018,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2018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$1.29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 exchange contracts that exchange USD for CAD: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2018</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491</w:t>
            </w:r>
          </w:p>
        </w:tc>
        <w:tc>
          <w:tcPr>
            <w:tcW w:w="2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$1.00 - $1.29</w:t>
            </w:r>
          </w:p>
        </w:tc>
      </w:tr>
      <w:tr>
        <w:trPr>
          <w:trHeight w:val="243"/>
        </w:trPr>
        <w:tc>
          <w:tcPr>
            <w:tcW w:w="666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27</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$1.00 - $1.28</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expense, net” in our Condensed Consolidated Statement of Operations. At March 31, 2018 and December 31, 2017, the fair value of this embedded derivative was a liability of approximately $26 million and $22 million, respectively. We recognized losses of approximately $4 million during both the three months ended March 31, 2018 and 2017. See Note 11 to our Consolidated Financial Statements included in Part IV of our 2017 Annual Report on Form 10-K for additional information regarding the Series A preferred units and Preferred Distribution Rate Reset Option.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2018</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2017</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6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8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vMerge w:val="restart"/>
          </w:tcPr>
          <w:p>
            <w:pPr>
              <w:ind w:left="26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Our derivative transactions (other than the Preferred Distribution Rate Reset Option)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586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7"/>
        </w:trPr>
        <w:tc>
          <w:tcPr>
            <w:tcW w:w="3700" w:type="dxa"/>
            <w:vAlign w:val="bottom"/>
          </w:tcPr>
          <w:p>
            <w:pPr>
              <w:ind w:left="40"/>
              <w:spacing w:after="0"/>
              <w:rPr>
                <w:sz w:val="20"/>
                <w:szCs w:val="20"/>
                <w:color w:val="auto"/>
              </w:rPr>
            </w:pPr>
            <w:r>
              <w:rPr>
                <w:rFonts w:ascii="Arial" w:cs="Arial" w:eastAsia="Arial" w:hAnsi="Arial"/>
                <w:sz w:val="18"/>
                <w:szCs w:val="18"/>
                <w:color w:val="auto"/>
              </w:rPr>
              <w:t>Variation margin posted</w:t>
            </w: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176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broker receivable</w:t>
            </w:r>
          </w:p>
        </w:tc>
        <w:tc>
          <w:tcPr>
            <w:tcW w:w="586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217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24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4"/>
              </w:rPr>
              <w:t>March 31, 2018</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2017</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March 31, 2018, there was a net loss of $190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March 31, 2018, we expect to reclassify a net loss of $8 million to earnings in the next twelve months. The remaining deferred loss of $182 million is expected to be reclassified to earnings through 2049. A portion of these amounts is based on market prices as of March 31, 2018;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 recognized in AOCI for derivatives (in millions):</w:t>
      </w:r>
    </w:p>
    <w:p>
      <w:pPr>
        <w:spacing w:after="0" w:line="16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p>
      <w:pPr>
        <w:ind w:left="9120"/>
        <w:spacing w:after="0"/>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580" w:val="left"/>
          <w:tab w:leader="none" w:pos="9640" w:val="left"/>
          <w:tab w:leader="none" w:pos="10060" w:val="left"/>
          <w:tab w:leader="none" w:pos="1120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w:t>
        <w:tab/>
        <w:t>$</w:t>
      </w:r>
      <w:r>
        <w:rPr>
          <w:sz w:val="20"/>
          <w:szCs w:val="20"/>
          <w:color w:val="auto"/>
        </w:rPr>
        <w:tab/>
      </w:r>
      <w:r>
        <w:rPr>
          <w:rFonts w:ascii="Arial" w:cs="Arial" w:eastAsia="Arial" w:hAnsi="Arial"/>
          <w:sz w:val="17"/>
          <w:szCs w:val="17"/>
          <w:color w:val="auto"/>
        </w:rPr>
        <w:t>7</w:t>
      </w:r>
    </w:p>
    <w:p>
      <w:pPr>
        <w:spacing w:after="0" w:line="266" w:lineRule="exact"/>
        <w:rPr>
          <w:sz w:val="20"/>
          <w:szCs w:val="20"/>
          <w:color w:val="auto"/>
        </w:rPr>
      </w:pPr>
    </w:p>
    <w:p>
      <w:pPr>
        <w:jc w:val="both"/>
        <w:ind w:right="80" w:firstLine="594"/>
        <w:spacing w:after="0" w:line="264" w:lineRule="auto"/>
        <w:rPr>
          <w:sz w:val="20"/>
          <w:szCs w:val="20"/>
          <w:color w:val="auto"/>
        </w:rPr>
      </w:pPr>
      <w:r>
        <w:rPr>
          <w:rFonts w:ascii="Arial" w:cs="Arial" w:eastAsia="Arial" w:hAnsi="Arial"/>
          <w:sz w:val="18"/>
          <w:szCs w:val="18"/>
          <w:color w:val="auto"/>
        </w:rPr>
        <w:t>At March 31, 2018 and December 31, 2017,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3"/>
              </w:rPr>
              <w:t>Fair Value as of March 31, 2018</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as of December 31, 2017</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Level 3 of the fair value hierarchy includes certain physical commodity contracts, over-the-counter financial commodity contracts, and the Preferred Distribution Rate Reset Option contained in PAA’s partnership agreement which is classified as an embedded derivative.</w:t>
      </w:r>
    </w:p>
    <w:p>
      <w:pPr>
        <w:spacing w:after="0" w:line="147"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fair value of our Level 3 physical commodity contracts and over-the-counter financial commodity contracts are based on valuation models utilizing significant unobservable pricing inputs and timing estimates, which involve management judgment. Significant deviations from these inputs and estimates could result in a material change in fair value to our physical commodity contracts and over-the-counter financial commodity contracts. We report unrealized gains and losses associated with these physical commodity contracts in our Condensed Consolidated Statements of Operations as Supply and Logistics segment revenues. Unrealized gains and losses associated with the over-the counter financial commodity contracts are reported in our Condensed Consolidated Statements of Operations as Field operating costs.</w:t>
      </w:r>
    </w:p>
    <w:p>
      <w:pPr>
        <w:spacing w:after="0" w:line="178"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in “Other expense, net.”</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0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losses for the period included in earnings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67"/>
        </w:trPr>
        <w:tc>
          <w:tcPr>
            <w:tcW w:w="88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78"/>
        </w:trPr>
        <w:tc>
          <w:tcPr>
            <w:tcW w:w="88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2"/>
              </w:rPr>
              <w:t>Change in unrealized gains/(losses) included in earnings relating to Level 3 derivatives still held at the end of the period</w:t>
            </w: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702"/>
        </w:trPr>
        <w:tc>
          <w:tcPr>
            <w:tcW w:w="8800" w:type="dxa"/>
            <w:vAlign w:val="bottom"/>
          </w:tcPr>
          <w:p>
            <w:pPr>
              <w:ind w:left="5620"/>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2017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March 31, 2018 and December 31, 2017, PAA owned 512,376,348 and 510,925,432,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 commencing in May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As of March 31, 2018, Oxy had a representative on the board of directors of our general partner and owned approximately 11% of the limited partner interests in AAP. During the three months ended March 31, 2018 and 2017,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2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w:t>
            </w:r>
          </w:p>
        </w:tc>
      </w:tr>
      <w:tr>
        <w:trPr>
          <w:trHeight w:val="297"/>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40" w:hanging="652"/>
        <w:spacing w:after="0" w:line="216"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1,075</w:t>
            </w:r>
          </w:p>
        </w:tc>
      </w:tr>
      <w:tr>
        <w:trPr>
          <w:trHeight w:val="297"/>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990</w:t>
            </w:r>
          </w:p>
        </w:tc>
      </w:tr>
      <w:tr>
        <w:trPr>
          <w:trHeight w:val="27"/>
        </w:trPr>
        <w:tc>
          <w:tcPr>
            <w:tcW w:w="8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also have transactions with companies in which we hold an investment accounted for under the equity method of accounting. We recorded revenues of $3 million and $1 million during the three months ended March 31, 2018 and 2017, respectively. In addition, we utilized transportation services and purchased petroleum products provided by these companies. Costs related to these services totaled $130 million and $86 million for the three months ended March 31, 2018 and 2017, respectively. These transactions were conducted at posted tariff rates or contracted rates or prices that we believe approximate market.</w:t>
      </w:r>
    </w:p>
    <w:p>
      <w:pPr>
        <w:spacing w:after="0" w:line="188"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Receivables from our equity method investees totaled $38 million and $26 million at March 31, 2018 and December 31, 2017, respectively, and primarily included amounts related to transportation services. Accounts payable to our equity method investees were $50 million and $41 million at March 31, 2018 and December 31, 2017, respectively, and primarily included amounts related to transportation services.</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340" w:firstLine="648"/>
        <w:spacing w:after="0" w:line="272" w:lineRule="auto"/>
        <w:rPr>
          <w:sz w:val="20"/>
          <w:szCs w:val="20"/>
          <w:color w:val="auto"/>
        </w:rPr>
      </w:pPr>
      <w:r>
        <w:rPr>
          <w:rFonts w:ascii="Arial" w:cs="Arial" w:eastAsia="Arial" w:hAnsi="Arial"/>
          <w:sz w:val="17"/>
          <w:szCs w:val="17"/>
          <w:color w:val="auto"/>
        </w:rPr>
        <w:t>At March 31, 2018, our estimated undiscounted reserve for environmental liabilities (including liabilities related to the Line 901 incident, as discussed further below) totaled $153 million, of which $64 million was classified as short-term and $89 million was classified as long-term. At December 31, 2017, our estimated undiscounted reserve for environmental liabilities (including liabilities related to the Line 901 incident) totaled $162 million, of which $72 million was classified as short-term and $90 million was classified as long-term. The short- and long-term environmental liabilities referenced above are reflected in “Accounts payable and accrued liabilities” and “Other long-term liabilities and deferred credits,” respectively, on our Condensed Consolidated Balance Sheets. At March 31, 2018, we had recorded receivables totaling $54 million for amounts probable of recovery under insurance and from third parties under indemnification agreements, of which $28 million was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reflected in “Trade accounts receivable and other receivables, net” and $26 million was reflected in “Other long-term assets, net” on our Condensed Consolidated Balance Sheet. At December 31, 2017, we had recorded $55 million of such receivables, of which $29 million was reflected in “Trade accounts receivable and other receivables, net” and $26 million was reflected in “Other long-term assets, net” on our Condensed Consolidated Balance Sheet.</w:t>
      </w:r>
    </w:p>
    <w:p>
      <w:pPr>
        <w:spacing w:after="0" w:line="14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any such civil or criminal charges with respect to the Line 901 release, their investigation is still open and we may have fines or penalties imposed upon us, or civil or criminal charges brought against us, in the future.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On July 28, 2016, at an arraignment hearing held in California Superior Court in Santa Barbara County, PAA pled not guilty to all counts. Since May of 2016, 31 of the criminal charges against PAA (including one felony charge) and all of the criminal charges against our employee, have been dismissed. Nine of the remaining 15 charges are misdemeanor charges relating to wildlife allegedly taken as a result of the accidental release. The remaining six counts relate to the release of crude oil or reporting of the release. PAA believes that the criminal charges (including the three felony charges) are unwarranted and that neither PAA nor any of its employees engaged in any criminal behavior at any time in connection with this accident. PAA continues to vigorously defend itself against the charges.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actions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actions or criminal charges brought against us, our officers or our employees in the future, whether by those or other governmental agencies.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The sub-classes that have been certified include (i) commercial fishermen who landed fish in certain specified fishing blocks in the waters adjacent to Santa Barbara County or persons or businesses who resold commercial seafood landed in such areas; (ii) individuals or businesses who were employed by or had contracts with certain designated oil platforms and related onshore processing facilities in the vicinity of the release as of the date of the release and (iii) beachfront property and easement owners whose properties were oiled. We are petitioning for leave to appeal the oil industry and property class certifications.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have filed notice of intent to file an appeal of the dismissal. Consistent with and subject to the terms of our governing organizational documents (and to the extent applicable, insurance policies), we have indemnified and funded the defense costs of our officers and directors in connection with this lawsuit; we have also indemnified and funded the defense costs of our underwriters pursuant to the terms of the underwriting agreements we previously entered into with such underwriters.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four unitholder derivative lawsuits have been filed by certain purported investors in PAA against PAA,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Following the order dismissing the Texas Federal Court suits, a new derivative suit brought by different plaintiffs was filed in Delaware Chancery Court. The other remaining lawsuit was filed in State District Court in Harris County, Texas and subsequently dismissed by the Court.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in the remaining lawsuit claim that PAA suffered unspecified damages as a result of the actions of the various defendants and seek to hold the defendants liable for such damages, in addition to other remedies. The defendants deny the allegations in this lawsuit and have responded accordingly. Consistent with and subject to the terms of our governing organizational documents (and to the extent applicable, insurance policies), we are indemnifying and funding the defense costs of our officers and directors in connection with this lawsuit.</w:t>
      </w:r>
    </w:p>
    <w:p>
      <w:pPr>
        <w:spacing w:after="0" w:line="17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Taking the foregoing into account, as of March 31, 2018, we estimate that the aggregate total costs we have incurred or will incur with respect to the Line 901 incident will be approximately $335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March 31, 2018, we had a remaining undiscounted gross liability of $87 million related to this event, of which approximately $55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March 31, 2018, we had collected, subject to customary reservations, $174 million out of the approximate $220 million of release costs that we believe are probable of recovery from insurance carriers, net of deductibles. Therefore, as of March 31, 2018, we have recognized a receivable of approximately $46 million for the portion of the release costs that we believe is probable of recovery from insurance, net of deductibles and amounts already collected. Of this amount, approximately $22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manage our operations through three operating segments: Transportation, Facilities and Supply and Logistics. See Note 3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16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6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80" w:type="dxa"/>
            <w:vAlign w:val="bottom"/>
          </w:tcPr>
          <w:p>
            <w:pPr>
              <w:spacing w:after="0"/>
              <w:rPr>
                <w:sz w:val="14"/>
                <w:szCs w:val="14"/>
                <w:color w:val="auto"/>
              </w:rPr>
            </w:pPr>
          </w:p>
        </w:tc>
        <w:tc>
          <w:tcPr>
            <w:tcW w:w="12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4"/>
                <w:szCs w:val="14"/>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253</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8,111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8,112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80" w:type="dxa"/>
            <w:vAlign w:val="bottom"/>
          </w:tcPr>
          <w:p>
            <w:pPr>
              <w:spacing w:after="0"/>
              <w:rPr>
                <w:sz w:val="24"/>
                <w:szCs w:val="24"/>
                <w:color w:val="auto"/>
              </w:rPr>
            </w:pPr>
          </w:p>
        </w:tc>
        <w:tc>
          <w:tcPr>
            <w:tcW w:w="12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6,395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32</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140" w:hanging="652"/>
        <w:spacing w:after="0" w:line="237"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 from external customers presented above and adjusted those revenues out such that Total revenue from External customers reconciles to our Condensed Consolidated Statements of Operations. This presentation is consistent with the information provided to our CODM.</w:t>
      </w:r>
    </w:p>
    <w:p>
      <w:pPr>
        <w:spacing w:after="0" w:line="98" w:lineRule="exact"/>
        <w:rPr>
          <w:rFonts w:ascii="Arial" w:cs="Arial" w:eastAsia="Arial" w:hAnsi="Arial"/>
          <w:sz w:val="25"/>
          <w:szCs w:val="25"/>
          <w:color w:val="auto"/>
          <w:vertAlign w:val="superscript"/>
        </w:rPr>
      </w:pPr>
    </w:p>
    <w:p>
      <w:pPr>
        <w:ind w:left="660" w:right="120" w:hanging="652"/>
        <w:spacing w:after="0" w:line="226"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79"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88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8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5"/>
                <w:szCs w:val="25"/>
                <w:color w:val="auto"/>
                <w:vertAlign w:val="superscript"/>
              </w:rPr>
              <w:t>(3)</w:t>
            </w:r>
          </w:p>
        </w:tc>
        <w:tc>
          <w:tcPr>
            <w:tcW w:w="80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289</w:t>
            </w:r>
          </w:p>
        </w:tc>
      </w:tr>
      <w:tr>
        <w:trPr>
          <w:trHeight w:val="270"/>
        </w:trPr>
        <w:tc>
          <w:tcPr>
            <w:tcW w:w="88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8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8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8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0"/>
        </w:trPr>
        <w:tc>
          <w:tcPr>
            <w:tcW w:w="88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8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Income before tax</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PAGP</w:t>
            </w:r>
          </w:p>
        </w:tc>
        <w:tc>
          <w:tcPr>
            <w:tcW w:w="80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8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or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2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60"/>
        <w:spacing w:after="0" w:line="311" w:lineRule="auto"/>
        <w:rPr>
          <w:sz w:val="20"/>
          <w:szCs w:val="20"/>
          <w:color w:val="auto"/>
        </w:rPr>
      </w:pPr>
      <w:r>
        <w:rPr>
          <w:rFonts w:ascii="Arial" w:cs="Arial" w:eastAsia="Arial" w:hAnsi="Arial"/>
          <w:sz w:val="18"/>
          <w:szCs w:val="18"/>
          <w:color w:val="auto"/>
        </w:rPr>
        <w:t>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46" w:lineRule="exact"/>
        <w:rPr>
          <w:sz w:val="20"/>
          <w:szCs w:val="20"/>
          <w:color w:val="auto"/>
        </w:rPr>
      </w:pPr>
    </w:p>
    <w:p>
      <w:pPr>
        <w:ind w:left="660" w:hanging="652"/>
        <w:spacing w:after="0" w:line="258" w:lineRule="auto"/>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PAA common units.</w:t>
      </w:r>
    </w:p>
    <w:p>
      <w:pPr>
        <w:spacing w:after="0" w:line="14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hanging="652"/>
        <w:spacing w:after="0" w:line="244" w:lineRule="auto"/>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Includes acquisition-related expenses associated with the acquisition of the Alpha Crude Connector Gathering System (the “ACC Acquisition”). See Note 6 to our Consolidated Financial Statements included in Part IV of our 2017 Annual Report on Form 10-K for additional discussion. An adjustment for these non-recurring expenses is included in the calculation of segment adjusted EBITDA for the three months ended March 31, 2017 as our CODM does not view such expenses as integral to understanding our core segment operating performance.</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2017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a Delaware limited partnership formed on July 17, 2013 that has elected to be taxed as a corporation for United States federal income tax purposes. As of March 31, 2018, our sole assets consisted of (i) a 100% managing member interest in Plains All American GP LLC (“GP LLC”) that has also elected to be taxed as a corporation for United States federal income tax purposes and (ii) an approximate 55% limited partner interest in AAP through our direct ownership of approximately 156.0 million AAP units and indirect ownership of approximately 1.0 million AAP units through GP LLC. GP LLC is a Delaware limited liability company that also holds the non-economic general partner interest in AAP. AAP is a Delaware limited partnership that, as of March 31, 2018, directly owned a limited partner interest in PAA through its ownership of approximately 283.9 million PAA common units (approximately 36% of PAA’s total outstanding common units and Series A preferred units combined). AAP is the sole member of PAA GP LLC (“PAA GP”), a Delaware limited liability company that directly holds the non-economic general partner interest in PAA.</w:t>
      </w:r>
    </w:p>
    <w:p>
      <w:pPr>
        <w:spacing w:after="0" w:line="17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first three months of 2018, we recognized net income of $273 million as compared to net income of $402 million recognized during the first three months of 2017. The year-over-year decrease reflects:</w:t>
      </w:r>
    </w:p>
    <w:p>
      <w:pPr>
        <w:spacing w:after="0" w:line="170"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gains in the 2018 period from the mark-to-market of certain derivative instruments; partially offset by</w:t>
      </w:r>
    </w:p>
    <w:p>
      <w:pPr>
        <w:spacing w:after="0" w:line="225"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results from our Transportation segment, primarily from our pipelines in the Permian Basin region, driven by higher volumes as a result of increased production and our recently completed capital expansion projects;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240" w:hanging="320"/>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interest expense driven by lower weighted average debt balances in the 2018 period as a result of our efforts to implement our Leverage Reduction Plan announced in August 2017. See “—Executive Summary—Overview of Operating Results, Capital Investments and Other Significant Activities” in Item 7 of our 2017 Annual Report on Form 10-K for further discussion of our Leverage Reduction Plan; and</w:t>
      </w:r>
    </w:p>
    <w:p>
      <w:pPr>
        <w:spacing w:after="0" w:line="186" w:lineRule="exact"/>
        <w:rPr>
          <w:rFonts w:ascii="Arial" w:cs="Arial" w:eastAsia="Arial" w:hAnsi="Arial"/>
          <w:sz w:val="18"/>
          <w:szCs w:val="18"/>
          <w:color w:val="auto"/>
        </w:rPr>
      </w:pPr>
    </w:p>
    <w:p>
      <w:pPr>
        <w:ind w:left="1300" w:right="36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income tax expense in the 2018 period due to a decrease in our effective tax rate as a result of the enactment of the Tax Cuts and Jobs Act in the fourth quarter of 2017.</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see further discussion of our segment operating results in the “—Results of Operations—Analysis of Operating Segments” and “—Other Income and Expenses” sections below.</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invested $298 million in midstream infrastructure projects during the three months ended March 31, 2018, and we expect expansion capital for the full year of 2018 to be approximately $1.4 billion, which will be primarily focused in the Permian Basin.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continued to advance our divestiture program, completing asset sales for total proceeds of approximately $340 million, including sales completed subsequent to the quarter end. We also paid approximately $218 million of cash distributions to our Class A shareholders and noncontrolling interests during the three months ended March 31, 2018. In addition, on May 15, 2018, we will pay aggregate cash distributions of $279 million to our Class A shareholders and noncontrolling interests, including PAA's common and preferred unitholders.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1,258</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(2) (3)</w:t>
            </w:r>
          </w:p>
        </w:tc>
        <w:tc>
          <w:tcPr>
            <w:tcW w:w="10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37"/>
        </w:trPr>
        <w:tc>
          <w:tcPr>
            <w:tcW w:w="8340" w:type="dxa"/>
            <w:vAlign w:val="bottom"/>
          </w:tcPr>
          <w:p>
            <w:pPr>
              <w:spacing w:after="0"/>
              <w:rPr>
                <w:sz w:val="20"/>
                <w:szCs w:val="20"/>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1,624</w:t>
            </w: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three months of 2017 primarily relates to the ACC Acquisition.</w:t>
      </w:r>
    </w:p>
    <w:p>
      <w:pPr>
        <w:spacing w:after="0" w:line="147"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2018 and the estimated cost for the year ending December 31, 2018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375</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Facilities Projects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210</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CCEEFF"/>
            </w:tcBorders>
            <w:gridSpan w:val="2"/>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Total Projected 2018 Expansion Capital Expenditures </w:t>
            </w:r>
            <w:r>
              <w:rPr>
                <w:rFonts w:ascii="Arial" w:cs="Arial" w:eastAsia="Arial" w:hAnsi="Arial"/>
                <w:sz w:val="25"/>
                <w:szCs w:val="25"/>
                <w:color w:val="auto"/>
                <w:vertAlign w:val="superscript"/>
              </w:rPr>
              <w:t>(2)</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1,400</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projects at our St. James, Fort Saskatchewan and other terminals.</w:t>
      </w:r>
    </w:p>
    <w:p>
      <w:pPr>
        <w:spacing w:after="0" w:line="147" w:lineRule="exact"/>
        <w:rPr>
          <w:rFonts w:ascii="Arial" w:cs="Arial" w:eastAsia="Arial" w:hAnsi="Arial"/>
          <w:sz w:val="25"/>
          <w:szCs w:val="25"/>
          <w:color w:val="auto"/>
          <w:vertAlign w:val="superscript"/>
        </w:rPr>
      </w:pPr>
    </w:p>
    <w:p>
      <w:pPr>
        <w:ind w:left="660" w:right="700" w:hanging="652"/>
        <w:spacing w:after="0" w:line="216"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9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taking steps to accelerate into 2018 the construction of some projects initially scheduled for 2019 and also are in discussions with respect to initiating some incremental Permian Basin expansion projects, but have not formally increased our 2018/2019 capital program estimate at this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Net income attributable to PAGP</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7"/>
        </w:trPr>
        <w:tc>
          <w:tcPr>
            <w:tcW w:w="64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Basic and diluted net income per Class A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Class A shares outstanding</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6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8" w:lineRule="exact"/>
        <w:rPr>
          <w:sz w:val="20"/>
          <w:szCs w:val="20"/>
          <w:color w:val="auto"/>
        </w:rPr>
      </w:pPr>
    </w:p>
    <w:p>
      <w:pPr>
        <w:ind w:left="660" w:right="160" w:hanging="652"/>
        <w:spacing w:after="0" w:line="260"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and gains and losses on significant asset sales of unconsolidated entities) and adjusted for certain selected items impacting comparability (“Adjusted EBITDA”).</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PAA's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this non-GAAP financial performance measure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48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740" w:type="dxa"/>
            <w:vAlign w:val="bottom"/>
          </w:tcPr>
          <w:p>
            <w:pPr>
              <w:spacing w:after="0"/>
              <w:rPr>
                <w:sz w:val="21"/>
                <w:szCs w:val="21"/>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0"/>
        </w:trPr>
        <w:tc>
          <w:tcPr>
            <w:tcW w:w="64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740" w:type="dxa"/>
            <w:vAlign w:val="bottom"/>
          </w:tcPr>
          <w:p>
            <w:pPr>
              <w:spacing w:after="0"/>
              <w:rPr>
                <w:sz w:val="23"/>
                <w:szCs w:val="23"/>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5"/>
                <w:szCs w:val="25"/>
                <w:color w:val="auto"/>
                <w:vertAlign w:val="superscript"/>
              </w:rPr>
              <w:t>(2)</w:t>
            </w:r>
          </w:p>
        </w:tc>
        <w:tc>
          <w:tcPr>
            <w:tcW w:w="7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740" w:type="dxa"/>
            <w:vAlign w:val="bottom"/>
          </w:tcPr>
          <w:p>
            <w:pPr>
              <w:spacing w:after="0"/>
              <w:rPr>
                <w:sz w:val="23"/>
                <w:szCs w:val="23"/>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740" w:type="dxa"/>
            <w:vAlign w:val="bottom"/>
          </w:tcPr>
          <w:p>
            <w:pPr>
              <w:spacing w:after="0"/>
              <w:rPr>
                <w:sz w:val="23"/>
                <w:szCs w:val="23"/>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(7)</w:t>
            </w:r>
          </w:p>
        </w:tc>
        <w:tc>
          <w:tcPr>
            <w:tcW w:w="7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7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5"/>
                <w:szCs w:val="25"/>
                <w:color w:val="auto"/>
                <w:vertAlign w:val="superscript"/>
              </w:rPr>
              <w:t>(2)</w:t>
            </w: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7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(8)</w:t>
            </w:r>
          </w:p>
        </w:tc>
        <w:tc>
          <w:tcPr>
            <w:tcW w:w="7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(8)</w:t>
            </w: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6"/>
              </w:rPr>
              <w:t>592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jc w:val="both"/>
        <w:ind w:left="660" w:right="60" w:hanging="652"/>
        <w:spacing w:after="0" w:line="223"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We exclude our proportionate share of the depreciation and amortization expense and gains or losses on significant asset sales of such unconsolidated entities when reviewing Adjusted EBITDA, similar to our consolidated assets.</w:t>
      </w:r>
    </w:p>
    <w:p>
      <w:pPr>
        <w:spacing w:after="0" w:line="148" w:lineRule="exact"/>
        <w:rPr>
          <w:rFonts w:ascii="Arial" w:cs="Arial" w:eastAsia="Arial" w:hAnsi="Arial"/>
          <w:sz w:val="25"/>
          <w:szCs w:val="25"/>
          <w:color w:val="auto"/>
          <w:vertAlign w:val="superscript"/>
        </w:rPr>
      </w:pPr>
    </w:p>
    <w:p>
      <w:pPr>
        <w:ind w:left="660" w:right="40" w:hanging="652"/>
        <w:spacing w:after="0" w:line="257"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PAA's Preferred Distribution Rate Reset Option. See Note 10 to our Condensed Consolidated Financial Statements for a comprehensive discussion regarding our derivatives and risk management activities and PAA's Preferred Distribution Rate Reset Option.</w:t>
      </w:r>
    </w:p>
    <w:p>
      <w:pPr>
        <w:spacing w:after="0" w:line="82" w:lineRule="exact"/>
        <w:rPr>
          <w:rFonts w:ascii="Arial" w:cs="Arial" w:eastAsia="Arial" w:hAnsi="Arial"/>
          <w:sz w:val="24"/>
          <w:szCs w:val="24"/>
          <w:color w:val="auto"/>
          <w:vertAlign w:val="superscript"/>
        </w:rPr>
      </w:pPr>
    </w:p>
    <w:p>
      <w:pPr>
        <w:ind w:left="660" w:right="20" w:hanging="652"/>
        <w:spacing w:after="0" w:line="273"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2017 Annual Report on Form 10-K for additional inventory disclosures.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line="258"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hanging="652"/>
        <w:spacing w:after="0" w:line="274"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2017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60" w:hanging="652"/>
        <w:spacing w:after="0" w:line="238"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37"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in February 2017.</w:t>
      </w:r>
    </w:p>
    <w:p>
      <w:pPr>
        <w:spacing w:after="0" w:line="98" w:lineRule="exact"/>
        <w:rPr>
          <w:rFonts w:ascii="Arial" w:cs="Arial" w:eastAsia="Arial" w:hAnsi="Arial"/>
          <w:sz w:val="25"/>
          <w:szCs w:val="25"/>
          <w:color w:val="auto"/>
          <w:vertAlign w:val="superscript"/>
        </w:rPr>
      </w:pPr>
    </w:p>
    <w:p>
      <w:pPr>
        <w:ind w:left="660" w:right="480" w:hanging="652"/>
        <w:spacing w:after="0" w:line="214"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expense, net adjusted for selected items impacting comparability (“Adjusted Other income/(expense), net”). Segment adjusted EBITDA does not include Adjusted Other income/(expense), net.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 attributable to PAGP.</w:t>
      </w:r>
    </w:p>
    <w:p>
      <w:pPr>
        <w:spacing w:after="0" w:line="7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97"/>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Significant acquisition-related expenses</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7"/>
        </w:trPr>
        <w:tc>
          <w:tcPr>
            <w:tcW w:w="6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8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4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0"/>
        </w:trPr>
        <w:tc>
          <w:tcPr>
            <w:tcW w:w="642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0"/>
        </w:trPr>
        <w:tc>
          <w:tcPr>
            <w:tcW w:w="64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42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ectPr>
          <w:pgSz w:w="11900" w:h="16838" w:orient="portrait"/>
          <w:cols w:equalWidth="0" w:num="1">
            <w:col w:w="11420"/>
          </w:cols>
          <w:pgMar w:left="240" w:top="125" w:right="2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8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We recognize the allowance volumes collected at fair value.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540" w:firstLine="693"/>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6"/>
          </w:tcPr>
          <w:p>
            <w:pPr>
              <w:jc w:val="center"/>
              <w:ind w:left="677"/>
              <w:spacing w:after="0"/>
              <w:rPr>
                <w:sz w:val="20"/>
                <w:szCs w:val="20"/>
                <w:color w:val="auto"/>
              </w:rPr>
            </w:pPr>
            <w:r>
              <w:rPr>
                <w:rFonts w:ascii="Arial" w:cs="Arial" w:eastAsia="Arial" w:hAnsi="Arial"/>
                <w:sz w:val="14"/>
                <w:szCs w:val="14"/>
                <w:b w:val="1"/>
                <w:bCs w:val="1"/>
                <w:color w:val="auto"/>
                <w:w w:val="94"/>
              </w:rPr>
              <w:t>Favorable/(Unfavorable) Variance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6"/>
          </w:tcPr>
          <w:p>
            <w:pPr>
              <w:jc w:val="center"/>
              <w:ind w:left="677"/>
              <w:spacing w:after="0" w:line="149" w:lineRule="exact"/>
              <w:rPr>
                <w:sz w:val="20"/>
                <w:szCs w:val="20"/>
                <w:color w:val="auto"/>
              </w:rPr>
            </w:pPr>
            <w:r>
              <w:rPr>
                <w:rFonts w:ascii="Arial" w:cs="Arial" w:eastAsia="Arial" w:hAnsi="Arial"/>
                <w:sz w:val="14"/>
                <w:szCs w:val="14"/>
                <w:b w:val="1"/>
                <w:bCs w:val="1"/>
                <w:color w:val="auto"/>
                <w:w w:val="95"/>
              </w:rPr>
              <w:t>Three Months Ended March 31,</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2018-2017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Revenues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Purchases and</w:t>
            </w:r>
          </w:p>
        </w:tc>
        <w:tc>
          <w:tcPr>
            <w:tcW w:w="340" w:type="dxa"/>
            <w:vAlign w:val="bottom"/>
          </w:tcPr>
          <w:p>
            <w:pPr>
              <w:spacing w:after="0"/>
              <w:rPr>
                <w:sz w:val="13"/>
                <w:szCs w:val="13"/>
                <w:color w:val="auto"/>
              </w:rPr>
            </w:pPr>
          </w:p>
        </w:tc>
        <w:tc>
          <w:tcPr>
            <w:tcW w:w="98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2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Other (including trucking and pipeline loss allowance revenue)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variance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300" w:hanging="324"/>
        <w:spacing w:after="0" w:line="25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net of purchases and related costs, including equity earnings in unconsolidated entities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$55 million was due to (i) higher volumes of approximately 305,000 barrels per day on our gathering systems and, to a much lesser extent, a full quarter of operations for the ACC system which was acquired in February 2017, (ii) higher volumes of approximately 310,000 barrels per day on our intra-basin pipelines and (iii) a volume increase of approximately 160,000 barrels per day on our long-haul pipelines, including our 50% equity interest in BridgeTex.</w:t>
      </w:r>
    </w:p>
    <w:p>
      <w:pPr>
        <w:spacing w:after="0" w:line="188"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Equity earnings from our 50% interest in Eagle Ford Pipeline LLC increased over the periods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volumes from our Cactus pipeline.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Equity earnings increased from our 50% interest in Diamond Pipeline LLC, which placed the joint venture pipeline in service in</w:t>
      </w:r>
      <w:r>
        <w:rPr>
          <w:rFonts w:ascii="Arial" w:cs="Arial" w:eastAsia="Arial" w:hAnsi="Arial"/>
          <w:sz w:val="18"/>
          <w:szCs w:val="18"/>
          <w:i w:val="1"/>
          <w:iCs w:val="1"/>
          <w:color w:val="auto"/>
        </w:rPr>
        <w:t xml:space="preserve"> </w:t>
      </w:r>
      <w:r>
        <w:rPr>
          <w:rFonts w:ascii="Arial" w:cs="Arial" w:eastAsia="Arial" w:hAnsi="Arial"/>
          <w:sz w:val="18"/>
          <w:szCs w:val="18"/>
          <w:color w:val="auto"/>
        </w:rPr>
        <w:t>late 2017.</w:t>
      </w:r>
    </w:p>
    <w:p>
      <w:pPr>
        <w:spacing w:after="0" w:line="170" w:lineRule="exact"/>
        <w:rPr>
          <w:rFonts w:ascii="Arial" w:cs="Arial" w:eastAsia="Arial" w:hAnsi="Arial"/>
          <w:sz w:val="18"/>
          <w:szCs w:val="18"/>
          <w:color w:val="auto"/>
        </w:rPr>
      </w:pPr>
    </w:p>
    <w:p>
      <w:pPr>
        <w:ind w:left="980" w:right="40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Increased revenue associated with greater pipeline loss allowance volumes was more than offset by (i) the sale of non-core assets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2017 in our Rocky Mountain region, (ii) decreased volumes on the Capline pipeline, primarily due to the Diamond Pipeline joint venture discussed above, and (iii) a decrease in truck volumes in Canada.</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months ended March 31, 2018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 was primarily due to an increase in power costs resulting from higher volumes and, to a much lesser extent, a full quarter of operations from the ACC gathering system acquired in February 2017.</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5"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6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1"/>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Liquids storage (average monthly capacity in millions of barrels)</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42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w w:val="97"/>
              </w:rPr>
              <w:t xml:space="preserve">Natural gas storage (average monthly working capacity in billions of cubic feet) </w:t>
            </w:r>
            <w:r>
              <w:rPr>
                <w:rFonts w:ascii="Arial" w:cs="Arial" w:eastAsia="Arial" w:hAnsi="Arial"/>
                <w:sz w:val="25"/>
                <w:szCs w:val="25"/>
                <w:color w:val="auto"/>
                <w:w w:val="97"/>
                <w:vertAlign w:val="superscript"/>
              </w:rPr>
              <w:t>(5)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420" w:type="dxa"/>
            <w:vAlign w:val="bottom"/>
            <w:gridSpan w:val="2"/>
          </w:tcPr>
          <w:p>
            <w:pPr>
              <w:ind w:left="40"/>
              <w:spacing w:after="0" w:line="257" w:lineRule="exact"/>
              <w:rPr>
                <w:sz w:val="20"/>
                <w:szCs w:val="20"/>
                <w:color w:val="auto"/>
              </w:rPr>
            </w:pPr>
            <w:r>
              <w:rPr>
                <w:rFonts w:ascii="Arial" w:cs="Arial" w:eastAsia="Arial" w:hAnsi="Arial"/>
                <w:sz w:val="18"/>
                <w:szCs w:val="18"/>
                <w:color w:val="auto"/>
                <w:w w:val="95"/>
              </w:rPr>
              <w:t xml:space="preserve">Facilities segment total volumes (average monthly volumes in millions of barrels) </w:t>
            </w:r>
            <w:r>
              <w:rPr>
                <w:rFonts w:ascii="Arial" w:cs="Arial" w:eastAsia="Arial" w:hAnsi="Arial"/>
                <w:sz w:val="25"/>
                <w:szCs w:val="25"/>
                <w:color w:val="auto"/>
                <w:w w:val="95"/>
                <w:vertAlign w:val="superscript"/>
              </w:rPr>
              <w:t>(6)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20" w:hanging="652"/>
        <w:spacing w:after="0" w:line="225"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(i) the sale of our Bluewater natural gas storage facility in June 2017, (ii) changes in base gas and (iii) the net capacity change between capacity additions from fill and dewater operations and capacity losses from salt creep.</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340" w:hanging="652"/>
        <w:spacing w:after="0" w:line="262" w:lineRule="auto"/>
        <w:tabs>
          <w:tab w:leader="none" w:pos="6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periods were driven by:</w:t>
      </w:r>
    </w:p>
    <w:p>
      <w:pPr>
        <w:spacing w:after="0" w:line="170" w:lineRule="exact"/>
        <w:rPr>
          <w:sz w:val="20"/>
          <w:szCs w:val="20"/>
          <w:color w:val="auto"/>
        </w:rPr>
      </w:pPr>
    </w:p>
    <w:p>
      <w:pPr>
        <w:jc w:val="both"/>
        <w:ind w:left="980" w:hanging="324"/>
        <w:spacing w:after="0" w:line="264" w:lineRule="auto"/>
        <w:tabs>
          <w:tab w:leader="none" w:pos="98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increased by $12 million primarily due to (i) increased fees associated with placing an additional 1.6 million barrels</w:t>
      </w:r>
      <w:r>
        <w:rPr>
          <w:rFonts w:ascii="Arial" w:cs="Arial" w:eastAsia="Arial" w:hAnsi="Arial"/>
          <w:sz w:val="18"/>
          <w:szCs w:val="18"/>
          <w:i w:val="1"/>
          <w:iCs w:val="1"/>
          <w:color w:val="auto"/>
        </w:rPr>
        <w:t xml:space="preserve"> </w:t>
      </w:r>
      <w:r>
        <w:rPr>
          <w:rFonts w:ascii="Arial" w:cs="Arial" w:eastAsia="Arial" w:hAnsi="Arial"/>
          <w:sz w:val="18"/>
          <w:szCs w:val="18"/>
          <w:color w:val="auto"/>
        </w:rPr>
        <w:t>of NGL storage capacity into service in the second half of 2017 at our Fort Saskatchewan facility, (ii) higher volumetric gains at certain facilities in the 2018 period and (iii) a favorable foreign exchange impact of approximately $5 million.</w:t>
      </w:r>
    </w:p>
    <w:p>
      <w:pPr>
        <w:spacing w:after="0" w:line="181" w:lineRule="exact"/>
        <w:rPr>
          <w:rFonts w:ascii="Arial" w:cs="Arial" w:eastAsia="Arial" w:hAnsi="Arial"/>
          <w:sz w:val="18"/>
          <w:szCs w:val="18"/>
          <w:i w:val="1"/>
          <w:iCs w:val="1"/>
          <w:color w:val="auto"/>
        </w:rPr>
      </w:pPr>
    </w:p>
    <w:p>
      <w:pPr>
        <w:ind w:left="980" w:right="66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increased by $8 million primarily due to higher activity at certain of our U.S. crude oil terminals and our Fort</w:t>
      </w:r>
      <w:r>
        <w:rPr>
          <w:rFonts w:ascii="Arial" w:cs="Arial" w:eastAsia="Arial" w:hAnsi="Arial"/>
          <w:sz w:val="18"/>
          <w:szCs w:val="18"/>
          <w:i w:val="1"/>
          <w:iCs w:val="1"/>
          <w:color w:val="auto"/>
        </w:rPr>
        <w:t xml:space="preserve"> </w:t>
      </w:r>
      <w:r>
        <w:rPr>
          <w:rFonts w:ascii="Arial" w:cs="Arial" w:eastAsia="Arial" w:hAnsi="Arial"/>
          <w:sz w:val="18"/>
          <w:szCs w:val="18"/>
          <w:color w:val="auto"/>
        </w:rPr>
        <w:t>Saskatchewan NGL terminal resulting from more favorable market conditions.</w:t>
      </w:r>
    </w:p>
    <w:p>
      <w:pPr>
        <w:spacing w:after="0" w:line="170"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decreased by $8 million primarily due to the sale of certain of our Bay Area, California terminal assets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2017, partially offset by higher revenues from our Cushing terminal largely driven by capacity expansions of approximately 2 million barrels.</w:t>
      </w:r>
    </w:p>
    <w:p>
      <w:pPr>
        <w:spacing w:after="0" w:line="181" w:lineRule="exact"/>
        <w:rPr>
          <w:rFonts w:ascii="Arial" w:cs="Arial" w:eastAsia="Arial" w:hAnsi="Arial"/>
          <w:sz w:val="18"/>
          <w:szCs w:val="18"/>
          <w:color w:val="auto"/>
        </w:rPr>
      </w:pPr>
    </w:p>
    <w:p>
      <w:pPr>
        <w:jc w:val="both"/>
        <w:ind w:left="980" w:right="520" w:hanging="324"/>
        <w:spacing w:after="0" w:line="264" w:lineRule="auto"/>
        <w:tabs>
          <w:tab w:leader="none" w:pos="98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Natural Gas Storage</w:t>
      </w:r>
      <w:r>
        <w:rPr>
          <w:rFonts w:ascii="Arial" w:cs="Arial" w:eastAsia="Arial" w:hAnsi="Arial"/>
          <w:sz w:val="18"/>
          <w:szCs w:val="18"/>
          <w:color w:val="auto"/>
        </w:rPr>
        <w:t>. Revenues, net of purchases and related costs, decreased by $7 million due primarily to (i) the June 2017 sale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Bluewater natural gas storage facility and (ii) the absence of a one-time fee recognized during the first quarter of 2017 related to the early termination of a storage contract at our Pine Prairie facility.</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and/or refurbishment of partially or fully depreciated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in order to maintain the operating and/or earnings capacity of our existing assets. The decrease in maintenance capital for the three months ended March 31, 2018 compared to the same period in 2017 was primarily due to higher expenditures related to our integrity management program in the first quarter of 2017, primarily on assets at our Southern California terminals. Total maintenance costs related to our integrity management program at these terminals decreased by approximately $13 million for the three months ended March 31, 2018 compared to the same period in 2017. We expect to continue to see significant reductions to our maintenance capital costs compared to 2017 at these terminals going forward.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and natural gas sales attributable to activities that were previously performed by the natural gas storage commercial optimization group. Generally, our segment results are impacted by (i) increases or decreases in our Supply and Logistics segment volumes (which consist of lease gathering crude oil purchases volumes and NGL sales volumes),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our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0"/>
        </w:trPr>
        <w:tc>
          <w:tcPr>
            <w:tcW w:w="6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6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 net of inventory valuation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 adjustments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Net (gain)/loss on foreign currency revaluation</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1"/>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8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4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 volumes</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the range of the NYMEX WTI benchmark price of crude oil (in dollars per barrel):</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2018</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March 31, 2017</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months ended March 31, 2018 compared to the same period in 2017 primarily due to higher crude oil prices. Additionally, revenues and purchases were impacted by net gains and losses from certain derivative activities during the periods.</w:t>
      </w:r>
    </w:p>
    <w:p>
      <w:pPr>
        <w:spacing w:after="0" w:line="18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Segment Adjusted EBITDA and Volumes. </w:t>
      </w:r>
      <w:r>
        <w:rPr>
          <w:rFonts w:ascii="Arial" w:cs="Arial" w:eastAsia="Arial" w:hAnsi="Arial"/>
          <w:sz w:val="16"/>
          <w:szCs w:val="16"/>
          <w:color w:val="auto"/>
        </w:rPr>
        <w:t>Our Supply and Logistics Segment Adjusted EBITDA increased by $21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compared to the same period in 2017. The following summarizes the significant items impacting the comparative periods:</w:t>
      </w:r>
    </w:p>
    <w:p>
      <w:pPr>
        <w:spacing w:after="0" w:line="211" w:lineRule="exact"/>
        <w:rPr>
          <w:sz w:val="20"/>
          <w:szCs w:val="20"/>
          <w:color w:val="auto"/>
        </w:rPr>
      </w:pPr>
    </w:p>
    <w:p>
      <w:pPr>
        <w:ind w:left="980" w:right="60" w:hanging="324"/>
        <w:spacing w:after="0" w:line="286"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Net revenues from our NGL operations increased for the three months ended March 31, 2018, compared to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2017 due to (i) higher sales volumes during the first-quarter 2018 heating season, primarily due to weather, (ii) modifications made to our contracting strategies in the 2017-2018 heating season and (iii) lower storage and fractionation fees for the 2018 period.</w:t>
      </w:r>
    </w:p>
    <w:p>
      <w:pPr>
        <w:spacing w:after="0" w:line="165" w:lineRule="exact"/>
        <w:rPr>
          <w:rFonts w:ascii="Arial" w:cs="Arial" w:eastAsia="Arial" w:hAnsi="Arial"/>
          <w:sz w:val="17"/>
          <w:szCs w:val="17"/>
          <w:color w:val="auto"/>
        </w:rPr>
      </w:pPr>
    </w:p>
    <w:p>
      <w:pPr>
        <w:ind w:left="980" w:right="12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8"/>
          <w:szCs w:val="18"/>
          <w:i w:val="1"/>
          <w:iCs w:val="1"/>
          <w:color w:val="auto"/>
        </w:rPr>
        <w:t>rude Oil Operations.</w:t>
      </w:r>
      <w:r>
        <w:rPr>
          <w:rFonts w:ascii="Arial" w:cs="Arial" w:eastAsia="Arial" w:hAnsi="Arial"/>
          <w:sz w:val="18"/>
          <w:szCs w:val="18"/>
          <w:color w:val="auto"/>
        </w:rPr>
        <w:t xml:space="preserve"> Net revenues from our crude oil supply and logistics operations increased slightly for the three months ended March 31, 2018 as compared to the same period in 2017 primarily due to arbitrage opportunities in certain markets during 2018. Such results were substantially offset by lower lease gathering margins as a result of competition for wellhead volumes.</w:t>
      </w:r>
    </w:p>
    <w:p>
      <w:pPr>
        <w:spacing w:after="0" w:line="181" w:lineRule="exact"/>
        <w:rPr>
          <w:rFonts w:ascii="Arial" w:cs="Arial" w:eastAsia="Arial" w:hAnsi="Arial"/>
          <w:sz w:val="18"/>
          <w:szCs w:val="18"/>
          <w:color w:val="auto"/>
        </w:rPr>
      </w:pPr>
    </w:p>
    <w:p>
      <w:pPr>
        <w:ind w:left="980" w:right="80" w:hanging="324"/>
        <w:spacing w:after="0" w:line="255" w:lineRule="auto"/>
        <w:tabs>
          <w:tab w:leader="none" w:pos="98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93" w:lineRule="exact"/>
        <w:rPr>
          <w:rFonts w:ascii="Arial" w:cs="Arial" w:eastAsia="Arial" w:hAnsi="Arial"/>
          <w:sz w:val="18"/>
          <w:szCs w:val="18"/>
          <w:i w:val="1"/>
          <w:iCs w:val="1"/>
          <w:color w:val="auto"/>
        </w:rPr>
      </w:pPr>
    </w:p>
    <w:p>
      <w:pPr>
        <w:ind w:left="980" w:hanging="324"/>
        <w:spacing w:after="0" w:line="255"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Impacts. </w:t>
      </w:r>
      <w:r>
        <w:rPr>
          <w:rFonts w:ascii="Arial" w:cs="Arial" w:eastAsia="Arial" w:hAnsi="Arial"/>
          <w:sz w:val="18"/>
          <w:szCs w:val="18"/>
          <w:color w:val="auto"/>
        </w:rPr>
        <w:t>Our net revenues are impacted by fluctuations in the value of CAD to USD, resulting in foreign exchange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rFonts w:ascii="Arial" w:cs="Arial" w:eastAsia="Arial" w:hAnsi="Arial"/>
          <w:sz w:val="18"/>
          <w:szCs w:val="18"/>
          <w:color w:val="auto"/>
        </w:rPr>
      </w:pPr>
    </w:p>
    <w:p>
      <w:pPr>
        <w:ind w:left="980" w:right="260" w:hanging="324"/>
        <w:spacing w:after="0" w:line="264" w:lineRule="auto"/>
        <w:tabs>
          <w:tab w:leader="none" w:pos="98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compared to the three months ended March 31, 2017 was primarily due to cost increases across various categories, including outside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Depreciation and amortization expense increased for the three months ended March 31, 2018 compared to the same period in 2017 primarily due to additional depreciation associated with acquisitions in the 2017 period and the completion of various capital expansion projects.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decrease in interest expense for the three months ended March 31, 2018 over the three months ended March 31, 2017 was primarily due to a lower weighted average debt balance during the 2018 period from the repayment of an aggregate of $950 million senior notes in December 2017.</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expense, net (in millions):</w:t>
      </w:r>
    </w:p>
    <w:p>
      <w:pPr>
        <w:spacing w:after="0" w:line="163"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13335</wp:posOffset>
            </wp:positionV>
            <wp:extent cx="15093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9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r>
      <w:tr>
        <w:trPr>
          <w:trHeight w:val="270"/>
        </w:trPr>
        <w:tc>
          <w:tcPr>
            <w:tcW w:w="89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Loss related to mark-to-market adjustment of the Preferred Distribution Rate Reset Option </w:t>
            </w:r>
            <w:r>
              <w:rPr>
                <w:rFonts w:ascii="Arial" w:cs="Arial" w:eastAsia="Arial" w:hAnsi="Arial"/>
                <w:sz w:val="25"/>
                <w:szCs w:val="25"/>
                <w:color w:val="auto"/>
                <w:vertAlign w:val="superscript"/>
              </w:rPr>
              <w:t>(1)</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9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9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See Note 10 to our Condensed Consolidated Financial Statements for additional information.</w:t>
      </w:r>
    </w:p>
    <w:p>
      <w:pPr>
        <w:spacing w:after="0" w:line="30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Income tax expense decreased for the three months ended March 31, 2018 as compared to the three months ended March 31, 2017 due to (i) lower year-over-year income as impacted by fluctuations in derivative mark-to-market valuations in our Canadian operations, partially offset by higher taxable earnings in our Canadian operations and (ii) lower deferred tax expense due to a decrease in our effective tax rate as a result of the enactment of the Tax Cuts and Jobs Act in the fourth quarter of 2017, partially offset by additional deferred tax expense as a result of a change in our effective tax rate in the first quarter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 As of March 31, 2018, although we had a working capital deficit of $637 million, we had approximately $3.2 billion of liquidity available to meet our ongoing operating, investing and financing needs, subject to continued covenant compliance, as noted below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2018</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1,188</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1,075</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PAA commercial paper program</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26</w:t>
            </w:r>
          </w:p>
        </w:tc>
      </w:tr>
      <w:tr>
        <w:trPr>
          <w:trHeight w:val="27"/>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360" w:hanging="652"/>
        <w:spacing w:after="0" w:line="216"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$62 million and $40 million, respectively.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March 31, 2018, PAA was in compliance with all such covenants. Also, see Item 1A. “Risk Factors” of our 2017 Annual Report on Form 10-K for further discussion regarding such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2017 Annual Report on Form 10-K.</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cash provided by operating activities for the first three months of 2018 and 2017 was $520 million and $815 million, respectively, and primarily resulted from earnings from our operations. Net cash provided by operating activities for the 2017 period was also positively impacted by a decrease in margin balances required as part of our hedging activities that were funded by short-term debt. Additionally, as discussed further below, changes in our inventory levels during these periods impacted our cash flow from operating activities.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three months ended March 31, 2018, we decreased the overall volume of inventory that we held, primarily due to the seasonal sale of NGL inventory. However, the favorable effects from liquidation of such inventory were offset by increased volumes and higher prices for crude oil inventory that was purchased and stored at the end of the first quarter.</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three months ended March 31, 2017, we decreased the overall volume of inventory that we held, primarily due to the seasonal sale of NGL and natural gas inventory resulting in a favorable impact on our cash provided by operating activities. However, the favorable effects from liquidation of such inventory were partially offset by higher prices for crude oil inventory that was purchased and stored at the end of the quarter due to contango market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Divestitures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addition to our operating needs discussed above, on a consolidated basis, we also use cash for our acquisition activities and expansion capital projects. Historically, we have financed these expenditures primarily with cash generated by operating activities and the financing activities discussed in “— Equity and Debt Financing Activities” below. In the near term, we also intend to use proceeds from our divestiture program, as discussed further below. We have made and will continue to make capital expenditures for acquisitions, expansion capital projects and maintenance activities.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approximately $298 million in midstream infrastructure during the three months ended March 31, 2018, and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approximately $1.4 billion during the full year ended December 31, 2018. See “—Acquisitions and Capital Projects” for detail of our projected capital expenditures for the year ending December 31, 2018. We expect to fund our 2018 capital program with retained cash flow and proceeds from our divestiture program, as discussed further below.</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In 2016, we initiated a program to evaluate potential sales of non-core assets and/or sales of partial interests in assets to strategic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partners to optimize our asset portfolio and strengthen our balance sheet and leverage metrics. As of December 31, 2017, we had completed asset sales totaling approximately $1.7 billion, of which approximately $0.6 billion closed in 2016 (net of amounts paid for the remaining interest in a pipeline that was subsequently sold) and approximately $1.1 billion closed in 2017.</w:t>
      </w:r>
    </w:p>
    <w:p>
      <w:pPr>
        <w:spacing w:after="0" w:line="187" w:lineRule="exact"/>
        <w:rPr>
          <w:sz w:val="20"/>
          <w:szCs w:val="20"/>
          <w:color w:val="auto"/>
        </w:rPr>
      </w:pPr>
    </w:p>
    <w:p>
      <w:pPr>
        <w:jc w:val="both"/>
        <w:ind w:right="440" w:firstLine="648"/>
        <w:spacing w:after="0" w:line="257" w:lineRule="auto"/>
        <w:rPr>
          <w:sz w:val="20"/>
          <w:szCs w:val="20"/>
          <w:color w:val="auto"/>
        </w:rPr>
      </w:pPr>
      <w:r>
        <w:rPr>
          <w:rFonts w:ascii="Arial" w:cs="Arial" w:eastAsia="Arial" w:hAnsi="Arial"/>
          <w:sz w:val="18"/>
          <w:szCs w:val="18"/>
          <w:color w:val="auto"/>
        </w:rPr>
        <w:t>As part of our funding plans for our 2018 expansion capital program, we targeted to raise an additional $700 million. During the first quarter of 2018, we received proceeds from asset sales of $83 million, and we received an additional $255 million from sales completed subsequent to quarter end through May 1, 2018. We continue to advance efforts with respect to a number of additional transactions and believe successful consummation of such efforts will enable us to meet and potentially exceed our targeted amounts for 2018. Any excess proceeds above our targeted amounts would be used to reduce debt or fund incremental expansion opportunities.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divestiture efforts will be successfully completed. Also, see Item 1A. “Risk Factors—Risks Related to PAA’s Business” of our 2017 Annual Report on Form 10-K for further discussion regarding risks from our acquisitions and divestitures.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a consolidated basis, our financing activities primarily relate to funding expansion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PAA equity offerings, PAA senior notes offerings and borrowings and repayments under the credit facilities or the PAA commercial paper program, as well as payment of distributions to our Class A shareholders and noncontrolling interests.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up to an aggregate of $1.0 billion of equity securities (the “PAGP Traditional Shelf”). All issuances of equity securities associated with our continuous offering program have been issued pursuant to the PAGP Traditional Shelf. At March 31, 2018, we had approximately $939 million of unsold securities available under the PAGP Traditional Shelf.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three months ended March 31, 2018.</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$2.0 billion of debt or equity securities (the “PAA Traditional Shelf”). All issuances of PAA equity securities associated with PAA’s continuous offering program have been issued pursuant to the PAA Traditional Shelf. At March 31, 2018, PAA had approximately $1.1 billion of unsold securities available under the PAA Traditional Shelf.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three months ended March 31, 2018.</w:t>
      </w:r>
    </w:p>
    <w:p>
      <w:pPr>
        <w:spacing w:after="0" w:line="18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i w:val="1"/>
          <w:iCs w:val="1"/>
          <w:color w:val="auto"/>
        </w:rPr>
        <w:t xml:space="preserve">Credit Agreements, Commercial Paper Program and Indentures. </w:t>
      </w:r>
      <w:r>
        <w:rPr>
          <w:rFonts w:ascii="Arial" w:cs="Arial" w:eastAsia="Arial" w:hAnsi="Arial"/>
          <w:sz w:val="17"/>
          <w:szCs w:val="17"/>
          <w:color w:val="auto"/>
        </w:rPr>
        <w:t>The PAA credit agreements (which impact the ability to access the PAA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paper program because they provide the financial backstop that supports PAA’s short-term credit ratings) and the indentures governing PAA’s senior notes contain cross-default provisions. A default under the credit agreements would permit the lenders to accelerate the maturity of the outstanding debt. As long as PAA is in compliance with the provisions in the credit agreements, its ability to make distributions of available cash is not restricted. As of March 31, 2018, PAA was in compliance with the covenants contained in the credit agreements and indentures.</w:t>
      </w:r>
    </w:p>
    <w:p>
      <w:pPr>
        <w:spacing w:after="0" w:line="17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a consolidated basis, during the three months ended March 31, 2018, we had net repayments on PAA’s credit facilities and PAA commercial paper program of $156 million. The net repayments resulted primarily from cash flow from operating activities.</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During the three months ended March 31, 2017, we had net repayments on the credit facilities and the PAA commercial paper program of $352 million. The net repayments resulted primarily from cash flow from operating activities and cash received from our equity activities, which offset borrowings during the period related to funding needs for (i) acquisition and capital investments, (ii) inventory purchases and related margin balances required as part of our hedging activities, (iii) repayment of PAA’s $400 million, 6.13% senior notes in January 2017 and (iv) other general partnership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Class A Shareholders and Noncontrolling Interests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Distributions to our Class A shareholders. </w:t>
      </w:r>
      <w:r>
        <w:rPr>
          <w:rFonts w:ascii="Arial" w:cs="Arial" w:eastAsia="Arial" w:hAnsi="Arial"/>
          <w:sz w:val="17"/>
          <w:szCs w:val="17"/>
          <w:color w:val="auto"/>
        </w:rPr>
        <w:t>We distribute all of our available cash within 55 days following the end of each quarter to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record. Available cash is generally defined as all of our cash and cash equivalents on hand at the end of each quarter less reserves established in the discretion of our general partner for future requirements. On May 15, 2018, we will pay a quarterly distribution of $0.30 per Class A share ($1.20 per Class A share on an annualized basis), which is unchanged from our prior two quarterly distributions, but represents a year-over-year distribution decrease of approximately 45% compared to the quarterly distribution of $0.55 per Class A share ($2.20 per Class A share on an annualized basis) paid in May 2017. See Note 9 to our Condensed Consolidated Financial Statements for details of distributions paid during or pertaining to the first three months of 2018. Also, see Item 5. “Market for Registrant’s Shares, Related Shareholder Matters and Issuer Purchases of Equity Securities—Cash Distribution Policy” included in our 2017 Annual Report on Form 10-K for additional discussion regarding distributions.</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owned by us. During the three months ended March 31, 2018 and 2017, we paid distributions of approximately $171 million and $315 million, respectively, to noncontrolling interests.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2018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160" w:type="dxa"/>
            <w:vAlign w:val="bottom"/>
          </w:tcPr>
          <w:p>
            <w:pPr>
              <w:spacing w:after="0"/>
              <w:rPr>
                <w:sz w:val="14"/>
                <w:szCs w:val="14"/>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2023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873</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9,986</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70"/>
        </w:trPr>
        <w:tc>
          <w:tcPr>
            <w:tcW w:w="4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Leases, rights-of-way easements and other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37"/>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7,468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4,783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4,357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38,528</w:t>
            </w:r>
          </w:p>
        </w:tc>
        <w:tc>
          <w:tcPr>
            <w:tcW w:w="0" w:type="dxa"/>
            <w:vAlign w:val="bottom"/>
          </w:tcPr>
          <w:p>
            <w:pPr>
              <w:spacing w:after="0"/>
              <w:rPr>
                <w:sz w:val="1"/>
                <w:szCs w:val="1"/>
                <w:color w:val="auto"/>
              </w:rPr>
            </w:pPr>
          </w:p>
        </w:tc>
      </w:tr>
      <w:tr>
        <w:trPr>
          <w:trHeight w:val="257"/>
        </w:trPr>
        <w:tc>
          <w:tcPr>
            <w:tcW w:w="41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8,210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5,961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22,908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55,140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vMerge w:val="restart"/>
          </w:tcPr>
          <w:p>
            <w:pPr>
              <w:jc w:val="right"/>
              <w:ind w:right="472"/>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hanging="652"/>
        <w:spacing w:after="0" w:line="237"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as well as long-term borrowings under the PAA credit facilities and commercial paper program.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 For additional information regarding PAA’s debt obligations, see Note 8 to our Condensed Consolidated Financial Statements.</w:t>
      </w:r>
    </w:p>
    <w:p>
      <w:pPr>
        <w:spacing w:after="0" w:line="98" w:lineRule="exact"/>
        <w:rPr>
          <w:rFonts w:ascii="Arial" w:cs="Arial" w:eastAsia="Arial" w:hAnsi="Arial"/>
          <w:sz w:val="25"/>
          <w:szCs w:val="25"/>
          <w:color w:val="auto"/>
          <w:vertAlign w:val="superscript"/>
        </w:rPr>
      </w:pPr>
    </w:p>
    <w:p>
      <w:pPr>
        <w:ind w:left="660" w:right="380" w:hanging="652"/>
        <w:spacing w:after="0" w:line="216"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railcars, (ii) land and surface rentals, (iii) office buildings, (iv) pipeline assets and (v) vehicles and trailers. Includes operating and capital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20" w:hanging="652"/>
        <w:spacing w:after="0" w:line="235"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$820 million 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120" w:hanging="652"/>
        <w:spacing w:after="0" w:line="238" w:lineRule="auto"/>
        <w:tabs>
          <w:tab w:leader="none" w:pos="660" w:val="left"/>
        </w:tabs>
        <w:numPr>
          <w:ilvl w:val="0"/>
          <w:numId w:val="43"/>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March 2018.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and construction activities. At March 31, 2018 and December 31, 2017, we had outstanding letters of credit of approximately $102 million and $166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2017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March 2018, the Federal Energy Regulatory Commission (“FERC”) issued a revised policy statement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We do not have cost-of-service rates that would be impacted by this policy change; our FERC regulated tariffs are either grandfathered or based on negotiated rates. However, depending on how the FERC incorporates its most recent tax policy statement into its next index review, the policy could potentially have a negative impact on the FERC adder to the PPI-FG Index, which in turn could have a negative effect on our ability to increase our index-based rates. The policy could impact future (i.e., July 2021 and later) tariff escalations on our FERC regulated pipelines, as well as some of our state regulated pipelines that have negotiated rates with escalations tied to the FERC Index.</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failure to consummate, or significant delay in consummating, sales of assets or interests as a part of our strategic divestiture program;</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2017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
        <w:spacing w:after="0" w:line="312" w:lineRule="auto"/>
        <w:rPr>
          <w:rFonts w:ascii="Arial" w:cs="Arial" w:eastAsia="Arial" w:hAnsi="Arial"/>
          <w:sz w:val="18"/>
          <w:szCs w:val="18"/>
          <w:i w:val="1"/>
          <w:iCs w:val="1"/>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exchange-traded and over-the-counter futures, forwards, swaps and options.</w:t>
      </w:r>
    </w:p>
    <w:p>
      <w:pPr>
        <w:spacing w:after="0" w:line="146" w:lineRule="exact"/>
        <w:rPr>
          <w:rFonts w:ascii="Arial" w:cs="Arial" w:eastAsia="Arial" w:hAnsi="Arial"/>
          <w:sz w:val="18"/>
          <w:szCs w:val="18"/>
          <w:i w:val="1"/>
          <w:iCs w:val="1"/>
          <w:color w:val="auto"/>
        </w:rPr>
      </w:pPr>
    </w:p>
    <w:p>
      <w:pPr>
        <w:ind w:left="980" w:hanging="324"/>
        <w:spacing w:after="0"/>
        <w:tabs>
          <w:tab w:leader="none" w:pos="9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2018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March 31, 2018, approximately $751 million, was subject to interest rate re-sets that range from less than one week to approximately two weeks. The average interest rate on variable rate debt that was outstanding during the three months ended March 31, 2018 was 2.6%, based upon rates in effect during such period. The fair value of our interest rate derivatives was a liability of $2 million as of March 31, 2018. A 10% increase in the forward LIBOR curve as of March 31, 2018 would have resulted in an increase of $34 million to the fair value of our interest rate derivatives. A 10% decrease in the forward LIBOR curve as of March 31, 2018 would have resulted in a decrease of $34 million to the fair value of our interest rate derivatives. See Note 10 to our Condensed Consolidated Financial Statements for a discussion of our interest rate risk hedging activities.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March 31, 2018. A 10% increase in the exchange rate (USD-to-CAD) would have resulted in an increase of $24 million to the fair value of our foreign currency derivatives. A 10% decrease in the exchange rate (USD-to-CAD) would have resulted in a decrease of $24 million to the fair value of our foreign currency derivatives. See Note 10 to our Condensed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default probabilities and timing estimates to ultimately calculate the fair value of PAA’s Series A preferred units with and without the Preferred Distribution Rate Reset Option. The fair value of this embedded derivative was a liability of $26 million as of March 31, 2018. A 10% increase or decrease in the fair value would have an impact of $3 million. See Note 10 to our Condensed Consolidated Financial Statements for a discussion of embedded derivatives.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2018,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2018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2017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firstLine="8"/>
        <w:spacing w:after="0" w:line="268" w:lineRule="auto"/>
        <w:tabs>
          <w:tab w:leader="none" w:pos="2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quarter ended March 31, 2018, certain Legacy Owners or their permitted transferees exercised the Exchange Right, which resulted in the issuance of 907,899 Class A shares. The issuance of Class A shares in connection with the exercise of the Exchange Right was exempt from the registration requirements of the Securities Act of 1933, as amended, pursuant to Section 4(a)(2)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Exhibit No.</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30"/>
          </w:tcPr>
          <w:p>
            <w:pPr>
              <w:ind w:left="14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12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840" w:type="dxa"/>
            <w:vAlign w:val="bottom"/>
            <w:tcBorders>
              <w:bottom w:val="single" w:sz="8" w:color="0000FF"/>
            </w:tcBorders>
            <w:gridSpan w:val="17"/>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Certificate of Limited Partnership of Plains GP Holdings, L.P. (incorporated by reference to Exhibit 3.1 to our Registration</w:t>
              </w:r>
            </w:hyperlink>
          </w:p>
        </w:tc>
        <w:tc>
          <w:tcPr>
            <w:tcW w:w="700" w:type="dxa"/>
            <w:vAlign w:val="bottom"/>
            <w:gridSpan w:val="1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Statement on Form S-1 (333-190227) filed July 29, 2013).</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00" w:type="dxa"/>
            <w:vAlign w:val="bottom"/>
            <w:tcBorders>
              <w:bottom w:val="single" w:sz="8" w:color="0000FF"/>
            </w:tcBorders>
            <w:gridSpan w:val="22"/>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Second Amended and Restated Agreement of Limited Partnership of Plains GP Holdings, L.P. dated as of November 15, 2016</w:t>
              </w:r>
            </w:hyperlink>
          </w:p>
        </w:tc>
        <w:tc>
          <w:tcPr>
            <w:tcW w:w="44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(incorporated by reference to Exhibit 3.2 to our Current Report on Form 8-K filed November 21, 2016).</w:t>
              </w:r>
            </w:hyperlink>
          </w:p>
        </w:tc>
        <w:tc>
          <w:tcPr>
            <w:tcW w:w="2040" w:type="dxa"/>
            <w:vAlign w:val="bottom"/>
            <w:gridSpan w:val="24"/>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060" w:type="dxa"/>
            <w:vAlign w:val="bottom"/>
            <w:tcBorders>
              <w:bottom w:val="single" w:sz="8" w:color="0000FF"/>
            </w:tcBorders>
            <w:gridSpan w:val="21"/>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Certificate of Formation of PAA GP Holdings LLC (incorporated by reference to Exhibit 3.3 to our Registration Statement on</w:t>
              </w:r>
            </w:hyperlink>
          </w:p>
        </w:tc>
        <w:tc>
          <w:tcPr>
            <w:tcW w:w="48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Form S-1 (333-190227) filed July 29, 2013).</w:t>
              </w:r>
            </w:hyperlink>
          </w:p>
        </w:tc>
        <w:tc>
          <w:tcPr>
            <w:tcW w:w="6320" w:type="dxa"/>
            <w:vAlign w:val="bottom"/>
            <w:gridSpan w:val="32"/>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20" w:type="dxa"/>
            <w:vAlign w:val="bottom"/>
            <w:tcBorders>
              <w:bottom w:val="single" w:sz="8" w:color="0000FF"/>
            </w:tcBorders>
            <w:gridSpan w:val="23"/>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Third Amended and Restated Limited Liability Company Agreement of PAA GP Holdings LLC dated as of February 16, 2017</w:t>
              </w:r>
            </w:hyperlink>
          </w:p>
        </w:tc>
        <w:tc>
          <w:tcPr>
            <w:tcW w:w="42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(incorporated by reference to Exhibit 3.1 to our Current Report on Form 8-K filed February 21, 2017).</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Seventh Amended and Restated Agreement of Limited Partnership of Plains All American Pipeline, L.P., dated as of October 10,</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2017 (incorporated by reference to Exhibit 3.1 to PAA's Current Report on Form 8-K filed October 12, 2017).</w:t>
              </w:r>
            </w:hyperlink>
          </w:p>
        </w:tc>
        <w:tc>
          <w:tcPr>
            <w:tcW w:w="260" w:type="dxa"/>
            <w:vAlign w:val="bottom"/>
            <w:gridSpan w:val="7"/>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440" w:type="dxa"/>
            <w:vAlign w:val="bottom"/>
            <w:tcBorders>
              <w:bottom w:val="single" w:sz="8" w:color="0000FF"/>
            </w:tcBorders>
            <w:gridSpan w:val="33"/>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Seventh Amended and Restated Limited Liability Company Agreement of Plains All American GP LLC dated November 15, 2016</w:t>
              </w:r>
            </w:hyperlink>
          </w:p>
        </w:tc>
        <w:tc>
          <w:tcPr>
            <w:tcW w:w="10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(incorporated by reference to Exhibit 3.3 to our Current Report on Form 8-K filed November 21, 2016).</w:t>
              </w:r>
            </w:hyperlink>
          </w:p>
        </w:tc>
        <w:tc>
          <w:tcPr>
            <w:tcW w:w="2060" w:type="dxa"/>
            <w:vAlign w:val="bottom"/>
            <w:gridSpan w:val="25"/>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00" w:type="dxa"/>
            <w:vAlign w:val="bottom"/>
            <w:tcBorders>
              <w:bottom w:val="single" w:sz="8" w:color="0000FF"/>
            </w:tcBorders>
            <w:gridSpan w:val="22"/>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Eighth Amended and Restated Limited Partnership Agreement of Plains AAP, L.P. dated November 15, 2016 (incorporated by</w:t>
              </w:r>
            </w:hyperlink>
          </w:p>
        </w:tc>
        <w:tc>
          <w:tcPr>
            <w:tcW w:w="44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reference to Exhibit 3.4 to our Current Report on Form 8-K filed November 21, 2016).</w:t>
              </w:r>
            </w:hyperlink>
          </w:p>
        </w:tc>
        <w:tc>
          <w:tcPr>
            <w:tcW w:w="3300" w:type="dxa"/>
            <w:vAlign w:val="bottom"/>
            <w:gridSpan w:val="27"/>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6"/>
              </w:rPr>
            </w:pPr>
            <w:hyperlink r:id="rId58">
              <w:r>
                <w:rPr>
                  <w:rFonts w:ascii="Arial" w:cs="Arial" w:eastAsia="Arial" w:hAnsi="Arial"/>
                  <w:sz w:val="18"/>
                  <w:szCs w:val="18"/>
                  <w:color w:val="0000FF"/>
                  <w:w w:val="96"/>
                </w:rPr>
                <w:t>Limited Liability Company Agreement of PAA GP LLC dated December 28, 2007 (incorporated by reference to Exhibit 3.3 to</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PAA’s Current Report on Form 8-K filed January 4, 2008).</w:t>
              </w:r>
            </w:hyperlink>
          </w:p>
        </w:tc>
        <w:tc>
          <w:tcPr>
            <w:tcW w:w="4880" w:type="dxa"/>
            <w:vAlign w:val="bottom"/>
            <w:tcBorders>
              <w:top w:val="single" w:sz="8" w:color="0000FF"/>
            </w:tcBorders>
            <w:gridSpan w:val="17"/>
          </w:tcPr>
          <w:p>
            <w:pPr>
              <w:spacing w:after="0"/>
              <w:rPr>
                <w:sz w:val="17"/>
                <w:szCs w:val="17"/>
                <w:color w:val="auto"/>
              </w:rPr>
            </w:pPr>
          </w:p>
        </w:tc>
        <w:tc>
          <w:tcPr>
            <w:tcW w:w="440" w:type="dxa"/>
            <w:vAlign w:val="bottom"/>
            <w:gridSpan w:val="13"/>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360" w:type="dxa"/>
            <w:vAlign w:val="bottom"/>
            <w:tcBorders>
              <w:bottom w:val="single" w:sz="8" w:color="0000FF"/>
            </w:tcBorders>
            <w:gridSpan w:val="30"/>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Indenture dated September 25, 2002 among Plains All American Pipeline, L.P., PAA Finance Corp. and Wachovia Bank, National</w:t>
              </w:r>
            </w:hyperlink>
          </w:p>
        </w:tc>
        <w:tc>
          <w:tcPr>
            <w:tcW w:w="18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Association, as trustee (incorporated by reference to Exhibit 4.1 to PAA’s Quarterly Report on Form 10-Q for the quarter ended</w:t>
              </w:r>
            </w:hyperlink>
          </w:p>
        </w:tc>
        <w:tc>
          <w:tcPr>
            <w:tcW w:w="36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September 30, 2002).</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860" w:type="dxa"/>
            <w:vAlign w:val="bottom"/>
            <w:tcBorders>
              <w:bottom w:val="single" w:sz="8" w:color="0000FF"/>
            </w:tcBorders>
            <w:gridSpan w:val="18"/>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Sixth Supplemental Indenture (Series A and Series B 6.70% Senior Notes due 2036) dated May 12, 2006 among Plains All</w:t>
              </w:r>
            </w:hyperlink>
          </w:p>
        </w:tc>
        <w:tc>
          <w:tcPr>
            <w:tcW w:w="680" w:type="dxa"/>
            <w:vAlign w:val="bottom"/>
            <w:gridSpan w:val="1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American Pipeline, L.P., PAA Finance Corp., the Subsidiary Guarantors named therein and Wachovia Bank, National Association,</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as trustee (incorporated by reference to Exhibit 4.1 to PAA’s Current Report on Form 8-K filed May 12, 2006).</w:t>
              </w:r>
            </w:hyperlink>
          </w:p>
        </w:tc>
        <w:tc>
          <w:tcPr>
            <w:tcW w:w="16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220" w:type="dxa"/>
            <w:vAlign w:val="bottom"/>
            <w:tcBorders>
              <w:bottom w:val="single" w:sz="8" w:color="0000FF"/>
            </w:tcBorders>
            <w:gridSpan w:val="27"/>
          </w:tcPr>
          <w:p>
            <w:pPr>
              <w:spacing w:after="0"/>
              <w:rPr>
                <w:rFonts w:ascii="Arial" w:cs="Arial" w:eastAsia="Arial" w:hAnsi="Arial"/>
                <w:sz w:val="18"/>
                <w:szCs w:val="18"/>
                <w:color w:val="0000FF"/>
                <w:w w:val="89"/>
              </w:rPr>
            </w:pPr>
            <w:hyperlink r:id="rId61">
              <w:r>
                <w:rPr>
                  <w:rFonts w:ascii="Arial" w:cs="Arial" w:eastAsia="Arial" w:hAnsi="Arial"/>
                  <w:sz w:val="18"/>
                  <w:szCs w:val="18"/>
                  <w:color w:val="0000FF"/>
                  <w:w w:val="89"/>
                </w:rPr>
                <w:t>Tenth Supplemental Indenture (Series A and Series B 6.650% Senior Notes due 2037) dated October 30, 2006 among Plains All</w:t>
              </w:r>
            </w:hyperlink>
          </w:p>
        </w:tc>
        <w:tc>
          <w:tcPr>
            <w:tcW w:w="32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4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American Pipeline, L.P., PAA Finance Corp., the Subsidiary Guarantors named therein and U.S. Bank National Association, as</w:t>
              </w:r>
            </w:hyperlink>
          </w:p>
        </w:tc>
        <w:tc>
          <w:tcPr>
            <w:tcW w:w="40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trustee (incorporated by reference to Exhibit 4.2 to PAA’s Current Report on Form 8-K filed October 30, 2006).</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6"/>
              </w:rPr>
            </w:pPr>
            <w:hyperlink r:id="rId62">
              <w:r>
                <w:rPr>
                  <w:rFonts w:ascii="Arial" w:cs="Arial" w:eastAsia="Arial" w:hAnsi="Arial"/>
                  <w:sz w:val="18"/>
                  <w:szCs w:val="18"/>
                  <w:color w:val="0000FF"/>
                  <w:w w:val="96"/>
                </w:rPr>
                <w:t>Seventeenth Supplemental Indenture (5.75% Senior Notes due 2020) dated September 4, 2009 among Plains All American</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Pipeline, L.P., PAA Finance Corp., the Subsidiary Guarantors named therein and U.S. Bank National Association, as trustee</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(incorporated by reference to Exhibit 4.1 to PAA’s Current Report on Form 8-K filed September 4, 2009).</w:t>
              </w:r>
            </w:hyperlink>
          </w:p>
        </w:tc>
        <w:tc>
          <w:tcPr>
            <w:tcW w:w="1300" w:type="dxa"/>
            <w:vAlign w:val="bottom"/>
            <w:tcBorders>
              <w:top w:val="single" w:sz="8" w:color="0000FF"/>
            </w:tcBorders>
            <w:gridSpan w:val="7"/>
          </w:tcPr>
          <w:p>
            <w:pPr>
              <w:spacing w:after="0"/>
              <w:rPr>
                <w:sz w:val="17"/>
                <w:szCs w:val="17"/>
                <w:color w:val="auto"/>
              </w:rPr>
            </w:pPr>
          </w:p>
        </w:tc>
        <w:tc>
          <w:tcPr>
            <w:tcW w:w="640" w:type="dxa"/>
            <w:vAlign w:val="bottom"/>
            <w:gridSpan w:val="16"/>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Nineteenth Supplemental Indenture (5.00% Senior Notes due 2021) dated January 14, 2011 among Plains All American Pipeline,</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40" w:type="dxa"/>
            <w:vAlign w:val="bottom"/>
            <w:gridSpan w:val="9"/>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L.P., PAA Finance Corp., the Subsidiary Guarantors named therein and U.S. Bank National Association, as trustee (incorporated by</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60" w:type="dxa"/>
            <w:vAlign w:val="bottom"/>
            <w:tcBorders>
              <w:top w:val="single" w:sz="8" w:color="0000FF"/>
            </w:tcBorders>
            <w:gridSpan w:val="34"/>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reference to Exhibit 4.1 to PAA’s Current Report on Form 8-K filed January 11, 2011).</w:t>
              </w:r>
            </w:hyperlink>
          </w:p>
        </w:tc>
        <w:tc>
          <w:tcPr>
            <w:tcW w:w="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60" w:type="dxa"/>
            <w:vAlign w:val="bottom"/>
            <w:tcBorders>
              <w:bottom w:val="single" w:sz="8" w:color="0000FF"/>
            </w:tcBorders>
            <w:gridSpan w:val="25"/>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Twentieth Supplemental Indenture (3.65% Senior Notes due 2022) dated March 22, 2012 among Plains All American Pipeline,</w:t>
              </w:r>
            </w:hyperlink>
          </w:p>
        </w:tc>
        <w:tc>
          <w:tcPr>
            <w:tcW w:w="38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L.P., PAA Finance Corp and U.S. Bank National Association, as trustee (incorporated by reference to Exhibit 4.1 to PAA’s Current</w:t>
              </w:r>
            </w:hyperlink>
          </w:p>
        </w:tc>
        <w:tc>
          <w:tcPr>
            <w:tcW w:w="14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Report on Form 8-K filed March 26, 2012).</w:t>
              </w:r>
            </w:hyperlink>
          </w:p>
        </w:tc>
        <w:tc>
          <w:tcPr>
            <w:tcW w:w="6400" w:type="dxa"/>
            <w:vAlign w:val="bottom"/>
            <w:gridSpan w:val="33"/>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Twenty-First Supplemental Indenture (5.15% Senior Notes due 2042) dated March 22, 2012 among Plains All American Pipeline,</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20" w:type="dxa"/>
            <w:vAlign w:val="bottom"/>
            <w:gridSpan w:val="6"/>
            <w:shd w:val="clear" w:color="auto" w:fill="0000FF"/>
          </w:tcPr>
          <w:p>
            <w:pPr>
              <w:spacing w:after="0" w:line="20" w:lineRule="exact"/>
              <w:rPr>
                <w:sz w:val="1"/>
                <w:szCs w:val="1"/>
                <w:color w:val="auto"/>
              </w:rPr>
            </w:pPr>
          </w:p>
        </w:tc>
        <w:tc>
          <w:tcPr>
            <w:tcW w:w="3240" w:type="dxa"/>
            <w:vAlign w:val="bottom"/>
            <w:gridSpan w:val="10"/>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80" w:type="dxa"/>
            <w:vAlign w:val="bottom"/>
            <w:gridSpan w:val="10"/>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L.P., PAA Finance Corp and U.S. Bank National Association, as trustee (incorporated by reference to Exhibit 4.3 to PAA’s Current</w:t>
              </w:r>
            </w:hyperlink>
          </w:p>
        </w:tc>
        <w:tc>
          <w:tcPr>
            <w:tcW w:w="14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Report on Form 8-K filed March 26, 2012).</w:t>
              </w:r>
            </w:hyperlink>
          </w:p>
        </w:tc>
        <w:tc>
          <w:tcPr>
            <w:tcW w:w="6400" w:type="dxa"/>
            <w:vAlign w:val="bottom"/>
            <w:gridSpan w:val="33"/>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980" w:type="dxa"/>
            <w:vAlign w:val="bottom"/>
            <w:tcBorders>
              <w:bottom w:val="single" w:sz="8" w:color="0000FF"/>
            </w:tcBorders>
            <w:gridSpan w:val="20"/>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Twenty-Second Supplemental Indenture (2.85% Senior Notes due 2023) dated December 10, 2012, by and among Plains All</w:t>
              </w:r>
            </w:hyperlink>
          </w:p>
        </w:tc>
        <w:tc>
          <w:tcPr>
            <w:tcW w:w="56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8"/>
              </w:rPr>
            </w:pPr>
            <w:hyperlink r:id="rId66">
              <w:r>
                <w:rPr>
                  <w:rFonts w:ascii="Arial" w:cs="Arial" w:eastAsia="Arial" w:hAnsi="Arial"/>
                  <w:sz w:val="18"/>
                  <w:szCs w:val="18"/>
                  <w:color w:val="0000FF"/>
                  <w:w w:val="98"/>
                </w:rPr>
                <w:t>American Pipeline, L.P., PAA Finance Corp. and U.S. Bank National Association, as trustee (incorporated by reference to</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Exhibit 4.1 to PAA’s Current Report on Form 8-K filed December 12, 2012).</w:t>
              </w:r>
            </w:hyperlink>
          </w:p>
        </w:tc>
        <w:tc>
          <w:tcPr>
            <w:tcW w:w="3240" w:type="dxa"/>
            <w:vAlign w:val="bottom"/>
            <w:tcBorders>
              <w:top w:val="single" w:sz="8" w:color="0000FF"/>
            </w:tcBorders>
            <w:gridSpan w:val="10"/>
          </w:tcPr>
          <w:p>
            <w:pPr>
              <w:spacing w:after="0"/>
              <w:rPr>
                <w:sz w:val="17"/>
                <w:szCs w:val="17"/>
                <w:color w:val="auto"/>
              </w:rPr>
            </w:pPr>
          </w:p>
        </w:tc>
        <w:tc>
          <w:tcPr>
            <w:tcW w:w="780" w:type="dxa"/>
            <w:vAlign w:val="bottom"/>
            <w:gridSpan w:val="1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57"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757"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jc w:val="cente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1"/>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Borders>
              <w:bottom w:val="single" w:sz="8" w:color="0000FF"/>
            </w:tcBorders>
            <w:gridSpan w:val="20"/>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Twenty-Third Supplemental Indenture (4.30% Senior Notes due 2043) dated December 10, 2012, by and among Plains All</w:t>
              </w:r>
            </w:hyperlink>
          </w:p>
        </w:tc>
        <w:tc>
          <w:tcPr>
            <w:tcW w:w="60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Exhibit 4.3 to PAA’s Current Report on Form 8-K filed December 12, 2012).</w:t>
              </w:r>
            </w:hyperlink>
          </w:p>
        </w:tc>
        <w:tc>
          <w:tcPr>
            <w:tcW w:w="3940" w:type="dxa"/>
            <w:vAlign w:val="bottom"/>
            <w:gridSpan w:val="20"/>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30"/>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42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PAA’s Current Report on Form 8-K filed August 15, 2013).</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0"/>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Current Report on Form 8-K filed April 29, 2014).</w:t>
              </w:r>
            </w:hyperlink>
          </w:p>
        </w:tc>
        <w:tc>
          <w:tcPr>
            <w:tcW w:w="14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0"/>
          </w:tcPr>
          <w:p>
            <w:pPr>
              <w:spacing w:after="0"/>
              <w:rPr>
                <w:rFonts w:ascii="Arial" w:cs="Arial" w:eastAsia="Arial" w:hAnsi="Arial"/>
                <w:sz w:val="18"/>
                <w:szCs w:val="18"/>
                <w:color w:val="0000FF"/>
                <w:w w:val="97"/>
              </w:rPr>
            </w:pPr>
            <w:hyperlink r:id="rId70">
              <w:r>
                <w:rPr>
                  <w:rFonts w:ascii="Arial" w:cs="Arial" w:eastAsia="Arial" w:hAnsi="Arial"/>
                  <w:sz w:val="18"/>
                  <w:szCs w:val="18"/>
                  <w:color w:val="0000FF"/>
                  <w:w w:val="97"/>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Exhibit 4.1 to our Current Report on Form 8-K filed September 11, 2014).</w:t>
              </w:r>
            </w:hyperlink>
          </w:p>
        </w:tc>
        <w:tc>
          <w:tcPr>
            <w:tcW w:w="4120" w:type="dxa"/>
            <w:vAlign w:val="bottom"/>
            <w:gridSpan w:val="21"/>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0000FF"/>
            </w:tcBorders>
            <w:gridSpan w:val="21"/>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Twenty-Seventh Supplemental Indenture (2.60% Senior Notes due 2019) dated December 9, 2014, by and among Plains All</w:t>
              </w:r>
            </w:hyperlink>
          </w:p>
        </w:tc>
        <w:tc>
          <w:tcPr>
            <w:tcW w:w="52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FF"/>
                <w:w w:val="97"/>
              </w:rPr>
            </w:pPr>
            <w:hyperlink r:id="rId71">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Exhibit 4.1 to our Current Report on Form 8-K filed December 11, 2014).</w:t>
              </w:r>
            </w:hyperlink>
          </w:p>
        </w:tc>
        <w:tc>
          <w:tcPr>
            <w:tcW w:w="660" w:type="dxa"/>
            <w:vAlign w:val="bottom"/>
            <w:gridSpan w:val="1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9"/>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Twenty-Eighth Supplemental Indenture (4.90% Senior Notes due 2045) dated December 9, 2014, by and among Plains All</w:t>
              </w:r>
            </w:hyperlink>
          </w:p>
        </w:tc>
        <w:tc>
          <w:tcPr>
            <w:tcW w:w="62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FF"/>
                <w:w w:val="97"/>
              </w:rPr>
            </w:pPr>
            <w:hyperlink r:id="rId72">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Exhibit 4.3 to our Current Report on Form 8-K filed December 11, 2014).</w:t>
              </w:r>
            </w:hyperlink>
          </w:p>
        </w:tc>
        <w:tc>
          <w:tcPr>
            <w:tcW w:w="660" w:type="dxa"/>
            <w:vAlign w:val="bottom"/>
            <w:gridSpan w:val="1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0"/>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280" w:type="dxa"/>
            <w:vAlign w:val="bottom"/>
            <w:tcBorders>
              <w:top w:val="single" w:sz="8" w:color="0000FF"/>
            </w:tcBorders>
            <w:gridSpan w:val="5"/>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PAA’s Current Report on Form 8-K filed August 26, 2015).</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0"/>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Thirtieth Supplemental Indenture (4.50% Senior Notes due 2026) dated November 22, 2016,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140" w:type="dxa"/>
            <w:vAlign w:val="bottom"/>
            <w:tcBorders>
              <w:top w:val="single" w:sz="8" w:color="0000FF"/>
            </w:tcBorders>
            <w:gridSpan w:val="2"/>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0"/>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PAA’s Current Report on Form 8-K filed November 29, 2016).</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0000FF"/>
            </w:tcBorders>
            <w:gridSpan w:val="23"/>
          </w:tcPr>
          <w:p>
            <w:pPr>
              <w:spacing w:after="0"/>
              <w:rPr>
                <w:rFonts w:ascii="Arial" w:cs="Arial" w:eastAsia="Arial" w:hAnsi="Arial"/>
                <w:sz w:val="18"/>
                <w:szCs w:val="18"/>
                <w:color w:val="0000FF"/>
                <w:w w:val="89"/>
              </w:rPr>
            </w:pPr>
            <w:hyperlink r:id="rId75">
              <w:r>
                <w:rPr>
                  <w:rFonts w:ascii="Arial" w:cs="Arial" w:eastAsia="Arial" w:hAnsi="Arial"/>
                  <w:sz w:val="18"/>
                  <w:szCs w:val="18"/>
                  <w:color w:val="0000FF"/>
                  <w:w w:val="89"/>
                </w:rPr>
                <w:t>Shareholder and Registration Rights Agreement dated October 21, 2013 by and among Plains GP Holdings, L.P. and the other</w:t>
              </w:r>
            </w:hyperlink>
          </w:p>
        </w:tc>
        <w:tc>
          <w:tcPr>
            <w:tcW w:w="38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380" w:type="dxa"/>
            <w:vAlign w:val="bottom"/>
            <w:gridSpan w:val="7"/>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10.1 *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38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61">
              <w:r>
                <w:rPr>
                  <w:rFonts w:ascii="Arial" w:cs="Arial" w:eastAsia="Arial" w:hAnsi="Arial"/>
                  <w:sz w:val="18"/>
                  <w:szCs w:val="18"/>
                  <w:color w:val="0000FF"/>
                  <w:w w:val="90"/>
                </w:rPr>
                <w:t>Second Amendment dated March 22, 2018 to Plains AAP, L.P. Class B Restricted Units Agreement (Willie Chiang).</w:t>
              </w:r>
            </w:hyperlink>
          </w:p>
        </w:tc>
        <w:tc>
          <w:tcPr>
            <w:tcW w:w="1080" w:type="dxa"/>
            <w:vAlign w:val="bottom"/>
            <w:gridSpan w:val="15"/>
          </w:tcPr>
          <w:p>
            <w:pPr>
              <w:spacing w:after="0"/>
              <w:rPr>
                <w:sz w:val="24"/>
                <w:szCs w:val="24"/>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10.2 *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0"/>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Form of First Amendment dated March 22, 2018 to Amended and Restated Plains AAP, L.P. Class B Restricted Units Agreement</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dated August 25, 2016 (Officers).</w:t>
              </w:r>
            </w:hyperlink>
          </w:p>
        </w:tc>
        <w:tc>
          <w:tcPr>
            <w:tcW w:w="6880" w:type="dxa"/>
            <w:vAlign w:val="bottom"/>
            <w:tcBorders>
              <w:top w:val="single" w:sz="8" w:color="0000FF"/>
            </w:tcBorders>
            <w:gridSpan w:val="26"/>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10.3 *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732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Amendment dated March 22, 2018 to PAA LTIP Grant Letter dated August 24, 2015 (Willie Chiang).</w:t>
              </w:r>
            </w:hyperlink>
          </w:p>
        </w:tc>
        <w:tc>
          <w:tcPr>
            <w:tcW w:w="2140" w:type="dxa"/>
            <w:vAlign w:val="bottom"/>
            <w:gridSpan w:val="18"/>
          </w:tcPr>
          <w:p>
            <w:pPr>
              <w:spacing w:after="0"/>
              <w:rPr>
                <w:sz w:val="24"/>
                <w:szCs w:val="24"/>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10.4 *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752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Form of Amendment dated March 22, 2018 to PAA LTIP Grant Letter dated August 25, 2016 (Officers).</w:t>
              </w:r>
            </w:hyperlink>
          </w:p>
        </w:tc>
        <w:tc>
          <w:tcPr>
            <w:tcW w:w="1940" w:type="dxa"/>
            <w:vAlign w:val="bottom"/>
            <w:gridSpan w:val="16"/>
          </w:tcPr>
          <w:p>
            <w:pPr>
              <w:spacing w:after="0"/>
              <w:rPr>
                <w:sz w:val="24"/>
                <w:szCs w:val="24"/>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10.5 *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428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78">
              <w:r>
                <w:rPr>
                  <w:rFonts w:ascii="Arial" w:cs="Arial" w:eastAsia="Arial" w:hAnsi="Arial"/>
                  <w:sz w:val="18"/>
                  <w:szCs w:val="18"/>
                  <w:color w:val="0000FF"/>
                  <w:w w:val="93"/>
                </w:rPr>
                <w:t>Form of PAA LTIP Grant Letter for Officers (March 2018).</w:t>
              </w:r>
            </w:hyperlink>
          </w:p>
        </w:tc>
        <w:tc>
          <w:tcPr>
            <w:tcW w:w="5180" w:type="dxa"/>
            <w:vAlign w:val="bottom"/>
            <w:gridSpan w:val="26"/>
          </w:tcPr>
          <w:p>
            <w:pPr>
              <w:spacing w:after="0"/>
              <w:rPr>
                <w:sz w:val="24"/>
                <w:szCs w:val="24"/>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31.1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Certification of Principal Executive Officer pursuant to Exchange Act Rules 13a-14(a) and 15d-14(a).</w:t>
              </w:r>
            </w:hyperlink>
          </w:p>
        </w:tc>
        <w:tc>
          <w:tcPr>
            <w:tcW w:w="2120" w:type="dxa"/>
            <w:vAlign w:val="bottom"/>
            <w:gridSpan w:val="17"/>
          </w:tcPr>
          <w:p>
            <w:pPr>
              <w:spacing w:after="0"/>
              <w:rPr>
                <w:sz w:val="24"/>
                <w:szCs w:val="24"/>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31.2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0"/>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Certification of Principal Financial Officer pursuant to Exchange Act Rules 13a-14(a) and 15d-14(a).</w:t>
              </w:r>
            </w:hyperlink>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32.1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51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85">
              <w:r>
                <w:rPr>
                  <w:rFonts w:ascii="Arial" w:cs="Arial" w:eastAsia="Arial" w:hAnsi="Arial"/>
                  <w:sz w:val="18"/>
                  <w:szCs w:val="18"/>
                  <w:color w:val="0000FF"/>
                  <w:w w:val="92"/>
                </w:rPr>
                <w:t>Certification of Principal Executive Officer pursuant to 18 U.S.C. 1350.</w:t>
              </w:r>
            </w:hyperlink>
          </w:p>
        </w:tc>
        <w:tc>
          <w:tcPr>
            <w:tcW w:w="2100" w:type="dxa"/>
            <w:vAlign w:val="bottom"/>
            <w:tcBorders>
              <w:top w:val="single" w:sz="8" w:color="0000FF"/>
            </w:tcBorders>
            <w:gridSpan w:val="4"/>
          </w:tcPr>
          <w:p>
            <w:pPr>
              <w:spacing w:after="0"/>
              <w:rPr>
                <w:sz w:val="24"/>
                <w:szCs w:val="24"/>
                <w:color w:val="auto"/>
              </w:rPr>
            </w:pPr>
          </w:p>
        </w:tc>
        <w:tc>
          <w:tcPr>
            <w:tcW w:w="2180" w:type="dxa"/>
            <w:vAlign w:val="bottom"/>
            <w:gridSpan w:val="19"/>
          </w:tcPr>
          <w:p>
            <w:pPr>
              <w:spacing w:after="0"/>
              <w:rPr>
                <w:sz w:val="24"/>
                <w:szCs w:val="24"/>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32.2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0"/>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Certification of Principal Financial Officer pursuant to 18 U.S.C. 1350.</w:t>
              </w:r>
            </w:hyperlink>
          </w:p>
        </w:tc>
      </w:tr>
      <w:tr>
        <w:trPr>
          <w:trHeight w:val="561"/>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101.INS†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51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4340" w:type="dxa"/>
            <w:vAlign w:val="bottom"/>
            <w:gridSpan w:val="24"/>
          </w:tcPr>
          <w:p>
            <w:pPr>
              <w:spacing w:after="0"/>
              <w:rPr>
                <w:sz w:val="24"/>
                <w:szCs w:val="24"/>
                <w:color w:val="auto"/>
              </w:rPr>
            </w:pP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101.SCH†</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0"/>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101.DEF†</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0"/>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ectPr>
          <w:pgSz w:w="11900" w:h="16838" w:orient="portrait"/>
          <w:cols w:equalWidth="0" w:num="1">
            <w:col w:w="11340"/>
          </w:cols>
          <w:pgMar w:left="240" w:top="108" w:right="319" w:bottom="96" w:gutter="0" w:footer="0" w:header="0"/>
        </w:sect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40"/>
          </w:cols>
          <w:pgMar w:left="240" w:top="108" w:right="319" w:bottom="96"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tabs>
          <w:tab w:leader="none" w:pos="1280" w:val="left"/>
          <w:tab w:leader="none" w:pos="186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XBRL Taxonomy Extension Label Linkbase Document</w:t>
      </w:r>
    </w:p>
    <w:p>
      <w:pPr>
        <w:spacing w:after="0" w:line="333" w:lineRule="exact"/>
        <w:rPr>
          <w:sz w:val="20"/>
          <w:szCs w:val="20"/>
          <w:color w:val="auto"/>
        </w:rPr>
      </w:pPr>
    </w:p>
    <w:p>
      <w:pPr>
        <w:ind w:left="260"/>
        <w:spacing w:after="0"/>
        <w:tabs>
          <w:tab w:leader="none" w:pos="1280" w:val="left"/>
          <w:tab w:leader="none" w:pos="18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5044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117"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125"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GP HOLDINGS,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HOLDINGS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Chairman of the Board,</w:t>
            </w:r>
          </w:p>
        </w:tc>
      </w:tr>
      <w:tr>
        <w:trPr>
          <w:trHeight w:val="216"/>
        </w:trPr>
        <w:tc>
          <w:tcPr>
            <w:tcW w:w="64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Chief Executive Officer and Director of PAA GP Holdings LLC</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PAA GP</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Vice President—Accounting and Chief Accounting Officer of PAA</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GP Holdings LLC (Principal Accounting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AAP, L.P. CLASS B</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UNITS AGREEMENT</w:t>
      </w:r>
    </w:p>
    <w:p>
      <w:pPr>
        <w:spacing w:after="0" w:line="3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This Second Amendment to Plains AAP, L.P. Class B Restricted Units Agreement (this “Amendment”) is entered into effective as of the 22nd day of March, 2018 by and between Plains AAP, L.P., a Delaware limited partnership (the “Partnership”) and the undersigned individual (“Executive”).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328" w:lineRule="exact"/>
        <w:rPr>
          <w:sz w:val="20"/>
          <w:szCs w:val="20"/>
          <w:color w:val="auto"/>
        </w:rPr>
      </w:pPr>
    </w:p>
    <w:p>
      <w:pPr>
        <w:jc w:val="both"/>
        <w:ind w:firstLine="324"/>
        <w:spacing w:after="0" w:line="350"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Partnership and Executive have previously entered into that certain Plains AAP, L.P. Class B Restricted Unit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dated as of August 24, 2015 (such agreement being herein referred to as the “Class B Agreement”).</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Partnership and Executive have previously entered into that certain First Amendment to the Class B</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as of August 25, 2016 (the “First Amendment”).</w:t>
      </w:r>
    </w:p>
    <w:p>
      <w:pPr>
        <w:spacing w:after="0" w:line="2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and the Partnership desire to enter into this Amendment for the purpose of evidencing certain mutually</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 amendments to the Class B Agreement.</w:t>
      </w:r>
    </w:p>
    <w:p>
      <w:pPr>
        <w:spacing w:after="0" w:line="203"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agreements set forth herein and other good and valuable consideration,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receipt and sufficiency of which are hereby acknowledged, the Partnership and Executive hereby agree that Section 2.2(b) of the Class B Agreement, as amended by the First Amendment, is hereby deleted and replaced in its entirety as follows:</w:t>
      </w:r>
    </w:p>
    <w:p>
      <w:pPr>
        <w:spacing w:after="0" w:line="172" w:lineRule="exact"/>
        <w:rPr>
          <w:sz w:val="20"/>
          <w:szCs w:val="20"/>
          <w:color w:val="auto"/>
        </w:rPr>
      </w:pPr>
    </w:p>
    <w:p>
      <w:pPr>
        <w:ind w:left="960" w:hanging="304"/>
        <w:spacing w:after="0"/>
        <w:tabs>
          <w:tab w:leader="none" w:pos="960" w:val="left"/>
        </w:tabs>
        <w:numPr>
          <w:ilvl w:val="0"/>
          <w:numId w:val="49"/>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Earned Units. </w:t>
      </w:r>
      <w:r>
        <w:rPr>
          <w:rFonts w:ascii="Arial" w:cs="Arial" w:eastAsia="Arial" w:hAnsi="Arial"/>
          <w:sz w:val="19"/>
          <w:szCs w:val="19"/>
          <w:color w:val="auto"/>
        </w:rPr>
        <w:t>The Partnership and Executive acknowledge and agree that the Granted Units shall become Earned Units</w:t>
      </w:r>
    </w:p>
    <w:p>
      <w:pPr>
        <w:spacing w:after="0" w:line="56"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color w:val="auto"/>
        </w:rPr>
        <w:t>as follows:</w:t>
      </w:r>
    </w:p>
    <w:p>
      <w:pPr>
        <w:spacing w:after="0" w:line="201" w:lineRule="exact"/>
        <w:rPr>
          <w:rFonts w:ascii="Arial" w:cs="Arial" w:eastAsia="Arial" w:hAnsi="Arial"/>
          <w:sz w:val="19"/>
          <w:szCs w:val="19"/>
          <w:i w:val="1"/>
          <w:iCs w:val="1"/>
          <w:color w:val="auto"/>
        </w:rPr>
      </w:pPr>
    </w:p>
    <w:p>
      <w:pPr>
        <w:ind w:left="1620" w:right="20" w:hanging="315"/>
        <w:spacing w:after="0" w:line="263" w:lineRule="auto"/>
        <w:tabs>
          <w:tab w:leader="none" w:pos="16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50% will become Earned Units when the MLP generates distributable cash flow (“DCF”) per MLP Common Unit on a trailing four quarter basis equal to $1.90;</w:t>
      </w:r>
    </w:p>
    <w:p>
      <w:pPr>
        <w:spacing w:after="0" w:line="174" w:lineRule="exact"/>
        <w:rPr>
          <w:rFonts w:ascii="Arial" w:cs="Arial" w:eastAsia="Arial" w:hAnsi="Arial"/>
          <w:sz w:val="22"/>
          <w:szCs w:val="22"/>
          <w:color w:val="auto"/>
        </w:rPr>
      </w:pPr>
    </w:p>
    <w:p>
      <w:pPr>
        <w:ind w:left="1620" w:right="20" w:hanging="315"/>
        <w:spacing w:after="0" w:line="263" w:lineRule="auto"/>
        <w:tabs>
          <w:tab w:leader="none" w:pos="16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DCF per MLP Common Unit on a trailing four quarter basis equal to $2.10; and</w:t>
      </w:r>
    </w:p>
    <w:p>
      <w:pPr>
        <w:spacing w:after="0" w:line="174" w:lineRule="exact"/>
        <w:rPr>
          <w:rFonts w:ascii="Arial" w:cs="Arial" w:eastAsia="Arial" w:hAnsi="Arial"/>
          <w:sz w:val="22"/>
          <w:szCs w:val="22"/>
          <w:color w:val="auto"/>
        </w:rPr>
      </w:pPr>
    </w:p>
    <w:p>
      <w:pPr>
        <w:ind w:left="1620" w:right="20" w:hanging="315"/>
        <w:spacing w:after="0" w:line="263" w:lineRule="auto"/>
        <w:tabs>
          <w:tab w:leader="none" w:pos="16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DCF per MLP Common Unit on a trailing four quarter basis equal to $2.30.</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For each of the above performance thresholds, the referenced DCF level will be subject to adjustment as determined by the Chief Executive Officer of the Company in his sole discretion to account for significant asset sales (and if at such time the Executive is the Chief Executive Officer of the Company, the determination as to whether there shall be any such adjustment shall be made by the Board in its sole discretion). Once a Granted Unit has become an Earned Unit pursuant to this Agreement, the Earned Unit shall remain an Earned Unit thereafter until it either becomes a Vested Unit or is purchased by the Partnership pursuant to the exercise of its Call Option.</w:t>
      </w:r>
    </w:p>
    <w:p>
      <w:pPr>
        <w:sectPr>
          <w:pgSz w:w="11900" w:h="16838" w:orient="portrait"/>
          <w:cols w:equalWidth="0" w:num="1">
            <w:col w:w="11420"/>
          </w:cols>
          <w:pgMar w:left="240" w:top="126" w:right="239" w:bottom="1440" w:gutter="0" w:footer="0" w:header="0"/>
        </w:sectPr>
      </w:pPr>
    </w:p>
    <w:bookmarkStart w:id="61" w:name="page62"/>
    <w:bookmarkEnd w:id="61"/>
    <w:p>
      <w:pPr>
        <w:jc w:val="both"/>
        <w:ind w:firstLine="648"/>
        <w:spacing w:after="0" w:line="253" w:lineRule="auto"/>
        <w:rPr>
          <w:sz w:val="20"/>
          <w:szCs w:val="20"/>
          <w:color w:val="auto"/>
        </w:rPr>
      </w:pPr>
      <w:r>
        <w:rPr>
          <w:rFonts w:ascii="Arial" w:cs="Arial" w:eastAsia="Arial" w:hAnsi="Arial"/>
          <w:sz w:val="22"/>
          <w:szCs w:val="22"/>
          <w:color w:val="auto"/>
        </w:rPr>
        <w:t>Except as amended by this Amendment and the First Amendment, the Class B Agreement shall remain in full force and effect according to its terms. Any capitalized term used herein but not defined shall have the meaning given such term in the Class B Agreement.</w:t>
      </w:r>
    </w:p>
    <w:p>
      <w:pPr>
        <w:spacing w:after="0" w:line="2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[Signature page follows]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62" w:name="page63"/>
    <w:bookmarkEnd w:id="62"/>
    <w:p>
      <w:pPr>
        <w:jc w:val="center"/>
        <w:ind w:right="-1200"/>
        <w:spacing w:after="0"/>
        <w:rPr>
          <w:sz w:val="20"/>
          <w:szCs w:val="20"/>
          <w:color w:val="auto"/>
        </w:rPr>
      </w:pPr>
      <w:r>
        <w:rPr>
          <w:rFonts w:ascii="Arial" w:cs="Arial" w:eastAsia="Arial" w:hAnsi="Arial"/>
          <w:sz w:val="22"/>
          <w:szCs w:val="22"/>
          <w:b w:val="1"/>
          <w:bCs w:val="1"/>
          <w:color w:val="auto"/>
        </w:rPr>
        <w:t>Signature Page to</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SECOND AMENDMENT TO</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PLAINS AAP, L.P. CLASS B</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RESTRICTED UNITS AGREEMENT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PARTNERSHIP: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Plains AAP, L.P.</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 Plains All American GP, LLC</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Richard McGee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Title: Executive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Willie Chiang</w:t>
      </w:r>
    </w:p>
    <w:p>
      <w:pPr>
        <w:sectPr>
          <w:pgSz w:w="11900" w:h="16838" w:orient="portrait"/>
          <w:cols w:equalWidth="0" w:num="1">
            <w:col w:w="10219"/>
          </w:cols>
          <w:pgMar w:left="240" w:top="895"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PLAINS AAP, L.P. CLASS B</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UNITS AGREEMENT</w:t>
      </w:r>
    </w:p>
    <w:p>
      <w:pPr>
        <w:spacing w:after="0" w:line="334"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22"/>
          <w:szCs w:val="22"/>
          <w:color w:val="auto"/>
        </w:rPr>
        <w:t>This First Amendment to Amended and Restated Plains AAP, L.P. Class B Restricted Units Agreement (this “Amendment”) is entered into effective as of the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March, 2018 by and between Plains AAP, L.P., a Delaware limited partnership (the “Partnership”) and the undersigned individual (“Executive”).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3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Partnership and Executive have previously entered into that certain Amended and Restated Plains AAP, L.P.</w:t>
      </w:r>
      <w:r>
        <w:rPr>
          <w:rFonts w:ascii="Arial" w:cs="Arial" w:eastAsia="Arial" w:hAnsi="Arial"/>
          <w:sz w:val="22"/>
          <w:szCs w:val="22"/>
          <w:b w:val="1"/>
          <w:bCs w:val="1"/>
          <w:color w:val="auto"/>
        </w:rPr>
        <w:t xml:space="preserve"> </w:t>
      </w:r>
      <w:r>
        <w:rPr>
          <w:rFonts w:ascii="Arial" w:cs="Arial" w:eastAsia="Arial" w:hAnsi="Arial"/>
          <w:sz w:val="22"/>
          <w:szCs w:val="22"/>
          <w:color w:val="auto"/>
        </w:rPr>
        <w:t>Class B Restricted Unit Agreement dated as of August 25, 2016 (such agreement being herein referred to as the “Class B Agreement”).</w:t>
      </w:r>
    </w:p>
    <w:p>
      <w:pPr>
        <w:spacing w:after="0" w:line="2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and the Partnership desire to enter into this Amendment for the purpose of evidencing certain mutually</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 amendments to the Class B Agreement.</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agreements set forth herein and other good and valuable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receipt and sufficiency of which are hereby acknowledged, the Partnership and Executive hereby agree that Section 2.2(b) of the Class B Agreement is hereby deleted and replaced in its entirety as follows:</w:t>
      </w:r>
    </w:p>
    <w:p>
      <w:pPr>
        <w:spacing w:after="0" w:line="223" w:lineRule="exact"/>
        <w:rPr>
          <w:sz w:val="20"/>
          <w:szCs w:val="20"/>
          <w:color w:val="auto"/>
        </w:rPr>
      </w:pPr>
    </w:p>
    <w:p>
      <w:pPr>
        <w:ind w:left="960" w:hanging="304"/>
        <w:spacing w:after="0"/>
        <w:tabs>
          <w:tab w:leader="none" w:pos="960" w:val="left"/>
        </w:tabs>
        <w:numPr>
          <w:ilvl w:val="0"/>
          <w:numId w:val="5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Earned Units. </w:t>
      </w:r>
      <w:r>
        <w:rPr>
          <w:rFonts w:ascii="Arial" w:cs="Arial" w:eastAsia="Arial" w:hAnsi="Arial"/>
          <w:sz w:val="19"/>
          <w:szCs w:val="19"/>
          <w:color w:val="auto"/>
        </w:rPr>
        <w:t>The Partnership and Executive acknowledge and agree that the Granted Units shall become Earned Units</w:t>
      </w:r>
    </w:p>
    <w:p>
      <w:pPr>
        <w:spacing w:after="0" w:line="56"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color w:val="auto"/>
        </w:rPr>
        <w:t>as follows:</w:t>
      </w:r>
    </w:p>
    <w:p>
      <w:pPr>
        <w:spacing w:after="0" w:line="201" w:lineRule="exact"/>
        <w:rPr>
          <w:rFonts w:ascii="Arial" w:cs="Arial" w:eastAsia="Arial" w:hAnsi="Arial"/>
          <w:sz w:val="19"/>
          <w:szCs w:val="19"/>
          <w:i w:val="1"/>
          <w:iCs w:val="1"/>
          <w:color w:val="auto"/>
        </w:rPr>
      </w:pPr>
    </w:p>
    <w:p>
      <w:pPr>
        <w:ind w:left="1620" w:right="20" w:hanging="315"/>
        <w:spacing w:after="0" w:line="263" w:lineRule="auto"/>
        <w:tabs>
          <w:tab w:leader="none" w:pos="16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distributable cash flow (“DCF”) per MLP Common Unit on a trailing four quarter basis equal to $1.90;</w:t>
      </w:r>
    </w:p>
    <w:p>
      <w:pPr>
        <w:spacing w:after="0" w:line="174" w:lineRule="exact"/>
        <w:rPr>
          <w:rFonts w:ascii="Arial" w:cs="Arial" w:eastAsia="Arial" w:hAnsi="Arial"/>
          <w:sz w:val="22"/>
          <w:szCs w:val="22"/>
          <w:color w:val="auto"/>
        </w:rPr>
      </w:pPr>
    </w:p>
    <w:p>
      <w:pPr>
        <w:ind w:left="1620" w:right="20" w:hanging="315"/>
        <w:spacing w:after="0" w:line="263" w:lineRule="auto"/>
        <w:tabs>
          <w:tab w:leader="none" w:pos="16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DCF per MLP Common Unit on a trailing four quarter basis equal to $2.10;</w:t>
      </w:r>
    </w:p>
    <w:p>
      <w:pPr>
        <w:spacing w:after="0" w:line="174" w:lineRule="exact"/>
        <w:rPr>
          <w:rFonts w:ascii="Arial" w:cs="Arial" w:eastAsia="Arial" w:hAnsi="Arial"/>
          <w:sz w:val="22"/>
          <w:szCs w:val="22"/>
          <w:color w:val="auto"/>
        </w:rPr>
      </w:pPr>
    </w:p>
    <w:p>
      <w:pPr>
        <w:ind w:left="1620" w:right="20" w:hanging="315"/>
        <w:spacing w:after="0" w:line="263" w:lineRule="auto"/>
        <w:tabs>
          <w:tab w:leader="none" w:pos="16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DCF per MLP Common Unit on a trailing four quarter basis equal to $2.30; and</w:t>
      </w:r>
    </w:p>
    <w:p>
      <w:pPr>
        <w:spacing w:after="0" w:line="174" w:lineRule="exact"/>
        <w:rPr>
          <w:rFonts w:ascii="Arial" w:cs="Arial" w:eastAsia="Arial" w:hAnsi="Arial"/>
          <w:sz w:val="22"/>
          <w:szCs w:val="22"/>
          <w:color w:val="auto"/>
        </w:rPr>
      </w:pPr>
    </w:p>
    <w:p>
      <w:pPr>
        <w:ind w:left="1620" w:right="20" w:hanging="315"/>
        <w:spacing w:after="0" w:line="263" w:lineRule="auto"/>
        <w:tabs>
          <w:tab w:leader="none" w:pos="16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DCF per MLP Common Unit on a trailing four quarter basis equal to $2.50.</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For each of the above performance thresholds, the referenced DCF level will be subject to adjustment as determined by the Chief Executive Officer of the Company in his sole discretion to account for significant asset sales. Once a Granted Unit has become an Earned Unit pursuant to this Agreement, the Earned Unit shall remain an Earned Unit thereafter until it either becomes a Vested Unit or is purchased by the Partnership pursuant to the exercise of its Call Option.</w:t>
      </w:r>
    </w:p>
    <w:p>
      <w:pPr>
        <w:sectPr>
          <w:pgSz w:w="11900" w:h="16838" w:orient="portrait"/>
          <w:cols w:equalWidth="0" w:num="1">
            <w:col w:w="11420"/>
          </w:cols>
          <w:pgMar w:left="240" w:top="126"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9"/>
          <w:szCs w:val="19"/>
          <w:color w:val="auto"/>
        </w:rPr>
        <w:t>Except as amended by this Amendment, the Class B Agreement shall remain in full force and effect according to its terms.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Any capitalized term used herein but not defined shall have the meaning given such term in the Class B Agreement.</w:t>
      </w:r>
    </w:p>
    <w:p>
      <w:pPr>
        <w:spacing w:after="0" w:line="24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[Signature page follows]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75" w:right="259" w:bottom="1440" w:gutter="0" w:footer="0" w:header="0"/>
        </w:sectPr>
      </w:pPr>
    </w:p>
    <w:bookmarkStart w:id="65" w:name="page66"/>
    <w:bookmarkEnd w:id="65"/>
    <w:p>
      <w:pPr>
        <w:jc w:val="center"/>
        <w:ind w:right="-1200"/>
        <w:spacing w:after="0"/>
        <w:rPr>
          <w:sz w:val="20"/>
          <w:szCs w:val="20"/>
          <w:color w:val="auto"/>
        </w:rPr>
      </w:pPr>
      <w:r>
        <w:rPr>
          <w:rFonts w:ascii="Arial" w:cs="Arial" w:eastAsia="Arial" w:hAnsi="Arial"/>
          <w:sz w:val="22"/>
          <w:szCs w:val="22"/>
          <w:b w:val="1"/>
          <w:bCs w:val="1"/>
          <w:color w:val="auto"/>
        </w:rPr>
        <w:t>Signature Page to</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FIRST AMENDMENT TO</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AMENDED AND RESTATED PLAINS AAP, L.P. CLASS B</w:t>
      </w:r>
    </w:p>
    <w:p>
      <w:pPr>
        <w:spacing w:after="0" w:line="5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RESTRICTED UNITS AGREEMENT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PARTNERSHIP: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Plains AAP, L.P.</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 Plains All American GP, LLC</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Richard McGee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Title: Executive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10219"/>
          </w:cols>
          <w:pgMar w:left="240" w:top="895"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11430</wp:posOffset>
            </wp:positionV>
            <wp:extent cx="1998345" cy="591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19983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24, 2015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on August 25, 2016 and March 22, 2018)</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WCW (Willie) Chiang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1420"/>
        <w:spacing w:after="0"/>
        <w:tabs>
          <w:tab w:leader="none" w:pos="1920" w:val="left"/>
        </w:tabs>
        <w:rPr>
          <w:sz w:val="20"/>
          <w:szCs w:val="20"/>
          <w:color w:val="auto"/>
        </w:rPr>
      </w:pPr>
      <w:r>
        <w:rPr>
          <w:rFonts w:ascii="Arial" w:cs="Arial" w:eastAsia="Arial" w:hAnsi="Arial"/>
          <w:sz w:val="22"/>
          <w:szCs w:val="22"/>
          <w:b w:val="1"/>
          <w:bCs w:val="1"/>
          <w:i w:val="1"/>
          <w:iCs w:val="1"/>
          <w:color w:val="auto"/>
        </w:rPr>
        <w:t>Re:</w:t>
      </w:r>
      <w:r>
        <w:rPr>
          <w:sz w:val="20"/>
          <w:szCs w:val="20"/>
          <w:color w:val="auto"/>
        </w:rPr>
        <w:tab/>
      </w:r>
      <w:r>
        <w:rPr>
          <w:rFonts w:ascii="Arial" w:cs="Arial" w:eastAsia="Arial" w:hAnsi="Arial"/>
          <w:sz w:val="19"/>
          <w:szCs w:val="19"/>
          <w:b w:val="1"/>
          <w:bCs w:val="1"/>
          <w:i w:val="1"/>
          <w:iCs w:val="1"/>
          <w:color w:val="auto"/>
        </w:rPr>
        <w:t>Grant of Phantom Units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Willie:</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120,000 Phantom Units as of the above date pursuant to the Company’s PNG Successor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188" w:lineRule="exact"/>
        <w:rPr>
          <w:sz w:val="20"/>
          <w:szCs w:val="20"/>
          <w:color w:val="auto"/>
        </w:rPr>
      </w:pPr>
    </w:p>
    <w:p>
      <w:pPr>
        <w:jc w:val="both"/>
        <w:ind w:left="660" w:hanging="328"/>
        <w:spacing w:after="0" w:line="258" w:lineRule="auto"/>
        <w:tabs>
          <w:tab w:leader="none" w:pos="6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Phantom Units shall vest (become payable in the form of one Common Unit of PAA for each Phantom Unit) as follows: (i) forty percent (40%) shall vest upon the later to occur of the August 2018 Distribution Date and the date on which the Partnership generates distributable cash flow (“DCF”) per common unit on a trailing four quarter basis of at least $2.30; (ii) thirty percent (30%) shall vest upon the later to occur of the August 2019 Distribution Date and the date on which the Partnership generates DCF per common unit on a trailing four quarter basis of at least $2.40 and (iii) thirty percent (30%) shall vest upon the later to occur of the August 2020 Distribution Date and the date on which the Partnership generates DCF per common unit on a trailing four quarter basis of at least $2.50. Any remaining Phantom Units that are not vested by the August 2021 Distribution Date, and any tandem DERs associated with such Phantom Units, shall expire on such date. The DCF per common unit amounts referenced in this paragraph are subject to adjustment in the reasonable discretion of the CEO to account for significant asset sales (and if at such time you are the CEO of the Company, the determination as to whether there shall be any adjustment shall be made by the Board in its sole discretion).</w:t>
      </w:r>
    </w:p>
    <w:p>
      <w:pPr>
        <w:spacing w:after="0" w:line="220" w:lineRule="exact"/>
        <w:rPr>
          <w:rFonts w:ascii="Arial" w:cs="Arial" w:eastAsia="Arial" w:hAnsi="Arial"/>
          <w:sz w:val="21"/>
          <w:szCs w:val="21"/>
          <w:color w:val="auto"/>
        </w:rPr>
      </w:pPr>
    </w:p>
    <w:p>
      <w:pPr>
        <w:ind w:left="660" w:hanging="328"/>
        <w:spacing w:after="0" w:line="263"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 following the date hereof.</w:t>
      </w:r>
    </w:p>
    <w:p>
      <w:pPr>
        <w:spacing w:after="0" w:line="215"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number of Phantom Units subject to this award and any distribution level required for vesting under paragraph 1 above shall be proportionately reduced or increased for any split or reverse split, as applicable, of the Units, or any event or transaction having similar effect.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6" w:right="239" w:bottom="1440" w:gutter="0" w:footer="0" w:header="0"/>
        </w:sectPr>
      </w:pPr>
    </w:p>
    <w:bookmarkStart w:id="67" w:name="page68"/>
    <w:bookmarkEnd w:id="67"/>
    <w:p>
      <w:pPr>
        <w:ind w:left="660" w:hanging="328"/>
        <w:spacing w:after="0" w:line="263"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shall be payable on such Distribution Date prior to their expiration.</w:t>
      </w:r>
    </w:p>
    <w:p>
      <w:pPr>
        <w:spacing w:after="0" w:line="215" w:lineRule="exact"/>
        <w:rPr>
          <w:rFonts w:ascii="Arial" w:cs="Arial" w:eastAsia="Arial" w:hAnsi="Arial"/>
          <w:sz w:val="22"/>
          <w:szCs w:val="22"/>
          <w:color w:val="auto"/>
        </w:rPr>
      </w:pPr>
    </w:p>
    <w:p>
      <w:pPr>
        <w:jc w:val="both"/>
        <w:ind w:left="660" w:hanging="328"/>
        <w:spacing w:after="0" w:line="284" w:lineRule="auto"/>
        <w:tabs>
          <w:tab w:leader="none" w:pos="6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Except to the extent modified by either your Employment Letter with the Company dated effective as of July 10, 2015 (the “Employment Letter”) or paragraphs 6 and 7 below, in the event of the termination of your employment with the Company and its Affiliates, all of your then outstanding DERs and Phantom Units shall automatically be forfeited as of the date of termination; provided, however, that if the Company or its Affiliates terminate your employment other than as a result of a Termination for Cause: (i) any unvested Phantom Units that have satisfied all vesting criteria as of the date of termination but for the passage of time shall be deemed nonforfeitable on the date of termination, and shall vest on the next following Distribution Date; (ii) any DERs associated with the unvested, nonforfeitable Phantom Units described in clause (i) shall not be forfeited on the date of termination, but shall be payable and shall expire in accordance with paragraph 4 above; and</w:t>
      </w:r>
    </w:p>
    <w:p>
      <w:pPr>
        <w:spacing w:after="0" w:line="2" w:lineRule="exact"/>
        <w:rPr>
          <w:rFonts w:ascii="Arial" w:cs="Arial" w:eastAsia="Arial" w:hAnsi="Arial"/>
          <w:sz w:val="19"/>
          <w:szCs w:val="19"/>
          <w:color w:val="auto"/>
        </w:rPr>
      </w:pPr>
    </w:p>
    <w:p>
      <w:pPr>
        <w:ind w:left="660" w:hanging="4"/>
        <w:spacing w:after="0" w:line="323" w:lineRule="auto"/>
        <w:tabs>
          <w:tab w:leader="none" w:pos="1071" w:val="left"/>
        </w:tabs>
        <w:numPr>
          <w:ilvl w:val="1"/>
          <w:numId w:val="52"/>
        </w:numPr>
        <w:rPr>
          <w:rFonts w:ascii="Arial" w:cs="Arial" w:eastAsia="Arial" w:hAnsi="Arial"/>
          <w:sz w:val="19"/>
          <w:szCs w:val="19"/>
          <w:color w:val="auto"/>
        </w:rPr>
      </w:pPr>
      <w:r>
        <w:rPr>
          <w:rFonts w:ascii="Arial" w:cs="Arial" w:eastAsia="Arial" w:hAnsi="Arial"/>
          <w:sz w:val="19"/>
          <w:szCs w:val="19"/>
          <w:color w:val="auto"/>
        </w:rPr>
        <w:t>any unvested Phantom Units that have satisfied none of the vesting criteria as of the date of termination, and any tandem DERs associated with such Phantom Units, shall automatically be forfeited as of the date of termination.</w:t>
      </w:r>
    </w:p>
    <w:p>
      <w:pPr>
        <w:spacing w:after="0" w:line="163" w:lineRule="exact"/>
        <w:rPr>
          <w:rFonts w:ascii="Arial" w:cs="Arial" w:eastAsia="Arial" w:hAnsi="Arial"/>
          <w:sz w:val="19"/>
          <w:szCs w:val="19"/>
          <w:color w:val="auto"/>
        </w:rPr>
      </w:pPr>
    </w:p>
    <w:p>
      <w:pPr>
        <w:jc w:val="both"/>
        <w:ind w:left="660" w:hanging="328"/>
        <w:spacing w:after="0" w:line="258" w:lineRule="auto"/>
        <w:tabs>
          <w:tab w:leader="none" w:pos="6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your then outstanding Phantom Units and tandem DERs shall not be forfeited on such date, and (i) such DERs shall expire in accordance with paragraph 1 or paragraph 4 above, as applicable, and (ii) such Phantom Units shall vest or expire in accordance with paragraph 1 above; provided, however, that such vesting of Phantom Units shall occur either (x) on the date the Partnership pays the quarterly distribution specified in clause (i), (ii) or (iii) of paragraph 1 (and in the proportion indicated therein) without regard to any requirement for further passage of time or (y) if the relevant quarterly distribution has been paid prior to the date of termination,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23" w:lineRule="exact"/>
        <w:rPr>
          <w:rFonts w:ascii="Arial" w:cs="Arial" w:eastAsia="Arial" w:hAnsi="Arial"/>
          <w:sz w:val="21"/>
          <w:szCs w:val="21"/>
          <w:color w:val="auto"/>
        </w:rPr>
      </w:pPr>
    </w:p>
    <w:p>
      <w:pPr>
        <w:ind w:left="660" w:hanging="328"/>
        <w:spacing w:after="0" w:line="287" w:lineRule="auto"/>
        <w:tabs>
          <w:tab w:leader="none" w:pos="6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In the event of a Change in Status, all of your then outstanding Phantom Units and tandem DERs shall be deemed 100% nonforfeitable on such date, and such Phantom Units shall vest in full upon the next Distribution Date.</w:t>
      </w:r>
    </w:p>
    <w:p>
      <w:pPr>
        <w:spacing w:after="0" w:line="192" w:lineRule="exact"/>
        <w:rPr>
          <w:rFonts w:ascii="Arial" w:cs="Arial" w:eastAsia="Arial" w:hAnsi="Arial"/>
          <w:sz w:val="21"/>
          <w:szCs w:val="21"/>
          <w:color w:val="auto"/>
        </w:rPr>
      </w:pPr>
    </w:p>
    <w:p>
      <w:pPr>
        <w:jc w:val="both"/>
        <w:ind w:left="660" w:hanging="328"/>
        <w:spacing w:after="0" w:line="250"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Upon payment pursuant to a DER, you agree that the Company may withhold any taxes due from your compensation as required by law. Upon vesting of a Phantom Unit, you agree that the Company may withhold any taxes due from your compensation as required by law, which (in the sole discretion of the Company) may include withholding a number of Common Units otherwise payable to you.</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ectPr>
          <w:pgSz w:w="11900" w:h="16838" w:orient="portrait"/>
          <w:cols w:equalWidth="0" w:num="1">
            <w:col w:w="11420"/>
          </w:cols>
          <w:pgMar w:left="240" w:top="888" w:right="239" w:bottom="1440" w:gutter="0" w:footer="0" w:header="0"/>
        </w:sectPr>
      </w:pPr>
    </w:p>
    <w:bookmarkStart w:id="68" w:name="page69"/>
    <w:bookmarkEnd w:id="68"/>
    <w:p>
      <w:pPr>
        <w:jc w:val="both"/>
        <w:spacing w:after="0" w:line="253" w:lineRule="auto"/>
        <w:rPr>
          <w:sz w:val="20"/>
          <w:szCs w:val="20"/>
          <w:color w:val="auto"/>
        </w:rPr>
      </w:pPr>
      <w:r>
        <w:rPr>
          <w:rFonts w:ascii="Arial" w:cs="Arial" w:eastAsia="Arial" w:hAnsi="Arial"/>
          <w:sz w:val="22"/>
          <w:szCs w:val="22"/>
          <w:color w:val="auto"/>
        </w:rPr>
        <w:t>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(taking into account additional authority, responsibilities or duties associated with the initial transition of responsibilities to you, the overall growth of the Partnership or a promotion or lateral transfer accepted by you), or (ii) any other action or inaction that constitutes a material breach of this Agreement by the Company. A termination by you shall not be a Change in Status unless (1) you provide written notice to the Company of the condition in (B)</w:t>
      </w:r>
    </w:p>
    <w:p>
      <w:pPr>
        <w:spacing w:after="0" w:line="4" w:lineRule="exact"/>
        <w:rPr>
          <w:sz w:val="20"/>
          <w:szCs w:val="20"/>
          <w:color w:val="auto"/>
        </w:rPr>
      </w:pPr>
    </w:p>
    <w:p>
      <w:pPr>
        <w:jc w:val="both"/>
        <w:ind w:firstLine="8"/>
        <w:spacing w:after="0" w:line="245" w:lineRule="auto"/>
        <w:tabs>
          <w:tab w:leader="none" w:pos="265" w:val="left"/>
        </w:tabs>
        <w:numPr>
          <w:ilvl w:val="0"/>
          <w:numId w:val="53"/>
        </w:numPr>
        <w:rPr>
          <w:rFonts w:ascii="Arial" w:cs="Arial" w:eastAsia="Arial" w:hAnsi="Arial"/>
          <w:sz w:val="22"/>
          <w:szCs w:val="22"/>
          <w:color w:val="auto"/>
        </w:rPr>
      </w:pPr>
      <w:r>
        <w:rPr>
          <w:rFonts w:ascii="Arial" w:cs="Arial" w:eastAsia="Arial" w:hAnsi="Arial"/>
          <w:sz w:val="22"/>
          <w:szCs w:val="22"/>
          <w:color w:val="auto"/>
        </w:rPr>
        <w:t>or (ii) that would constitute a Change in Status within 90 days of the initial existence of the condition, (2) the Company fails to remedy the condition within the 30-day period following such notice and (3) you terminate your employment within 10 days following the end of such 30-day period.</w:t>
      </w:r>
    </w:p>
    <w:p>
      <w:pPr>
        <w:spacing w:after="0" w:line="23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or its wholly owned subsidiaries),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 affiliates, Mark Strome and his affiliates, Windy, LLC and its affiliates, PAA Management, L.P. and its affiliates, PAGP and its affiliates, Jay Chernosky, Kipp PAA Trust, Paul Riddle, Russell Clingman, David Humphreys and Philip Trinder.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5</w:t>
      </w:r>
    </w:p>
    <w:p>
      <w:pPr>
        <w:sectPr>
          <w:pgSz w:w="11900" w:h="16838" w:orient="portrait"/>
          <w:cols w:equalWidth="0" w:num="1">
            <w:col w:w="11420"/>
          </w:cols>
          <w:pgMar w:left="240" w:top="888" w:right="239" w:bottom="1440" w:gutter="0" w:footer="0" w:header="0"/>
        </w:sectPr>
      </w:pPr>
    </w:p>
    <w:bookmarkStart w:id="69" w:name="page70"/>
    <w:bookmarkEnd w:id="69"/>
    <w:p>
      <w:pPr>
        <w:jc w:val="both"/>
        <w:ind w:firstLine="648"/>
        <w:spacing w:after="0" w:line="289"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substantial failure to perform the duties and responsibilities of your position at an acceptable level as reasonably determined in good faith by the CEO and President-COO of the Company (or if you are the CEO of the Company, by vote of the Board of Directors of the Company excluding you if you are a member thereof) and after written notice specifying such failure in detail and after a reasonable period under the circumstances (determined by the CEO of the Company, or alternatively the Board of Directors, in good faith) such failure has continued without full correction by you, (ii) conviction of or guilty plea to the committing of an act or acts constituting a felony under the laws of the United States or any state thereof or any misdemeanor involving moral turpitude, or (iii) violation of the Company’s Code of Business Conduct (unless waived in accordance with the terms thereof), in each case with the specific failure or violation described to you in writing.</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Fourth Amended and Restated Agreement of Limited Partnership of Plains All American Pipeline, L.P., as amended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By signing below, you agree that the Phantom Units and DERs granted hereunder are governed by the terms of the Plan. Copies of the Plan and the Partnership Agreement are available upon request. In the event any provisions of this award conflict with provisions in the Employment Letter, the Employment Letter shall control.</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5</w:t>
      </w:r>
    </w:p>
    <w:p>
      <w:pPr>
        <w:sectPr>
          <w:pgSz w:w="11900" w:h="16838" w:orient="portrait"/>
          <w:cols w:equalWidth="0" w:num="1">
            <w:col w:w="11420"/>
          </w:cols>
          <w:pgMar w:left="240" w:top="1144"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22"/>
          <w:szCs w:val="22"/>
          <w:color w:val="auto"/>
        </w:rPr>
        <w:t>Please execute and return a copy of this grant letter to me and retain a copy for your records.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AAP, L.P.</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ALL AMERICAN GP LLC</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K.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383" w:lineRule="exact"/>
        <w:rPr>
          <w:sz w:val="20"/>
          <w:szCs w:val="20"/>
          <w:color w:val="auto"/>
        </w:rPr>
      </w:pPr>
    </w:p>
    <w:tbl>
      <w:tblPr>
        <w:tblLayout w:type="fixed"/>
        <w:tblInd w:w="210" w:type="dxa"/>
        <w:tblCellMar>
          <w:top w:w="0" w:type="dxa"/>
          <w:left w:w="0" w:type="dxa"/>
          <w:bottom w:w="0" w:type="dxa"/>
          <w:right w:w="0" w:type="dxa"/>
        </w:tblCellMar>
      </w:tblPr>
      <w:tr>
        <w:trPr>
          <w:trHeight w:val="304"/>
        </w:trPr>
        <w:tc>
          <w:tcPr>
            <w:tcW w:w="540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6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400" w:type="dxa"/>
            <w:vAlign w:val="bottom"/>
            <w:tcBorders>
              <w:left w:val="single" w:sz="8" w:color="00000A"/>
              <w:bottom w:val="single" w:sz="8" w:color="00000A"/>
              <w:right w:val="single" w:sz="8" w:color="00000A"/>
            </w:tcBorders>
          </w:tcPr>
          <w:p>
            <w:pPr>
              <w:spacing w:after="0"/>
              <w:rPr>
                <w:sz w:val="24"/>
                <w:szCs w:val="24"/>
                <w:color w:val="auto"/>
              </w:rPr>
            </w:pPr>
          </w:p>
        </w:tc>
        <w:tc>
          <w:tcPr>
            <w:tcW w:w="2260" w:type="dxa"/>
            <w:vAlign w:val="bottom"/>
            <w:tcBorders>
              <w:bottom w:val="single" w:sz="8" w:color="00000A"/>
              <w:right w:val="single" w:sz="8" w:color="00000A"/>
            </w:tcBorders>
          </w:tcPr>
          <w:p>
            <w:pPr>
              <w:spacing w:after="0"/>
              <w:rPr>
                <w:sz w:val="24"/>
                <w:szCs w:val="24"/>
                <w:color w:val="auto"/>
              </w:rPr>
            </w:pPr>
          </w:p>
        </w:tc>
        <w:tc>
          <w:tcPr>
            <w:tcW w:w="3580" w:type="dxa"/>
            <w:vAlign w:val="bottom"/>
            <w:tcBorders>
              <w:bottom w:val="single" w:sz="8" w:color="00000A"/>
              <w:right w:val="single" w:sz="8" w:color="00000A"/>
            </w:tcBorders>
          </w:tcPr>
          <w:p>
            <w:pPr>
              <w:spacing w:after="0"/>
              <w:rPr>
                <w:sz w:val="24"/>
                <w:szCs w:val="24"/>
                <w:color w:val="auto"/>
              </w:rPr>
            </w:pPr>
          </w:p>
        </w:tc>
      </w:tr>
      <w:tr>
        <w:trPr>
          <w:trHeight w:val="277"/>
        </w:trPr>
        <w:tc>
          <w:tcPr>
            <w:tcW w:w="5400" w:type="dxa"/>
            <w:vAlign w:val="bottom"/>
            <w:tcBorders>
              <w:left w:val="single" w:sz="8" w:color="00000A"/>
              <w:bottom w:val="single" w:sz="8" w:color="auto"/>
              <w:right w:val="single" w:sz="8" w:color="00000A"/>
            </w:tcBorders>
          </w:tcPr>
          <w:p>
            <w:pPr>
              <w:spacing w:after="0"/>
              <w:rPr>
                <w:sz w:val="24"/>
                <w:szCs w:val="24"/>
                <w:color w:val="auto"/>
              </w:rPr>
            </w:pPr>
          </w:p>
        </w:tc>
        <w:tc>
          <w:tcPr>
            <w:tcW w:w="2260" w:type="dxa"/>
            <w:vAlign w:val="bottom"/>
            <w:tcBorders>
              <w:bottom w:val="single" w:sz="8" w:color="auto"/>
              <w:right w:val="single" w:sz="8" w:color="00000A"/>
            </w:tcBorders>
          </w:tcPr>
          <w:p>
            <w:pPr>
              <w:spacing w:after="0"/>
              <w:rPr>
                <w:sz w:val="24"/>
                <w:szCs w:val="24"/>
                <w:color w:val="auto"/>
              </w:rPr>
            </w:pPr>
          </w:p>
        </w:tc>
        <w:tc>
          <w:tcPr>
            <w:tcW w:w="3580" w:type="dxa"/>
            <w:vAlign w:val="bottom"/>
            <w:tcBorders>
              <w:bottom w:val="single" w:sz="8" w:color="auto"/>
              <w:right w:val="single" w:sz="8" w:color="00000A"/>
            </w:tcBorders>
          </w:tcPr>
          <w:p>
            <w:pPr>
              <w:spacing w:after="0"/>
              <w:rPr>
                <w:sz w:val="24"/>
                <w:szCs w:val="24"/>
                <w:color w:val="auto"/>
              </w:rPr>
            </w:pPr>
          </w:p>
        </w:tc>
      </w:tr>
      <w:tr>
        <w:trPr>
          <w:trHeight w:val="277"/>
        </w:trPr>
        <w:tc>
          <w:tcPr>
            <w:tcW w:w="5400" w:type="dxa"/>
            <w:vAlign w:val="bottom"/>
            <w:tcBorders>
              <w:left w:val="single" w:sz="8" w:color="00000A"/>
              <w:bottom w:val="single" w:sz="8" w:color="auto"/>
              <w:right w:val="single" w:sz="8" w:color="00000A"/>
            </w:tcBorders>
          </w:tcPr>
          <w:p>
            <w:pPr>
              <w:spacing w:after="0"/>
              <w:rPr>
                <w:sz w:val="24"/>
                <w:szCs w:val="24"/>
                <w:color w:val="auto"/>
              </w:rPr>
            </w:pPr>
          </w:p>
        </w:tc>
        <w:tc>
          <w:tcPr>
            <w:tcW w:w="2260" w:type="dxa"/>
            <w:vAlign w:val="bottom"/>
            <w:tcBorders>
              <w:bottom w:val="single" w:sz="8" w:color="auto"/>
              <w:right w:val="single" w:sz="8" w:color="00000A"/>
            </w:tcBorders>
          </w:tcPr>
          <w:p>
            <w:pPr>
              <w:spacing w:after="0"/>
              <w:rPr>
                <w:sz w:val="24"/>
                <w:szCs w:val="24"/>
                <w:color w:val="auto"/>
              </w:rPr>
            </w:pPr>
          </w:p>
        </w:tc>
        <w:tc>
          <w:tcPr>
            <w:tcW w:w="3580" w:type="dxa"/>
            <w:vAlign w:val="bottom"/>
            <w:tcBorders>
              <w:bottom w:val="single" w:sz="8" w:color="auto"/>
              <w:right w:val="single" w:sz="8" w:color="00000A"/>
            </w:tcBorders>
          </w:tcPr>
          <w:p>
            <w:pPr>
              <w:spacing w:after="0"/>
              <w:rPr>
                <w:sz w:val="24"/>
                <w:szCs w:val="24"/>
                <w:color w:val="auto"/>
              </w:rPr>
            </w:pPr>
          </w:p>
        </w:tc>
      </w:tr>
      <w:tr>
        <w:trPr>
          <w:trHeight w:val="284"/>
        </w:trPr>
        <w:tc>
          <w:tcPr>
            <w:tcW w:w="540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6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400" w:type="dxa"/>
            <w:vAlign w:val="bottom"/>
            <w:tcBorders>
              <w:left w:val="single" w:sz="8" w:color="00000A"/>
              <w:bottom w:val="single" w:sz="8" w:color="00000A"/>
              <w:right w:val="single" w:sz="8" w:color="00000A"/>
            </w:tcBorders>
          </w:tcPr>
          <w:p>
            <w:pPr>
              <w:spacing w:after="0"/>
              <w:rPr>
                <w:sz w:val="24"/>
                <w:szCs w:val="24"/>
                <w:color w:val="auto"/>
              </w:rPr>
            </w:pPr>
          </w:p>
        </w:tc>
        <w:tc>
          <w:tcPr>
            <w:tcW w:w="2260" w:type="dxa"/>
            <w:vAlign w:val="bottom"/>
            <w:tcBorders>
              <w:bottom w:val="single" w:sz="8" w:color="00000A"/>
              <w:right w:val="single" w:sz="8" w:color="00000A"/>
            </w:tcBorders>
          </w:tcPr>
          <w:p>
            <w:pPr>
              <w:spacing w:after="0"/>
              <w:rPr>
                <w:sz w:val="24"/>
                <w:szCs w:val="24"/>
                <w:color w:val="auto"/>
              </w:rPr>
            </w:pPr>
          </w:p>
        </w:tc>
        <w:tc>
          <w:tcPr>
            <w:tcW w:w="3580" w:type="dxa"/>
            <w:vAlign w:val="bottom"/>
            <w:tcBorders>
              <w:bottom w:val="single" w:sz="8" w:color="00000A"/>
              <w:right w:val="single" w:sz="8" w:color="00000A"/>
            </w:tcBorders>
          </w:tcPr>
          <w:p>
            <w:pPr>
              <w:spacing w:after="0"/>
              <w:rPr>
                <w:sz w:val="24"/>
                <w:szCs w:val="24"/>
                <w:color w:val="auto"/>
              </w:rPr>
            </w:pPr>
          </w:p>
        </w:tc>
      </w:tr>
      <w:tr>
        <w:trPr>
          <w:trHeight w:val="277"/>
        </w:trPr>
        <w:tc>
          <w:tcPr>
            <w:tcW w:w="5400" w:type="dxa"/>
            <w:vAlign w:val="bottom"/>
            <w:tcBorders>
              <w:left w:val="single" w:sz="8" w:color="00000A"/>
              <w:bottom w:val="single" w:sz="8" w:color="00000A"/>
              <w:right w:val="single" w:sz="8" w:color="00000A"/>
            </w:tcBorders>
          </w:tcPr>
          <w:p>
            <w:pPr>
              <w:spacing w:after="0"/>
              <w:rPr>
                <w:sz w:val="24"/>
                <w:szCs w:val="24"/>
                <w:color w:val="auto"/>
              </w:rPr>
            </w:pPr>
          </w:p>
        </w:tc>
        <w:tc>
          <w:tcPr>
            <w:tcW w:w="2260" w:type="dxa"/>
            <w:vAlign w:val="bottom"/>
            <w:tcBorders>
              <w:bottom w:val="single" w:sz="8" w:color="00000A"/>
              <w:right w:val="single" w:sz="8" w:color="00000A"/>
            </w:tcBorders>
          </w:tcPr>
          <w:p>
            <w:pPr>
              <w:spacing w:after="0"/>
              <w:rPr>
                <w:sz w:val="24"/>
                <w:szCs w:val="24"/>
                <w:color w:val="auto"/>
              </w:rPr>
            </w:pPr>
          </w:p>
        </w:tc>
        <w:tc>
          <w:tcPr>
            <w:tcW w:w="3580" w:type="dxa"/>
            <w:vAlign w:val="bottom"/>
            <w:tcBorders>
              <w:bottom w:val="single" w:sz="8" w:color="00000A"/>
              <w:right w:val="single" w:sz="8" w:color="00000A"/>
            </w:tcBorders>
          </w:tcPr>
          <w:p>
            <w:pPr>
              <w:spacing w:after="0"/>
              <w:rPr>
                <w:sz w:val="24"/>
                <w:szCs w:val="24"/>
                <w:color w:val="auto"/>
              </w:rPr>
            </w:pPr>
          </w:p>
        </w:tc>
      </w:tr>
      <w:tr>
        <w:trPr>
          <w:trHeight w:val="277"/>
        </w:trPr>
        <w:tc>
          <w:tcPr>
            <w:tcW w:w="5400" w:type="dxa"/>
            <w:vAlign w:val="bottom"/>
            <w:tcBorders>
              <w:left w:val="single" w:sz="8" w:color="00000A"/>
              <w:bottom w:val="single" w:sz="8" w:color="00000A"/>
              <w:right w:val="single" w:sz="8" w:color="00000A"/>
            </w:tcBorders>
          </w:tcPr>
          <w:p>
            <w:pPr>
              <w:spacing w:after="0"/>
              <w:rPr>
                <w:sz w:val="24"/>
                <w:szCs w:val="24"/>
                <w:color w:val="auto"/>
              </w:rPr>
            </w:pPr>
          </w:p>
        </w:tc>
        <w:tc>
          <w:tcPr>
            <w:tcW w:w="2260" w:type="dxa"/>
            <w:vAlign w:val="bottom"/>
            <w:tcBorders>
              <w:bottom w:val="single" w:sz="8" w:color="00000A"/>
              <w:right w:val="single" w:sz="8" w:color="00000A"/>
            </w:tcBorders>
          </w:tcPr>
          <w:p>
            <w:pPr>
              <w:spacing w:after="0"/>
              <w:rPr>
                <w:sz w:val="24"/>
                <w:szCs w:val="24"/>
                <w:color w:val="auto"/>
              </w:rPr>
            </w:pPr>
          </w:p>
        </w:tc>
        <w:tc>
          <w:tcPr>
            <w:tcW w:w="3580" w:type="dxa"/>
            <w:vAlign w:val="bottom"/>
            <w:tcBorders>
              <w:bottom w:val="single" w:sz="8" w:color="00000A"/>
              <w:right w:val="single" w:sz="8" w:color="00000A"/>
            </w:tcBorders>
          </w:tcPr>
          <w:p>
            <w:pPr>
              <w:spacing w:after="0"/>
              <w:rPr>
                <w:sz w:val="24"/>
                <w:szCs w:val="24"/>
                <w:color w:val="auto"/>
              </w:rPr>
            </w:pPr>
          </w:p>
        </w:tc>
      </w:tr>
    </w:tbl>
    <w:p>
      <w:pPr>
        <w:ind w:left="920" w:hanging="264"/>
        <w:spacing w:after="0" w:line="235" w:lineRule="auto"/>
        <w:tabs>
          <w:tab w:leader="none" w:pos="920" w:val="left"/>
        </w:tabs>
        <w:numPr>
          <w:ilvl w:val="0"/>
          <w:numId w:val="54"/>
        </w:numPr>
        <w:rPr>
          <w:rFonts w:ascii="Arial" w:cs="Arial" w:eastAsia="Arial" w:hAnsi="Arial"/>
          <w:sz w:val="32"/>
          <w:szCs w:val="32"/>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Units:</w:t>
        <w:tab/>
        <w:t>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9950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Page 5 of 5</w:t>
      </w:r>
    </w:p>
    <w:p>
      <w:pPr>
        <w:sectPr>
          <w:pgSz w:w="11900" w:h="16838" w:orient="portrait"/>
          <w:cols w:equalWidth="0" w:num="1">
            <w:col w:w="11440"/>
          </w:cols>
          <w:pgMar w:left="240" w:top="1401"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28575</wp:posOffset>
            </wp:positionV>
            <wp:extent cx="1998345" cy="5918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19983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25, 2016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on March 22, 2018)</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I am pleased to inform you that you have been granted [number] Phantom Units as of the above date pursuant to the Company’s 2013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Subject to the further provisions of this Agreement, your Phantom Units shall vest (become payable in the form of one</w:t>
      </w:r>
    </w:p>
    <w:p>
      <w:pPr>
        <w:spacing w:after="0" w:line="5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Common Unit of PAA for each Phantom Unit) as follows:</w:t>
      </w:r>
    </w:p>
    <w:p>
      <w:pPr>
        <w:spacing w:after="0" w:line="17" w:lineRule="exact"/>
        <w:rPr>
          <w:sz w:val="20"/>
          <w:szCs w:val="20"/>
          <w:color w:val="auto"/>
        </w:rPr>
      </w:pPr>
    </w:p>
    <w:p>
      <w:pPr>
        <w:jc w:val="both"/>
        <w:ind w:left="3080" w:hanging="1782"/>
        <w:spacing w:after="0" w:line="256" w:lineRule="auto"/>
        <w:rPr>
          <w:sz w:val="20"/>
          <w:szCs w:val="20"/>
          <w:color w:val="auto"/>
        </w:rPr>
      </w:pPr>
      <w:r>
        <w:rPr>
          <w:rFonts w:ascii="Arial" w:cs="Arial" w:eastAsia="Arial" w:hAnsi="Arial"/>
          <w:sz w:val="22"/>
          <w:szCs w:val="22"/>
          <w:color w:val="auto"/>
        </w:rPr>
        <w:t>a.Tranche A, which shall consist of one-third of the total number of Phantom Units covered by this grant letter, shall vest on the August 2019 Distribution Date;</w:t>
      </w:r>
    </w:p>
    <w:p>
      <w:pPr>
        <w:spacing w:after="0" w:line="1" w:lineRule="exact"/>
        <w:rPr>
          <w:sz w:val="20"/>
          <w:szCs w:val="20"/>
          <w:color w:val="auto"/>
        </w:rPr>
      </w:pPr>
    </w:p>
    <w:p>
      <w:pPr>
        <w:jc w:val="both"/>
        <w:ind w:left="3080" w:hanging="1782"/>
        <w:spacing w:after="0" w:line="256" w:lineRule="auto"/>
        <w:rPr>
          <w:sz w:val="20"/>
          <w:szCs w:val="20"/>
          <w:color w:val="auto"/>
        </w:rPr>
      </w:pPr>
      <w:r>
        <w:rPr>
          <w:rFonts w:ascii="Arial" w:cs="Arial" w:eastAsia="Arial" w:hAnsi="Arial"/>
          <w:sz w:val="22"/>
          <w:szCs w:val="22"/>
          <w:color w:val="auto"/>
        </w:rPr>
        <w:t>b.Tranche B, which shall consist of one-third of the total number of Phantom Units covered by this grant letter, shall vest as follows: (i) one-sixth (half of Tranche B) shall vest on the August 2020 Distribution Date; and (ii) one-sixth (the remaining half of Tranche B) shall vest upon the first date following the date hereof on which the Partnership generates distributable cash flow (“DCF”) per common unit on a trailing four quarter basis of at least $2.50; however, in the event such $2.50 DCF per common unit threshold is not met on or prior to the August 2022 distribution date (the “Outside Vesting Date”), the applicable Phantom Units will vest on such Outside Vesting Date, provided that following the date hereof but on or prior to such Outside Vesting Date PAA shall have achieved a trailing four quarter DCF per common unit of at least $2.30; and</w:t>
      </w:r>
    </w:p>
    <w:p>
      <w:pPr>
        <w:spacing w:after="0" w:line="3" w:lineRule="exact"/>
        <w:rPr>
          <w:sz w:val="20"/>
          <w:szCs w:val="20"/>
          <w:color w:val="auto"/>
        </w:rPr>
      </w:pPr>
    </w:p>
    <w:p>
      <w:pPr>
        <w:jc w:val="both"/>
        <w:ind w:left="3080" w:hanging="1782"/>
        <w:spacing w:after="0" w:line="274" w:lineRule="auto"/>
        <w:rPr>
          <w:sz w:val="20"/>
          <w:szCs w:val="20"/>
          <w:color w:val="auto"/>
        </w:rPr>
      </w:pPr>
      <w:r>
        <w:rPr>
          <w:rFonts w:ascii="Arial" w:cs="Arial" w:eastAsia="Arial" w:hAnsi="Arial"/>
          <w:sz w:val="21"/>
          <w:szCs w:val="21"/>
          <w:color w:val="auto"/>
        </w:rPr>
        <w:t>c.Tranche C, which shall consist of one-third of the total number of Phantom Units covered by this grant letter, shall vest as follows: (i) one-sixth (half of Tranche C) shall vest on the August 2021 Distribution Date; and (ii) one-sixth (the remaining half of Tranche C) shall vest upon the first date following the date hereof on which the Partnership generates DCF per common unit on a trailing four quarter basis of at least $2.65; however, in the event such $2.65 DCF per common unit threshold is not met on or prior to the Outside Vesting Date, the</w:t>
      </w:r>
    </w:p>
    <w:p>
      <w:pPr>
        <w:spacing w:after="0" w:line="208"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420"/>
          </w:cols>
          <w:pgMar w:left="240" w:top="139"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620"/>
        <w:spacing w:after="0" w:line="266" w:lineRule="auto"/>
        <w:rPr>
          <w:sz w:val="20"/>
          <w:szCs w:val="20"/>
          <w:color w:val="auto"/>
        </w:rPr>
      </w:pPr>
      <w:r>
        <w:rPr>
          <w:rFonts w:ascii="Arial" w:cs="Arial" w:eastAsia="Arial" w:hAnsi="Arial"/>
          <w:sz w:val="22"/>
          <w:szCs w:val="22"/>
          <w:color w:val="auto"/>
        </w:rPr>
        <w:t>applicable Phantom Units will vest on such Outside Vesting Date, provided that following the date hereof but on or prior to such Outside Vesting Date PAA shall have achieved a trailing four quarter DCF per common unit of at least $2.30.</w:t>
      </w:r>
    </w:p>
    <w:p>
      <w:pPr>
        <w:spacing w:after="0" w:line="185" w:lineRule="exact"/>
        <w:rPr>
          <w:sz w:val="20"/>
          <w:szCs w:val="20"/>
          <w:color w:val="auto"/>
        </w:rPr>
      </w:pPr>
    </w:p>
    <w:p>
      <w:pPr>
        <w:jc w:val="both"/>
        <w:ind w:left="1060"/>
        <w:spacing w:after="0" w:line="327" w:lineRule="auto"/>
        <w:rPr>
          <w:sz w:val="20"/>
          <w:szCs w:val="20"/>
          <w:color w:val="auto"/>
        </w:rPr>
      </w:pPr>
      <w:r>
        <w:rPr>
          <w:rFonts w:ascii="Arial" w:cs="Arial" w:eastAsia="Arial" w:hAnsi="Arial"/>
          <w:sz w:val="19"/>
          <w:szCs w:val="19"/>
          <w:color w:val="auto"/>
        </w:rPr>
        <w:t>Any remaining Phantom Units that have not vested on or before the Outside Vesting Date, and any associated DERs (regardless of vesting), shall expire on such date. The DCF per common unit amounts referenced in this paragraph are subject to adjustment in the reasonable discretion of the CEO to account for significant asset sales.</w:t>
      </w:r>
    </w:p>
    <w:p>
      <w:pPr>
        <w:spacing w:after="0" w:line="200" w:lineRule="exact"/>
        <w:rPr>
          <w:sz w:val="20"/>
          <w:szCs w:val="20"/>
          <w:color w:val="auto"/>
        </w:rPr>
      </w:pPr>
    </w:p>
    <w:p>
      <w:pPr>
        <w:spacing w:after="0" w:line="203" w:lineRule="exact"/>
        <w:rPr>
          <w:sz w:val="20"/>
          <w:szCs w:val="20"/>
          <w:color w:val="auto"/>
        </w:rPr>
      </w:pPr>
    </w:p>
    <w:p>
      <w:pPr>
        <w:ind w:left="2100" w:hanging="1444"/>
        <w:spacing w:after="0" w:line="302" w:lineRule="auto"/>
        <w:tabs>
          <w:tab w:leader="none" w:pos="1056" w:val="left"/>
        </w:tabs>
        <w:numPr>
          <w:ilvl w:val="0"/>
          <w:numId w:val="55"/>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DERs shall vest (become payable in cash) as follows: (i) one-third of your DERs (the DERs associated with Tranche (A)) shall vest upon and effective with the earlier to occur of the August 2018 Distribution Date and the first date following the date hereof on which the Partnership generates DCF per common unit on a trailing four quarter basis of at least $2.30, (ii) one-third of your DERs (the DERs associated with Tranche (B)) shall vest upon and effective with the earlier to occur of the August 2019 Distribution Date and the first date following the date hereof on which the Partnership generates DCF per common unit on a trailing four quarter basis of at least $2.40, and (iii) one-third of your DERs (the DERs associated with Tranche (C)) shall vest upon and effective with the earlier to occur of the August 2020 Distribution Date and the first date following the date hereof on which the Partnership generates DCF per common unit on a trailing four quarter basis of at least $2.50. The DCF per common unit amounts referenced in this paragraph are subject to adjustment in the reasonable discretion of the CEO to account for significant asset sales.</w:t>
      </w:r>
    </w:p>
    <w:p>
      <w:pPr>
        <w:spacing w:after="0" w:line="158" w:lineRule="exact"/>
        <w:rPr>
          <w:rFonts w:ascii="Arial" w:cs="Arial" w:eastAsia="Arial" w:hAnsi="Arial"/>
          <w:sz w:val="19"/>
          <w:szCs w:val="19"/>
          <w:color w:val="auto"/>
        </w:rPr>
      </w:pPr>
    </w:p>
    <w:p>
      <w:pPr>
        <w:ind w:left="1040" w:hanging="384"/>
        <w:spacing w:after="0"/>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87" w:lineRule="exact"/>
        <w:rPr>
          <w:rFonts w:ascii="Arial" w:cs="Arial" w:eastAsia="Arial" w:hAnsi="Arial"/>
          <w:sz w:val="22"/>
          <w:szCs w:val="22"/>
          <w:color w:val="auto"/>
        </w:rPr>
      </w:pPr>
    </w:p>
    <w:p>
      <w:pPr>
        <w:ind w:left="2120" w:hanging="1464"/>
        <w:spacing w:after="0" w:line="266" w:lineRule="auto"/>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number of Phantom Units subject to this award and any distribution level required for vesting under paragraphs 1 or 2 above shall be proportionately reduced or increased for any split or reverse split, respectively, of the Units, or any event or transaction having a similar effect.</w:t>
      </w: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2120" w:hanging="1464"/>
        <w:spacing w:after="0" w:line="284" w:lineRule="auto"/>
        <w:tabs>
          <w:tab w:leader="none" w:pos="1040" w:val="left"/>
        </w:tabs>
        <w:numPr>
          <w:ilvl w:val="0"/>
          <w:numId w:val="55"/>
        </w:numPr>
        <w:rPr>
          <w:rFonts w:ascii="Arial" w:cs="Arial" w:eastAsia="Arial" w:hAnsi="Arial"/>
          <w:sz w:val="21"/>
          <w:szCs w:val="21"/>
          <w:color w:val="auto"/>
        </w:rPr>
      </w:pPr>
      <w:r>
        <w:rPr>
          <w:rFonts w:ascii="Arial" w:cs="Arial" w:eastAsia="Arial" w:hAnsi="Arial"/>
          <w:sz w:val="21"/>
          <w:szCs w:val="21"/>
          <w:color w:val="auto"/>
        </w:rPr>
        <w:t>Upon vesting of any Phantom Units, an equivalent number of DERs (from the associated Tranche) will expire. Any such DERs that are vested prior to, or that would vest as of, the Distribution Date on which the Phantom Units vest, shall be payable on such Distribution Date prior to their expiration.</w:t>
      </w:r>
    </w:p>
    <w:p>
      <w:pPr>
        <w:spacing w:after="0" w:line="398" w:lineRule="exact"/>
        <w:rPr>
          <w:rFonts w:ascii="Arial" w:cs="Arial" w:eastAsia="Arial" w:hAnsi="Arial"/>
          <w:sz w:val="21"/>
          <w:szCs w:val="21"/>
          <w:color w:val="auto"/>
        </w:rPr>
      </w:pPr>
    </w:p>
    <w:p>
      <w:pPr>
        <w:ind w:left="2120" w:hanging="1464"/>
        <w:spacing w:after="0" w:line="263" w:lineRule="auto"/>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(regardless of vesting) and Phantom Units shall automatically be forfeited as of</w:t>
      </w:r>
    </w:p>
    <w:p>
      <w:pPr>
        <w:sectPr>
          <w:pgSz w:w="11900" w:h="16838" w:orient="portrait"/>
          <w:cols w:equalWidth="0" w:num="1">
            <w:col w:w="11420"/>
          </w:cols>
          <w:pgMar w:left="240" w:top="145"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080"/>
        <w:spacing w:after="0" w:line="297" w:lineRule="auto"/>
        <w:rPr>
          <w:sz w:val="20"/>
          <w:szCs w:val="20"/>
          <w:color w:val="auto"/>
        </w:rPr>
      </w:pPr>
      <w:r>
        <w:rPr>
          <w:rFonts w:ascii="Arial" w:cs="Arial" w:eastAsia="Arial" w:hAnsi="Arial"/>
          <w:sz w:val="19"/>
          <w:szCs w:val="19"/>
          <w:color w:val="auto"/>
        </w:rPr>
        <w:t>the date of termination; provided, however, that if the Company or its Affiliates terminate your employment other than as a result of a Termination for Cause: (i) any unvested Phantom Units that would, but for such termination and forfeiture, vest on a specified Distribution Date (August 2019, August 2020, August 2021 or August 2022) during the twelve month period immediately following such termination, shall be deemed nonforfeitable on the date of termination, and shall vest on the next following Distribution Date; (ii) any unvested Phantom Units covered by paragraphs 1(b)(ii) and 1(c)(ii) above with respect to which the Company has, as of the date of termination, declared but not yet paid a quarterly distribution that would upon payment thereof satisfy the applicable distribution criteria for such Phantom Units, shall be deemed nonforfeitable on the date of termination, and shall vest on the next following Distribution Date; and (iii) any DERs associated with such unvested, nonforfeitable Phantom Units described in clause</w:t>
      </w:r>
    </w:p>
    <w:p>
      <w:pPr>
        <w:spacing w:after="0" w:line="2" w:lineRule="exact"/>
        <w:rPr>
          <w:sz w:val="20"/>
          <w:szCs w:val="20"/>
          <w:color w:val="auto"/>
        </w:rPr>
      </w:pPr>
    </w:p>
    <w:p>
      <w:pPr>
        <w:jc w:val="both"/>
        <w:ind w:left="1080" w:firstLine="8"/>
        <w:spacing w:after="0" w:line="353" w:lineRule="auto"/>
        <w:tabs>
          <w:tab w:leader="none" w:pos="1362" w:val="left"/>
        </w:tabs>
        <w:numPr>
          <w:ilvl w:val="1"/>
          <w:numId w:val="56"/>
        </w:numPr>
        <w:rPr>
          <w:rFonts w:ascii="Arial" w:cs="Arial" w:eastAsia="Arial" w:hAnsi="Arial"/>
          <w:sz w:val="19"/>
          <w:szCs w:val="19"/>
          <w:color w:val="auto"/>
        </w:rPr>
      </w:pPr>
      <w:r>
        <w:rPr>
          <w:rFonts w:ascii="Arial" w:cs="Arial" w:eastAsia="Arial" w:hAnsi="Arial"/>
          <w:sz w:val="19"/>
          <w:szCs w:val="19"/>
          <w:color w:val="auto"/>
        </w:rPr>
        <w:t>or (ii) immediately preceding shall not be forfeited on the date of termination, but shall vest in accordance with paragraph 2 above and if vested shall be payable and shall expire in accordance with paragraph 1 or paragraph 5 above.</w:t>
      </w:r>
    </w:p>
    <w:p>
      <w:pPr>
        <w:spacing w:after="0" w:line="163" w:lineRule="exact"/>
        <w:rPr>
          <w:rFonts w:ascii="Arial" w:cs="Arial" w:eastAsia="Arial" w:hAnsi="Arial"/>
          <w:sz w:val="19"/>
          <w:szCs w:val="19"/>
          <w:color w:val="auto"/>
        </w:rPr>
      </w:pPr>
    </w:p>
    <w:p>
      <w:pPr>
        <w:ind w:left="2120" w:hanging="1464"/>
        <w:spacing w:after="0" w:line="302" w:lineRule="auto"/>
        <w:tabs>
          <w:tab w:leader="none" w:pos="10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second anniversary of the date of this grant, all of your then outstanding Phantom Units and DERs shall automatically be forfeited as of the date of termination; and (ii) if such termination takes place on or after the second anniversary of the date of this grant, your then outstanding Phantom Units shall be deemed nonforfeitable on the date of termination and shall vest on the next following Distribution Date (and any DERs associated with such unvested, nonforfeitable Phantom Units shall not be forfeited on the date of termination, but shall vest in accordance with paragraph 2 above and if vested shall be payable and shall expire in accordance with paragraph 1 or paragraph 5 above). As soon as administratively practicable after the vesting of any Phantom Units pursuant to this paragraph 7, payment will be made in cash in an amount equal to the Market Value of the number of Phantom Units vesting.</w:t>
      </w:r>
    </w:p>
    <w:p>
      <w:pPr>
        <w:spacing w:after="0" w:line="200" w:lineRule="exact"/>
        <w:rPr>
          <w:rFonts w:ascii="Arial" w:cs="Arial" w:eastAsia="Arial" w:hAnsi="Arial"/>
          <w:sz w:val="19"/>
          <w:szCs w:val="19"/>
          <w:color w:val="auto"/>
        </w:rPr>
      </w:pPr>
    </w:p>
    <w:p>
      <w:pPr>
        <w:spacing w:after="0" w:line="282" w:lineRule="exact"/>
        <w:rPr>
          <w:rFonts w:ascii="Arial" w:cs="Arial" w:eastAsia="Arial" w:hAnsi="Arial"/>
          <w:sz w:val="19"/>
          <w:szCs w:val="19"/>
          <w:color w:val="auto"/>
        </w:rPr>
      </w:pPr>
    </w:p>
    <w:p>
      <w:pPr>
        <w:ind w:left="2120" w:hanging="1464"/>
        <w:spacing w:after="0" w:line="266" w:lineRule="auto"/>
        <w:tabs>
          <w:tab w:leader="none" w:pos="10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the event of a Change in Status, all of your then outstanding Phantom Units and tandem DERs shall be deemed 100% nonforfeitable on such date, and such Phantom Units shall vest in full upon the next Distribution Date.</w:t>
      </w:r>
    </w:p>
    <w:p>
      <w:pPr>
        <w:spacing w:after="0" w:line="239" w:lineRule="exact"/>
        <w:rPr>
          <w:rFonts w:ascii="Arial" w:cs="Arial" w:eastAsia="Arial" w:hAnsi="Arial"/>
          <w:sz w:val="22"/>
          <w:szCs w:val="22"/>
          <w:color w:val="auto"/>
        </w:rPr>
      </w:pPr>
    </w:p>
    <w:p>
      <w:pPr>
        <w:ind w:left="2120" w:hanging="1464"/>
        <w:spacing w:after="0" w:line="263" w:lineRule="auto"/>
        <w:tabs>
          <w:tab w:leader="none" w:pos="10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ectPr>
          <w:pgSz w:w="11900" w:h="16838" w:orient="portrait"/>
          <w:cols w:equalWidth="0" w:num="1">
            <w:col w:w="11420"/>
          </w:cols>
          <w:pgMar w:left="240" w:top="145"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A termination by you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w:t>
      </w:r>
    </w:p>
    <w:p>
      <w:pPr>
        <w:sectPr>
          <w:pgSz w:w="11900" w:h="16838" w:orient="portrait"/>
          <w:cols w:equalWidth="0" w:num="1">
            <w:col w:w="11420"/>
          </w:cols>
          <w:pgMar w:left="240" w:top="145"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affiliates, Mark Strome and his affiliates, Windy, LLC and its affiliates, PAA Management, L.P. and its affiliates, PAGP and its affiliates, Jay Chernosky, Kipp PAA Trust, Paul Riddle, Russell Clingman, David Humphreys and Philip Trinder.</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Fifth Amended and Restated Agreement of Limited Partnership of Plains All American Pipeline, L.P., as amended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420"/>
          </w:cols>
          <w:pgMar w:left="240" w:top="145"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By:PLAINS ALL AMERICAN GP LLC,</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 &amp; General Counsel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Units: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9220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9220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440"/>
          </w:cols>
          <w:pgMar w:left="240" w:top="145" w:right="21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11430</wp:posOffset>
            </wp:positionV>
            <wp:extent cx="1998345" cy="5918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19983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22, 2018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6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 am pleased to inform you that you have been granted «Amount» Phantom Units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0" w:lineRule="exact"/>
        <w:rPr>
          <w:sz w:val="20"/>
          <w:szCs w:val="20"/>
          <w:color w:val="auto"/>
        </w:rPr>
      </w:pPr>
    </w:p>
    <w:p>
      <w:pPr>
        <w:ind w:left="2120" w:hanging="1464"/>
        <w:spacing w:after="0" w:line="275" w:lineRule="auto"/>
        <w:tabs>
          <w:tab w:leader="none" w:pos="1058" w:val="left"/>
        </w:tabs>
        <w:numPr>
          <w:ilvl w:val="0"/>
          <w:numId w:val="58"/>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Phantom Units shall vest (become payable in the form of one Common Unit of PAA for each Phantom Unit) on the May 2021 Distribution Date, assuming your continued service through such date; however, 50% of such Phantom Units may vest prior to the May 2021 Distribution Date if and when PAA shall have generated distributable cash flow per Common Unit on a trailing four quarter basis of at least $2.30 (such amount being subject to adjustment in the reasonable discretion of the CEO to account for significant asset sales).</w:t>
      </w:r>
    </w:p>
    <w:p>
      <w:pPr>
        <w:spacing w:after="0" w:line="230" w:lineRule="exact"/>
        <w:rPr>
          <w:rFonts w:ascii="Arial" w:cs="Arial" w:eastAsia="Arial" w:hAnsi="Arial"/>
          <w:sz w:val="21"/>
          <w:szCs w:val="21"/>
          <w:color w:val="auto"/>
        </w:rPr>
      </w:pPr>
    </w:p>
    <w:p>
      <w:pPr>
        <w:ind w:left="2120" w:right="20" w:hanging="1464"/>
        <w:spacing w:after="0" w:line="276" w:lineRule="auto"/>
        <w:tabs>
          <w:tab w:leader="none" w:pos="1058"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vest (become payable in cash) upon and effective with the May 2018 Distribution Date.</w:t>
      </w:r>
    </w:p>
    <w:p>
      <w:pPr>
        <w:spacing w:after="0" w:line="228" w:lineRule="exact"/>
        <w:rPr>
          <w:rFonts w:ascii="Arial" w:cs="Arial" w:eastAsia="Arial" w:hAnsi="Arial"/>
          <w:sz w:val="22"/>
          <w:szCs w:val="22"/>
          <w:color w:val="auto"/>
        </w:rPr>
      </w:pPr>
    </w:p>
    <w:p>
      <w:pPr>
        <w:ind w:left="1040" w:hanging="384"/>
        <w:spacing w:after="0"/>
        <w:tabs>
          <w:tab w:leader="none" w:pos="10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87" w:lineRule="exact"/>
        <w:rPr>
          <w:rFonts w:ascii="Arial" w:cs="Arial" w:eastAsia="Arial" w:hAnsi="Arial"/>
          <w:sz w:val="22"/>
          <w:szCs w:val="22"/>
          <w:color w:val="auto"/>
        </w:rPr>
      </w:pPr>
    </w:p>
    <w:p>
      <w:pPr>
        <w:ind w:left="2120" w:hanging="1464"/>
        <w:spacing w:after="0" w:line="284" w:lineRule="auto"/>
        <w:tabs>
          <w:tab w:leader="none" w:pos="1040"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number of Phantom Units subject to this award and the distributable cash flow level required for vesting under paragraph 1 above shall be proportionately reduced or increased for any split or reverse split, respectively, of PAA Common Units, or any event or transaction having a similar effect.</w:t>
      </w:r>
    </w:p>
    <w:p>
      <w:pPr>
        <w:spacing w:after="0" w:line="223" w:lineRule="exact"/>
        <w:rPr>
          <w:rFonts w:ascii="Arial" w:cs="Arial" w:eastAsia="Arial" w:hAnsi="Arial"/>
          <w:sz w:val="21"/>
          <w:szCs w:val="21"/>
          <w:color w:val="auto"/>
        </w:rPr>
      </w:pPr>
    </w:p>
    <w:p>
      <w:pPr>
        <w:ind w:left="2120" w:hanging="1464"/>
        <w:spacing w:after="0" w:line="266" w:lineRule="auto"/>
        <w:tabs>
          <w:tab w:leader="none" w:pos="10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239" w:lineRule="exact"/>
        <w:rPr>
          <w:rFonts w:ascii="Arial" w:cs="Arial" w:eastAsia="Arial" w:hAnsi="Arial"/>
          <w:sz w:val="22"/>
          <w:szCs w:val="22"/>
          <w:color w:val="auto"/>
        </w:rPr>
      </w:pPr>
    </w:p>
    <w:p>
      <w:pPr>
        <w:ind w:left="2120" w:hanging="1464"/>
        <w:spacing w:after="0" w:line="266" w:lineRule="auto"/>
        <w:tabs>
          <w:tab w:leader="none" w:pos="10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the event of the termination of your employment with the Company and its Affiliates for any reason (other than in connection with a Change in Status or by reason of your death or “disability,” as defined in paragraph 7 below), all of your then outstanding</w:t>
      </w:r>
    </w:p>
    <w:p>
      <w:pPr>
        <w:spacing w:after="0" w:line="2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420"/>
          </w:cols>
          <w:pgMar w:left="240" w:top="126"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22,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080"/>
        <w:spacing w:after="0" w:line="312" w:lineRule="auto"/>
        <w:rPr>
          <w:sz w:val="20"/>
          <w:szCs w:val="20"/>
          <w:color w:val="auto"/>
        </w:rPr>
      </w:pPr>
      <w:r>
        <w:rPr>
          <w:rFonts w:ascii="Arial" w:cs="Arial" w:eastAsia="Arial" w:hAnsi="Arial"/>
          <w:sz w:val="19"/>
          <w:szCs w:val="19"/>
          <w:color w:val="auto"/>
        </w:rPr>
        <w:t>Phantom Units and DERs shall automatically be forfeited as of the date of termination; provided, however, that if the Company or its Affiliates terminate your employment other than as a result of a Termination for Cause, (i) all of your then outstanding Phantom Units shall be deemed nonforfeitable on the date of termination and shall vest on the next following Distribution Date, and (ii) any DERs associated with such unvested, nonforfeitable Phantom Units shall not be forfeited on the date of termination, but shall be payable and shall expire on the next following Distribution Date.</w:t>
      </w:r>
    </w:p>
    <w:p>
      <w:pPr>
        <w:spacing w:after="0" w:line="200" w:lineRule="exact"/>
        <w:rPr>
          <w:sz w:val="20"/>
          <w:szCs w:val="20"/>
          <w:color w:val="auto"/>
        </w:rPr>
      </w:pPr>
    </w:p>
    <w:p>
      <w:pPr>
        <w:ind w:left="2120" w:hanging="1464"/>
        <w:spacing w:after="0" w:line="302" w:lineRule="auto"/>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7, payment will be made in cash in an amount equal to the Market Value of the number of Phantom Units vesting.</w:t>
      </w:r>
    </w:p>
    <w:p>
      <w:pPr>
        <w:spacing w:after="0" w:line="212" w:lineRule="exact"/>
        <w:rPr>
          <w:rFonts w:ascii="Arial" w:cs="Arial" w:eastAsia="Arial" w:hAnsi="Arial"/>
          <w:sz w:val="19"/>
          <w:szCs w:val="19"/>
          <w:color w:val="auto"/>
        </w:rPr>
      </w:pPr>
    </w:p>
    <w:p>
      <w:pPr>
        <w:ind w:left="2120" w:hanging="1464"/>
        <w:spacing w:after="0" w:line="263" w:lineRule="auto"/>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41" w:lineRule="exact"/>
        <w:rPr>
          <w:rFonts w:ascii="Arial" w:cs="Arial" w:eastAsia="Arial" w:hAnsi="Arial"/>
          <w:sz w:val="22"/>
          <w:szCs w:val="22"/>
          <w:color w:val="auto"/>
        </w:rPr>
      </w:pPr>
    </w:p>
    <w:p>
      <w:pPr>
        <w:ind w:left="2120" w:hanging="1464"/>
        <w:spacing w:after="0" w:line="263" w:lineRule="auto"/>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ectPr>
          <w:pgSz w:w="11900" w:h="16838" w:orient="portrait"/>
          <w:cols w:equalWidth="0" w:num="1">
            <w:col w:w="11420"/>
          </w:cols>
          <w:pgMar w:left="240" w:top="131" w:right="2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22,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9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As used herein, the term “Owner Affiliates” shall mean KAFU Holdings, L.P. and its affiliates, EMG Investment, LLC and its affiliates, Oxy Holding Company (Pipeline), Inc. and its affiliates, Mark Strome and his affiliates, Windy, LLC and its affiliates, PAGP and its affiliates, Jay Chernosky, Kipp PAA Trust, Paul Riddle, Russell Clingman, David Humphreys and Philip Trinder.</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and COO of the</w:t>
      </w:r>
    </w:p>
    <w:p>
      <w:pPr>
        <w:sectPr>
          <w:pgSz w:w="11900" w:h="16838" w:orient="portrait"/>
          <w:cols w:equalWidth="0" w:num="1">
            <w:col w:w="11420"/>
          </w:cols>
          <w:pgMar w:left="240" w:top="132"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22,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420"/>
          </w:cols>
          <w:pgMar w:left="240" w:top="132"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22,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 &amp; General Counsel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Units:</w:t>
        <w:tab/>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045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440"/>
          </w:cols>
          <w:pgMar w:left="240" w:top="132" w:right="2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2018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2018</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2018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emdash "/>
      <w:numFmt w:val="bullet"/>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5"/>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4"/>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3"/>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6"/>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lowerRoman"/>
      <w:start w:val="2"/>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lowerLetter"/>
      <w:start w:val="2"/>
    </w:lvl>
    <w:lvl w:ilvl="1">
      <w:lvlJc w:val="left"/>
      <w:lvlText w:val="%2)"/>
      <w:numFmt w:val="decimal"/>
      <w:start w:val="1"/>
    </w:lvl>
  </w:abstractNum>
  <w:abstractNum w:abstractNumId="49">
    <w:nsid w:val="15B5AF5C"/>
    <w:multiLevelType w:val="hybridMultilevel"/>
    <w:lvl w:ilvl="0">
      <w:lvlJc w:val="left"/>
      <w:lvlText w:val="(%1)"/>
      <w:numFmt w:val="lowerLetter"/>
      <w:start w:val="2"/>
    </w:lvl>
    <w:lvl w:ilvl="1">
      <w:lvlJc w:val="left"/>
      <w:lvlText w:val="%2)"/>
      <w:numFmt w:val="decimal"/>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4"/>
    </w:lvl>
    <w:lvl w:ilvl="1">
      <w:lvlJc w:val="left"/>
      <w:lvlText w:val="(%2)"/>
      <w:numFmt w:val="lowerRoman"/>
      <w:start w:val="3"/>
    </w:lvl>
  </w:abstractNum>
  <w:abstractNum w:abstractNumId="52">
    <w:nsid w:val="10233C99"/>
    <w:multiLevelType w:val="hybridMultilevel"/>
    <w:lvl w:ilvl="0">
      <w:lvlJc w:val="left"/>
      <w:lvlText w:val="(%1)"/>
      <w:numFmt w:val="lowerRoman"/>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1."/>
      <w:numFmt w:val="decimal"/>
      <w:start w:val="2"/>
    </w:lvl>
  </w:abstractNum>
  <w:abstractNum w:abstractNumId="55">
    <w:nsid w:val="7E0C57B1"/>
    <w:multiLevelType w:val="hybridMultilevel"/>
    <w:lvl w:ilvl="0">
      <w:lvlJc w:val="left"/>
      <w:lvlText w:val="%1"/>
      <w:numFmt w:val="decimal"/>
      <w:start w:val="1"/>
    </w:lvl>
    <w:lvl w:ilvl="1">
      <w:lvlJc w:val="left"/>
      <w:lvlText w:val="(%2)"/>
      <w:numFmt w:val="lowerRoman"/>
      <w:start w:val="1"/>
    </w:lvl>
  </w:abstractNum>
  <w:abstractNum w:abstractNumId="56">
    <w:nsid w:val="77AE35EB"/>
    <w:multiLevelType w:val="hybridMultilevel"/>
    <w:lvl w:ilvl="0">
      <w:lvlJc w:val="left"/>
      <w:lvlText w:val="%1."/>
      <w:numFmt w:val="decimal"/>
      <w:start w:val="7"/>
    </w:lvl>
    <w:lvl w:ilvl="1">
      <w:lvlJc w:val="left"/>
      <w:lvlText w:val="%2"/>
      <w:numFmt w:val="lowerRoman"/>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7"/>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decimal"/>
      <w:start w:val="5"/>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5"/>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lowerRoman"/>
      <w:start w:val="1"/>
    </w:lvl>
  </w:abstractNum>
  <w:abstractNum w:abstractNumId="68">
    <w:nsid w:val="6590700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jpeg"/><Relationship Id="rId80" Type="http://schemas.openxmlformats.org/officeDocument/2006/relationships/image" Target="media/image48.png"/><Relationship Id="rId81" Type="http://schemas.openxmlformats.org/officeDocument/2006/relationships/image" Target="media/image49.jpeg"/><Relationship Id="rId82" Type="http://schemas.openxmlformats.org/officeDocument/2006/relationships/image" Target="media/image50.png"/><Relationship Id="rId83" Type="http://schemas.openxmlformats.org/officeDocument/2006/relationships/image" Target="media/image51.jpe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51" Type="http://schemas.openxmlformats.org/officeDocument/2006/relationships/hyperlink" Target="http://www.sec.gov/Archives/edgar/data/1581990/000104746913007875/a2216069zex-3_1.htm" TargetMode="External"/><Relationship Id="rId52" Type="http://schemas.openxmlformats.org/officeDocument/2006/relationships/hyperlink" Target="http://www.sec.gov/Archives/edgar/data/1581990/000110465916158356/a16-21845_1ex3d2.htm" TargetMode="External"/><Relationship Id="rId53" Type="http://schemas.openxmlformats.org/officeDocument/2006/relationships/hyperlink" Target="http://www.sec.gov/Archives/edgar/data/1581990/000104746913007875/a2216069zex-3_3.htm" TargetMode="External"/><Relationship Id="rId54" Type="http://schemas.openxmlformats.org/officeDocument/2006/relationships/hyperlink" Target="http://www.sec.gov/Archives/edgar/data/1581990/000110465917010602/a17-6893_1ex3d1.htm" TargetMode="External"/><Relationship Id="rId55" Type="http://schemas.openxmlformats.org/officeDocument/2006/relationships/hyperlink" Target="http://www.sec.gov/Archives/edgar/data/1070423/000110465917061889/a17-22685_5ex3d1.htm" TargetMode="External"/><Relationship Id="rId56" Type="http://schemas.openxmlformats.org/officeDocument/2006/relationships/hyperlink" Target="http://www.sec.gov/Archives/edgar/data/1581990/000110465916158356/a16-21845_1ex3d3.htm" TargetMode="External"/><Relationship Id="rId57" Type="http://schemas.openxmlformats.org/officeDocument/2006/relationships/hyperlink" Target="http://www.sec.gov/Archives/edgar/data/1581990/000110465916158356/a16-21845_1ex3d4.htm" TargetMode="External"/><Relationship Id="rId58" Type="http://schemas.openxmlformats.org/officeDocument/2006/relationships/hyperlink" Target="http://www.sec.gov/Archives/edgar/data/1070423/000095012908000071/h52770exv3w3.htm" TargetMode="External"/><Relationship Id="rId59" Type="http://schemas.openxmlformats.org/officeDocument/2006/relationships/hyperlink" Target="http://www.sec.gov/Archives/edgar/data/1070423/000089924302002834/dex41.txt" TargetMode="External"/><Relationship Id="rId60" Type="http://schemas.openxmlformats.org/officeDocument/2006/relationships/hyperlink" Target="http://www.sec.gov/Archives/edgar/data/1070423/000110465906034368/a06-11663_1ex4d1.htm" TargetMode="External"/><Relationship Id="rId61" Type="http://schemas.openxmlformats.org/officeDocument/2006/relationships/hyperlink" Target="http://www.sec.gov/Archives/edgar/data/1070423/000095012906009235/h40667exv4w2.htm" TargetMode="External"/><Relationship Id="rId62" Type="http://schemas.openxmlformats.org/officeDocument/2006/relationships/hyperlink" Target="http://www.sec.gov/Archives/edgar/data/1070423/000095012309041075/h67912exv4w1.htm" TargetMode="External"/><Relationship Id="rId63" Type="http://schemas.openxmlformats.org/officeDocument/2006/relationships/hyperlink" Target="http://www.sec.gov/Archives/edgar/data/1070423/000095012311002051/h78739exv4w1.htm" TargetMode="External"/><Relationship Id="rId64" Type="http://schemas.openxmlformats.org/officeDocument/2006/relationships/hyperlink" Target="http://www.sec.gov/Archives/edgar/data/1070423/000119312512132295/d321017dex41.htm" TargetMode="External"/><Relationship Id="rId65" Type="http://schemas.openxmlformats.org/officeDocument/2006/relationships/hyperlink" Target="http://www.sec.gov/Archives/edgar/data/1070423/000119312512132295/d321017dex43.htm" TargetMode="External"/><Relationship Id="rId66" Type="http://schemas.openxmlformats.org/officeDocument/2006/relationships/hyperlink" Target="http://www.sec.gov/Archives/edgar/data/1070423/000119312512499932/d453762dex41.htm" TargetMode="External"/><Relationship Id="rId67" Type="http://schemas.openxmlformats.org/officeDocument/2006/relationships/hyperlink" Target="http://www.sec.gov/Archives/edgar/data/1070423/000119312512499932/d453762dex43.htm" TargetMode="External"/><Relationship Id="rId68" Type="http://schemas.openxmlformats.org/officeDocument/2006/relationships/hyperlink" Target="http://www.sec.gov/Archives/edgar/data/1070423/000119312513336066/d581734dex41.htm" TargetMode="External"/><Relationship Id="rId69" Type="http://schemas.openxmlformats.org/officeDocument/2006/relationships/hyperlink" Target="http://www.sec.gov/Archives/edgar/data/1581990/000119312514164185/d717953dex41.htm" TargetMode="External"/><Relationship Id="rId70" Type="http://schemas.openxmlformats.org/officeDocument/2006/relationships/hyperlink" Target="http://www.sec.gov/Archives/edgar/data/1581990/000119312514338295/d787197dex41.htm" TargetMode="External"/><Relationship Id="rId71" Type="http://schemas.openxmlformats.org/officeDocument/2006/relationships/hyperlink" Target="http://www.sec.gov/Archives/edgar/data/1581990/000119312514440012/d835488dex41.htm" TargetMode="External"/><Relationship Id="rId72" Type="http://schemas.openxmlformats.org/officeDocument/2006/relationships/hyperlink" Target="http://www.sec.gov/Archives/edgar/data/1581990/000119312514440012/d835488dex43.htm" TargetMode="External"/><Relationship Id="rId73" Type="http://schemas.openxmlformats.org/officeDocument/2006/relationships/hyperlink" Target="http://www.sec.gov/Archives/edgar/data/1070423/000119312515302829/d45393dex41.htm" TargetMode="External"/><Relationship Id="rId74" Type="http://schemas.openxmlformats.org/officeDocument/2006/relationships/hyperlink" Target="http://www.sec.gov/Archives/edgar/data/1070423/000110465916159593/a16-22232_1ex4d1.htm" TargetMode="External"/><Relationship Id="rId75" Type="http://schemas.openxmlformats.org/officeDocument/2006/relationships/hyperlink" Target="http://www.sec.gov/Archives/edgar/data/1581990/000110465913078057/a13-22338_2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2020-01-15T09:09:39Z</dcterms:created>
  <dcterms:modified xsi:type="dcterms:W3CDTF">2020-01-15T09:09:39Z</dcterms:modified>
</cp:coreProperties>
</file>