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bookmarkStart w:id="0" w:name="a2168615z424b5.htm"/>
      <w:bookmarkStart w:id="1" w:name="ksa2168615z424b5"/>
      <w:bookmarkStart w:id="2" w:name="a2168615z424b5.htm"/>
      <w:bookmarkStart w:id="3" w:name="ksa2168615z424b5"/>
      <w:bookmarkEnd w:id="2"/>
      <w:bookmarkEnd w:id="3"/>
    </w:p>
    <w:p>
      <w:pPr>
        <w:pStyle w:val="TextBody"/>
        <w:rPr/>
      </w:pPr>
      <w:r>
        <w:rPr>
          <w:sz w:val="24"/>
        </w:rPr>
        <w:t>Use these links to rapidly review the document</w:t>
        <w:br/>
      </w:r>
      <w:hyperlink w:anchor="ba1086_table_of_contents">
        <w:r>
          <w:rPr>
            <w:rStyle w:val="InternetLink"/>
            <w:sz w:val="24"/>
          </w:rPr>
          <w:t>TABLE OF CONTENTS</w:t>
        </w:r>
      </w:hyperlink>
    </w:p>
    <w:p>
      <w:pPr>
        <w:pStyle w:val="TextBody"/>
        <w:jc w:val="right"/>
        <w:rPr>
          <w:b/>
          <w:sz w:val="20"/>
        </w:rPr>
      </w:pPr>
      <w:r>
        <w:rPr>
          <w:b/>
          <w:sz w:val="20"/>
        </w:rPr>
        <w:t>Filed Pursuant to Rule 424(b)(5)</w:t>
        <w:br/>
        <w:t xml:space="preserve">Registration No. 333-126447 </w:t>
      </w:r>
    </w:p>
    <w:p>
      <w:pPr>
        <w:pStyle w:val="TextBody"/>
        <w:rPr>
          <w:b/>
          <w:sz w:val="20"/>
        </w:rPr>
      </w:pPr>
      <w:r>
        <w:rPr>
          <w:b/>
          <w:sz w:val="20"/>
        </w:rPr>
        <w:t>PROSPECTUS SUPPLEMENT</w:t>
        <w:br/>
        <w:t xml:space="preserve">(To Prospectus Dated July 22, 2005) </w:t>
      </w:r>
    </w:p>
    <w:p>
      <w:pPr>
        <w:pStyle w:val="TextBody"/>
        <w:jc w:val="center"/>
        <w:rPr/>
      </w:pPr>
      <w:r>
        <w:rPr/>
        <w:drawing>
          <wp:inline distT="0" distB="0" distL="0" distR="0">
            <wp:extent cx="3609975" cy="1114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09975" cy="1114425"/>
                    </a:xfrm>
                    <a:prstGeom prst="rect">
                      <a:avLst/>
                    </a:prstGeom>
                  </pic:spPr>
                </pic:pic>
              </a:graphicData>
            </a:graphic>
          </wp:inline>
        </w:drawing>
      </w:r>
      <w:r>
        <w:rPr/>
        <w:t xml:space="preserve"> </w:t>
      </w:r>
    </w:p>
    <w:p>
      <w:pPr>
        <w:pStyle w:val="TextBody"/>
        <w:jc w:val="center"/>
        <w:rPr>
          <w:b/>
          <w:sz w:val="28"/>
        </w:rPr>
      </w:pPr>
      <w:r>
        <w:rPr>
          <w:b/>
          <w:sz w:val="28"/>
        </w:rPr>
        <w:t>2,336,448 Common Units</w:t>
        <w:br/>
        <w:t xml:space="preserve">Representing Limited Partner Interests </w:t>
      </w:r>
    </w:p>
    <w:p>
      <w:pPr>
        <w:pStyle w:val="HorizontalLine"/>
        <w:pBdr>
          <w:bottom w:val="single" w:sz="20" w:space="0" w:color="808080"/>
        </w:pBdr>
        <w:rPr/>
      </w:pPr>
      <w:r>
        <w:rPr/>
      </w:r>
    </w:p>
    <w:p>
      <w:pPr>
        <w:pStyle w:val="TextBody"/>
        <w:rPr/>
      </w:pPr>
      <w:r>
        <w:rPr/>
        <w:t>        </w:t>
      </w:r>
      <w:r>
        <w:rPr>
          <w:sz w:val="20"/>
        </w:rPr>
        <w:t xml:space="preserve">We are offering 2,336,448 common units directly to certain purchasers (the "Purchasers") in a privately negotiated transaction at a price of $42.80 per unit. We will receive net proceeds of approximately $101.4 million, including our general partner's proportionate capital contribution after deducting offering expenses, from this sale of our common units. </w:t>
      </w:r>
    </w:p>
    <w:p>
      <w:pPr>
        <w:pStyle w:val="HorizontalLine"/>
        <w:pBdr>
          <w:bottom w:val="single" w:sz="20" w:space="0" w:color="808080"/>
        </w:pBdr>
        <w:rPr/>
      </w:pPr>
      <w:r>
        <w:rPr/>
      </w:r>
    </w:p>
    <w:p>
      <w:pPr>
        <w:pStyle w:val="TextBody"/>
        <w:rPr/>
      </w:pPr>
      <w:r>
        <w:rPr/>
        <w:t>        </w:t>
      </w:r>
      <w:r>
        <w:rPr>
          <w:sz w:val="20"/>
        </w:rPr>
        <w:t xml:space="preserve">Our common units are listed on The New York Stock Exchange under the symbol "PAA." The last reported sale price of our common units on the New York Stock Exchange on March 17, 2006 was $45.91 per share. </w:t>
      </w:r>
    </w:p>
    <w:p>
      <w:pPr>
        <w:pStyle w:val="HorizontalLine"/>
        <w:pBdr>
          <w:bottom w:val="single" w:sz="20" w:space="0" w:color="808080"/>
        </w:pBdr>
        <w:rPr/>
      </w:pPr>
      <w:r>
        <w:rPr/>
      </w:r>
    </w:p>
    <w:p>
      <w:pPr>
        <w:pStyle w:val="TextBody"/>
        <w:rPr/>
      </w:pPr>
      <w:r>
        <w:rPr/>
        <w:t>        </w:t>
      </w:r>
      <w:r>
        <w:rPr>
          <w:b/>
          <w:sz w:val="20"/>
        </w:rPr>
        <w:t>Investing in our common units involves risks. See "Risk Factors" on page S-2 of this prospectus supplement and beginning on page 5 of the accompanying prospectus.</w:t>
      </w:r>
    </w:p>
    <w:p>
      <w:pPr>
        <w:pStyle w:val="HorizontalLine"/>
        <w:pBdr>
          <w:bottom w:val="single" w:sz="20" w:space="0" w:color="808080"/>
        </w:pBdr>
        <w:rPr/>
      </w:pPr>
      <w:r>
        <w:rPr/>
      </w:r>
    </w:p>
    <w:p>
      <w:pPr>
        <w:pStyle w:val="TextBody"/>
        <w:rPr/>
      </w:pPr>
      <w:r>
        <w:rPr/>
        <w:t>        </w:t>
      </w:r>
      <w:r>
        <w:rPr>
          <w:sz w:val="20"/>
        </w:rPr>
        <w:t xml:space="preserve">We and the Purchasers executed a purchase agreement on March 16, 2006, pursuant to which we are committed to sell and the Purchasers are committed to buy an additional 1,168,224 common units, upon the satisfaction of certain conditions agreed to in the purchase agreement. We expect to receive net proceeds of approximately $51 million, including our general partner's proportionate capital contribution after deducting offering expenses, from the sale of these additional common units. </w:t>
      </w:r>
    </w:p>
    <w:p>
      <w:pPr>
        <w:pStyle w:val="HorizontalLine"/>
        <w:pBdr>
          <w:bottom w:val="single" w:sz="20" w:space="0" w:color="808080"/>
        </w:pBdr>
        <w:rPr/>
      </w:pPr>
      <w:r>
        <w:rPr/>
      </w:r>
    </w:p>
    <w:p>
      <w:pPr>
        <w:pStyle w:val="TextBody"/>
        <w:rPr/>
      </w:pPr>
      <w:r>
        <w:rPr/>
        <w:t>        </w:t>
      </w:r>
      <w:r>
        <w:rPr>
          <w:b/>
          <w:sz w:val="20"/>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pStyle w:val="TextBody"/>
        <w:jc w:val="center"/>
        <w:rPr>
          <w:sz w:val="20"/>
        </w:rPr>
      </w:pPr>
      <w:r>
        <w:rPr>
          <w:sz w:val="20"/>
        </w:rPr>
        <w:t xml:space="preserve">The date of this prospectus supplement is March 16, 2006. </w:t>
      </w:r>
    </w:p>
    <w:p>
      <w:pPr>
        <w:pStyle w:val="HorizontalLine"/>
        <w:pBdr>
          <w:bottom w:val="single" w:sz="20" w:space="0" w:color="808080"/>
        </w:pBdr>
        <w:rPr/>
      </w:pPr>
      <w:r>
        <w:rPr/>
      </w:r>
      <w:r>
        <w:br w:type="page"/>
      </w:r>
    </w:p>
    <w:p>
      <w:pPr>
        <w:pStyle w:val="TextBody"/>
        <w:rPr/>
      </w:pPr>
      <w:bookmarkStart w:id="4" w:name="page_ba1086_1_1"/>
      <w:bookmarkEnd w:id="4"/>
      <w:r>
        <w:rPr/>
        <w:t>        </w:t>
      </w:r>
      <w:r>
        <w:rPr>
          <w:sz w:val="20"/>
        </w:rPr>
        <w:t xml:space="preserve">This document is in two parts. The first part is the prospectus supplement, which describes our business and the specific terms of this offering. The second part, the base prospectus, gives more general information, some of which may not apply to this offering. Generally, when we refer only to the "prospectus," we are referring to both parts combined. If the description of the offering varies between the prospectus supplement and the base prospectus, you should rely on the information in the prospectus supplement. </w:t>
      </w:r>
    </w:p>
    <w:p>
      <w:pPr>
        <w:pStyle w:val="TextBody"/>
        <w:rPr/>
      </w:pPr>
      <w:r>
        <w:rPr/>
        <w:t>        </w:t>
      </w:r>
      <w:r>
        <w:rPr>
          <w:sz w:val="20"/>
        </w:rPr>
        <w:t xml:space="preserve">You should rely only on the information contained in or incorporated by reference in this prospectus. We have not authorized anyone to provide you with different information. We are not making an offer of the common units in any jurisdiction where the offer is not permitted. You should not assume that the information contained in this prospectus or in the documents incorporated by reference in this prospectus is accurate as of any date other than the date on the front of those documents. </w:t>
      </w:r>
    </w:p>
    <w:p>
      <w:pPr>
        <w:pStyle w:val="TextBody"/>
        <w:rPr/>
      </w:pPr>
      <w:r>
        <w:rPr/>
        <w:t>        </w:t>
      </w:r>
      <w:r>
        <w:rPr>
          <w:sz w:val="20"/>
        </w:rPr>
        <w:t xml:space="preserve">The information in this prospectus supplement is not complete. You should review carefully all of the detailed information appearing in this prospectus supplement, the accompanying prospectus and the documents we have incorporated by reference before making any investment decision. </w:t>
      </w:r>
    </w:p>
    <w:p>
      <w:pPr>
        <w:pStyle w:val="TextBody"/>
        <w:jc w:val="center"/>
        <w:rPr/>
      </w:pPr>
      <w:bookmarkStart w:id="5" w:name="ba1086_table_of_contents"/>
      <w:bookmarkEnd w:id="5"/>
      <w:r>
        <w:rPr>
          <w:sz w:val="20"/>
        </w:rPr>
        <w:br/>
      </w:r>
      <w:r>
        <w:rPr>
          <w:b/>
          <w:sz w:val="20"/>
        </w:rPr>
        <w:t xml:space="preserve">TABLE OF CONTENTS </w:t>
      </w:r>
    </w:p>
    <w:p>
      <w:pPr>
        <w:pStyle w:val="Normal"/>
        <w:spacing w:before="0" w:after="0"/>
        <w:rPr>
          <w:sz w:val="4"/>
          <w:szCs w:val="4"/>
        </w:rPr>
      </w:pPr>
      <w:r>
        <w:rPr>
          <w:sz w:val="4"/>
          <w:szCs w:val="4"/>
        </w:rPr>
      </w:r>
      <w:bookmarkStart w:id="6" w:name="BA1086_TOC"/>
      <w:bookmarkStart w:id="7" w:name="BA1086_TOC"/>
      <w:bookmarkEnd w:id="7"/>
    </w:p>
    <w:tbl>
      <w:tblPr>
        <w:tblW w:w="5000" w:type="pct"/>
        <w:jc w:val="left"/>
        <w:tblInd w:w="0" w:type="dxa"/>
        <w:tblCellMar>
          <w:top w:w="0" w:type="dxa"/>
          <w:left w:w="0" w:type="dxa"/>
          <w:bottom w:w="0" w:type="dxa"/>
          <w:right w:w="0" w:type="dxa"/>
        </w:tblCellMar>
      </w:tblPr>
      <w:tblGrid>
        <w:gridCol w:w="9492"/>
        <w:gridCol w:w="305"/>
        <w:gridCol w:w="408"/>
      </w:tblGrid>
      <w:tr>
        <w:trPr/>
        <w:tc>
          <w:tcPr>
            <w:tcW w:w="10205" w:type="dxa"/>
            <w:gridSpan w:val="3"/>
            <w:tcBorders/>
            <w:shd w:fill="auto" w:val="clear"/>
          </w:tcPr>
          <w:p>
            <w:pPr>
              <w:pStyle w:val="TableContents"/>
              <w:spacing w:before="0" w:after="283"/>
              <w:jc w:val="center"/>
              <w:rPr/>
            </w:pPr>
            <w:r>
              <w:rPr/>
              <w:br/>
            </w:r>
            <w:r>
              <w:rPr>
                <w:b/>
                <w:sz w:val="20"/>
              </w:rPr>
              <w:t>Prospectus Supplement</w:t>
            </w:r>
          </w:p>
        </w:tc>
      </w:tr>
      <w:tr>
        <w:trPr/>
        <w:tc>
          <w:tcPr>
            <w:tcW w:w="9492" w:type="dxa"/>
            <w:tcBorders/>
            <w:shd w:fill="auto" w:val="clear"/>
          </w:tcPr>
          <w:p>
            <w:pPr>
              <w:pStyle w:val="TableContents"/>
              <w:spacing w:before="0" w:after="283"/>
              <w:rPr/>
            </w:pPr>
            <w:hyperlink w:anchor="bb1086_plains_all_american_pipeline,_l.p.">
              <w:r>
                <w:rPr>
                  <w:rStyle w:val="InternetLink"/>
                  <w:sz w:val="20"/>
                </w:rPr>
                <w:br/>
                <w:t>Plains All American Pipeline, L.P.</w:t>
              </w:r>
            </w:hyperlink>
          </w:p>
        </w:tc>
        <w:tc>
          <w:tcPr>
            <w:tcW w:w="305" w:type="dxa"/>
            <w:tcBorders/>
            <w:shd w:fill="auto" w:val="clear"/>
          </w:tcPr>
          <w:p>
            <w:pPr>
              <w:pStyle w:val="TableContents"/>
              <w:spacing w:before="0" w:after="283"/>
              <w:rPr>
                <w:sz w:val="20"/>
              </w:rPr>
            </w:pPr>
            <w:r>
              <w:rPr>
                <w:sz w:val="20"/>
              </w:rPr>
              <w:br/>
              <w:t> </w:t>
            </w:r>
          </w:p>
        </w:tc>
        <w:tc>
          <w:tcPr>
            <w:tcW w:w="408" w:type="dxa"/>
            <w:tcBorders/>
            <w:shd w:fill="auto" w:val="clear"/>
          </w:tcPr>
          <w:p>
            <w:pPr>
              <w:pStyle w:val="TableContents"/>
              <w:spacing w:before="0" w:after="283"/>
              <w:jc w:val="right"/>
              <w:rPr>
                <w:sz w:val="20"/>
              </w:rPr>
            </w:pPr>
            <w:r>
              <w:rPr>
                <w:sz w:val="20"/>
              </w:rPr>
              <w:br/>
              <w:t>S-1</w:t>
            </w:r>
          </w:p>
        </w:tc>
      </w:tr>
      <w:tr>
        <w:trPr/>
        <w:tc>
          <w:tcPr>
            <w:tcW w:w="9492" w:type="dxa"/>
            <w:tcBorders/>
            <w:shd w:fill="auto" w:val="clear"/>
          </w:tcPr>
          <w:p>
            <w:pPr>
              <w:pStyle w:val="TableContents"/>
              <w:spacing w:before="0" w:after="283"/>
              <w:rPr/>
            </w:pPr>
            <w:hyperlink w:anchor="bb1086_risk_factors">
              <w:r>
                <w:rPr>
                  <w:rStyle w:val="InternetLink"/>
                  <w:sz w:val="20"/>
                </w:rPr>
                <w:t>Risk Factors</w:t>
              </w:r>
            </w:hyperlink>
          </w:p>
        </w:tc>
        <w:tc>
          <w:tcPr>
            <w:tcW w:w="305"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jc w:val="right"/>
              <w:rPr>
                <w:sz w:val="20"/>
              </w:rPr>
            </w:pPr>
            <w:r>
              <w:rPr>
                <w:sz w:val="20"/>
              </w:rPr>
              <w:t>S-2</w:t>
            </w:r>
          </w:p>
        </w:tc>
      </w:tr>
      <w:tr>
        <w:trPr/>
        <w:tc>
          <w:tcPr>
            <w:tcW w:w="9492" w:type="dxa"/>
            <w:tcBorders/>
            <w:shd w:fill="auto" w:val="clear"/>
          </w:tcPr>
          <w:p>
            <w:pPr>
              <w:pStyle w:val="TableContents"/>
              <w:spacing w:before="0" w:after="283"/>
              <w:rPr/>
            </w:pPr>
            <w:hyperlink w:anchor="bb1086_use_of_proceeds">
              <w:r>
                <w:rPr>
                  <w:rStyle w:val="InternetLink"/>
                  <w:sz w:val="20"/>
                </w:rPr>
                <w:t>Use of Proceeds</w:t>
              </w:r>
            </w:hyperlink>
          </w:p>
        </w:tc>
        <w:tc>
          <w:tcPr>
            <w:tcW w:w="305"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jc w:val="right"/>
              <w:rPr>
                <w:sz w:val="20"/>
              </w:rPr>
            </w:pPr>
            <w:r>
              <w:rPr>
                <w:sz w:val="20"/>
              </w:rPr>
              <w:t>S-2</w:t>
            </w:r>
          </w:p>
        </w:tc>
      </w:tr>
      <w:tr>
        <w:trPr/>
        <w:tc>
          <w:tcPr>
            <w:tcW w:w="9492" w:type="dxa"/>
            <w:tcBorders/>
            <w:shd w:fill="auto" w:val="clear"/>
          </w:tcPr>
          <w:p>
            <w:pPr>
              <w:pStyle w:val="TableContents"/>
              <w:spacing w:before="0" w:after="283"/>
              <w:rPr/>
            </w:pPr>
            <w:hyperlink w:anchor="bb1086_price_range_of_common_units_and_distributions">
              <w:r>
                <w:rPr>
                  <w:rStyle w:val="InternetLink"/>
                  <w:sz w:val="20"/>
                </w:rPr>
                <w:t>Price Range of Common Units and Distributions</w:t>
              </w:r>
            </w:hyperlink>
          </w:p>
        </w:tc>
        <w:tc>
          <w:tcPr>
            <w:tcW w:w="305"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jc w:val="right"/>
              <w:rPr>
                <w:sz w:val="20"/>
              </w:rPr>
            </w:pPr>
            <w:r>
              <w:rPr>
                <w:sz w:val="20"/>
              </w:rPr>
              <w:t>S-2</w:t>
            </w:r>
          </w:p>
        </w:tc>
      </w:tr>
      <w:tr>
        <w:trPr/>
        <w:tc>
          <w:tcPr>
            <w:tcW w:w="9492" w:type="dxa"/>
            <w:tcBorders/>
            <w:shd w:fill="auto" w:val="clear"/>
          </w:tcPr>
          <w:p>
            <w:pPr>
              <w:pStyle w:val="TableContents"/>
              <w:spacing w:before="0" w:after="283"/>
              <w:rPr/>
            </w:pPr>
            <w:hyperlink w:anchor="bb1086_plan_of_distribution">
              <w:r>
                <w:rPr>
                  <w:rStyle w:val="InternetLink"/>
                  <w:sz w:val="20"/>
                </w:rPr>
                <w:t>Plan of Distribution</w:t>
              </w:r>
            </w:hyperlink>
          </w:p>
        </w:tc>
        <w:tc>
          <w:tcPr>
            <w:tcW w:w="305"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jc w:val="right"/>
              <w:rPr>
                <w:sz w:val="20"/>
              </w:rPr>
            </w:pPr>
            <w:r>
              <w:rPr>
                <w:sz w:val="20"/>
              </w:rPr>
              <w:t>S-3</w:t>
            </w:r>
          </w:p>
        </w:tc>
      </w:tr>
      <w:tr>
        <w:trPr/>
        <w:tc>
          <w:tcPr>
            <w:tcW w:w="9492" w:type="dxa"/>
            <w:tcBorders/>
            <w:shd w:fill="auto" w:val="clear"/>
          </w:tcPr>
          <w:p>
            <w:pPr>
              <w:pStyle w:val="TableContents"/>
              <w:spacing w:before="0" w:after="283"/>
              <w:rPr/>
            </w:pPr>
            <w:hyperlink w:anchor="bb1086_where_you_can_find_more_information">
              <w:r>
                <w:rPr>
                  <w:rStyle w:val="InternetLink"/>
                  <w:sz w:val="20"/>
                </w:rPr>
                <w:t>Where You Can Find More Information</w:t>
              </w:r>
            </w:hyperlink>
          </w:p>
        </w:tc>
        <w:tc>
          <w:tcPr>
            <w:tcW w:w="305"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jc w:val="right"/>
              <w:rPr>
                <w:sz w:val="20"/>
              </w:rPr>
            </w:pPr>
            <w:r>
              <w:rPr>
                <w:sz w:val="20"/>
              </w:rPr>
              <w:t>S-4</w:t>
            </w:r>
          </w:p>
        </w:tc>
      </w:tr>
      <w:tr>
        <w:trPr/>
        <w:tc>
          <w:tcPr>
            <w:tcW w:w="10205" w:type="dxa"/>
            <w:gridSpan w:val="3"/>
            <w:tcBorders/>
            <w:shd w:fill="auto" w:val="clear"/>
          </w:tcPr>
          <w:p>
            <w:pPr>
              <w:pStyle w:val="TableContents"/>
              <w:spacing w:before="0" w:after="283"/>
              <w:jc w:val="center"/>
              <w:rPr/>
            </w:pPr>
            <w:r>
              <w:rPr/>
              <w:br/>
            </w:r>
            <w:r>
              <w:rPr>
                <w:b/>
                <w:sz w:val="20"/>
              </w:rPr>
              <w:t>Prospectus</w:t>
            </w:r>
          </w:p>
        </w:tc>
      </w:tr>
      <w:tr>
        <w:trPr/>
        <w:tc>
          <w:tcPr>
            <w:tcW w:w="9492" w:type="dxa"/>
            <w:tcBorders/>
            <w:shd w:fill="auto" w:val="clear"/>
          </w:tcPr>
          <w:p>
            <w:pPr>
              <w:pStyle w:val="TableContents"/>
              <w:spacing w:before="0" w:after="283"/>
              <w:rPr/>
            </w:pPr>
            <w:hyperlink w:anchor="bg1086_about_this_prospectus">
              <w:r>
                <w:rPr>
                  <w:rStyle w:val="InternetLink"/>
                  <w:sz w:val="20"/>
                </w:rPr>
                <w:br/>
                <w:t>About this Prospectus</w:t>
              </w:r>
            </w:hyperlink>
          </w:p>
        </w:tc>
        <w:tc>
          <w:tcPr>
            <w:tcW w:w="305" w:type="dxa"/>
            <w:tcBorders/>
            <w:shd w:fill="auto" w:val="clear"/>
          </w:tcPr>
          <w:p>
            <w:pPr>
              <w:pStyle w:val="TableContents"/>
              <w:spacing w:before="0" w:after="283"/>
              <w:rPr>
                <w:sz w:val="20"/>
              </w:rPr>
            </w:pPr>
            <w:r>
              <w:rPr>
                <w:sz w:val="20"/>
              </w:rPr>
              <w:br/>
              <w:t> </w:t>
            </w:r>
          </w:p>
        </w:tc>
        <w:tc>
          <w:tcPr>
            <w:tcW w:w="408" w:type="dxa"/>
            <w:tcBorders/>
            <w:shd w:fill="auto" w:val="clear"/>
          </w:tcPr>
          <w:p>
            <w:pPr>
              <w:pStyle w:val="TableContents"/>
              <w:spacing w:before="0" w:after="283"/>
              <w:jc w:val="right"/>
              <w:rPr>
                <w:sz w:val="20"/>
              </w:rPr>
            </w:pPr>
            <w:r>
              <w:rPr>
                <w:sz w:val="20"/>
              </w:rPr>
              <w:br/>
              <w:t>i</w:t>
            </w:r>
          </w:p>
        </w:tc>
      </w:tr>
      <w:tr>
        <w:trPr/>
        <w:tc>
          <w:tcPr>
            <w:tcW w:w="9492" w:type="dxa"/>
            <w:tcBorders/>
            <w:shd w:fill="auto" w:val="clear"/>
          </w:tcPr>
          <w:p>
            <w:pPr>
              <w:pStyle w:val="TableContents"/>
              <w:spacing w:before="0" w:after="283"/>
              <w:rPr/>
            </w:pPr>
            <w:hyperlink w:anchor="de1086_where_you_can_find_more_information">
              <w:r>
                <w:rPr>
                  <w:rStyle w:val="InternetLink"/>
                  <w:sz w:val="20"/>
                </w:rPr>
                <w:t>Where You Can Find More Information</w:t>
              </w:r>
            </w:hyperlink>
          </w:p>
        </w:tc>
        <w:tc>
          <w:tcPr>
            <w:tcW w:w="305"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jc w:val="right"/>
              <w:rPr>
                <w:sz w:val="20"/>
              </w:rPr>
            </w:pPr>
            <w:r>
              <w:rPr>
                <w:sz w:val="20"/>
              </w:rPr>
              <w:t>1</w:t>
            </w:r>
          </w:p>
        </w:tc>
      </w:tr>
      <w:tr>
        <w:trPr/>
        <w:tc>
          <w:tcPr>
            <w:tcW w:w="9492" w:type="dxa"/>
            <w:tcBorders/>
            <w:shd w:fill="auto" w:val="clear"/>
          </w:tcPr>
          <w:p>
            <w:pPr>
              <w:pStyle w:val="TableContents"/>
              <w:spacing w:before="0" w:after="283"/>
              <w:rPr/>
            </w:pPr>
            <w:hyperlink w:anchor="de1086_forward-looking_statements">
              <w:r>
                <w:rPr>
                  <w:rStyle w:val="InternetLink"/>
                  <w:sz w:val="20"/>
                </w:rPr>
                <w:t>Forward-Looking Statements</w:t>
              </w:r>
            </w:hyperlink>
          </w:p>
        </w:tc>
        <w:tc>
          <w:tcPr>
            <w:tcW w:w="305"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jc w:val="right"/>
              <w:rPr>
                <w:sz w:val="20"/>
              </w:rPr>
            </w:pPr>
            <w:r>
              <w:rPr>
                <w:sz w:val="20"/>
              </w:rPr>
              <w:t>2</w:t>
            </w:r>
          </w:p>
        </w:tc>
      </w:tr>
      <w:tr>
        <w:trPr/>
        <w:tc>
          <w:tcPr>
            <w:tcW w:w="9492" w:type="dxa"/>
            <w:tcBorders/>
            <w:shd w:fill="auto" w:val="clear"/>
          </w:tcPr>
          <w:p>
            <w:pPr>
              <w:pStyle w:val="TableContents"/>
              <w:spacing w:before="0" w:after="283"/>
              <w:rPr/>
            </w:pPr>
            <w:hyperlink w:anchor="de1086_who_we_are">
              <w:r>
                <w:rPr>
                  <w:rStyle w:val="InternetLink"/>
                  <w:sz w:val="20"/>
                </w:rPr>
                <w:t>Who We Are</w:t>
              </w:r>
            </w:hyperlink>
          </w:p>
        </w:tc>
        <w:tc>
          <w:tcPr>
            <w:tcW w:w="305"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jc w:val="right"/>
              <w:rPr>
                <w:sz w:val="20"/>
              </w:rPr>
            </w:pPr>
            <w:r>
              <w:rPr>
                <w:sz w:val="20"/>
              </w:rPr>
              <w:t>3</w:t>
            </w:r>
          </w:p>
        </w:tc>
      </w:tr>
      <w:tr>
        <w:trPr/>
        <w:tc>
          <w:tcPr>
            <w:tcW w:w="9492" w:type="dxa"/>
            <w:tcBorders/>
            <w:shd w:fill="auto" w:val="clear"/>
          </w:tcPr>
          <w:p>
            <w:pPr>
              <w:pStyle w:val="TableContents"/>
              <w:spacing w:before="0" w:after="283"/>
              <w:rPr/>
            </w:pPr>
            <w:hyperlink w:anchor="de1086_risk_factors">
              <w:r>
                <w:rPr>
                  <w:rStyle w:val="InternetLink"/>
                  <w:sz w:val="20"/>
                </w:rPr>
                <w:t>Risk Factors</w:t>
              </w:r>
            </w:hyperlink>
          </w:p>
        </w:tc>
        <w:tc>
          <w:tcPr>
            <w:tcW w:w="305"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jc w:val="right"/>
              <w:rPr>
                <w:sz w:val="20"/>
              </w:rPr>
            </w:pPr>
            <w:r>
              <w:rPr>
                <w:sz w:val="20"/>
              </w:rPr>
              <w:t>5</w:t>
            </w:r>
          </w:p>
        </w:tc>
      </w:tr>
      <w:tr>
        <w:trPr/>
        <w:tc>
          <w:tcPr>
            <w:tcW w:w="9492" w:type="dxa"/>
            <w:tcBorders/>
            <w:shd w:fill="auto" w:val="clear"/>
          </w:tcPr>
          <w:p>
            <w:pPr>
              <w:pStyle w:val="TableContents"/>
              <w:spacing w:before="0" w:after="283"/>
              <w:rPr/>
            </w:pPr>
            <w:hyperlink w:anchor="dg1086_use_of_proceeds">
              <w:r>
                <w:rPr>
                  <w:rStyle w:val="InternetLink"/>
                  <w:sz w:val="20"/>
                </w:rPr>
                <w:t>Use of Proceeds</w:t>
              </w:r>
            </w:hyperlink>
          </w:p>
        </w:tc>
        <w:tc>
          <w:tcPr>
            <w:tcW w:w="305"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jc w:val="right"/>
              <w:rPr>
                <w:sz w:val="20"/>
              </w:rPr>
            </w:pPr>
            <w:r>
              <w:rPr>
                <w:sz w:val="20"/>
              </w:rPr>
              <w:t>14</w:t>
            </w:r>
          </w:p>
        </w:tc>
      </w:tr>
      <w:tr>
        <w:trPr/>
        <w:tc>
          <w:tcPr>
            <w:tcW w:w="9492" w:type="dxa"/>
            <w:tcBorders/>
            <w:shd w:fill="auto" w:val="clear"/>
          </w:tcPr>
          <w:p>
            <w:pPr>
              <w:pStyle w:val="TableContents"/>
              <w:spacing w:before="0" w:after="283"/>
              <w:rPr/>
            </w:pPr>
            <w:hyperlink w:anchor="dg1086_ratio_of_earnings_to_fixed_charges">
              <w:r>
                <w:rPr>
                  <w:rStyle w:val="InternetLink"/>
                  <w:sz w:val="20"/>
                </w:rPr>
                <w:t>Ratios of Earnings to Fixed Charges</w:t>
              </w:r>
            </w:hyperlink>
          </w:p>
        </w:tc>
        <w:tc>
          <w:tcPr>
            <w:tcW w:w="305"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jc w:val="right"/>
              <w:rPr>
                <w:sz w:val="20"/>
              </w:rPr>
            </w:pPr>
            <w:r>
              <w:rPr>
                <w:sz w:val="20"/>
              </w:rPr>
              <w:t>14</w:t>
            </w:r>
          </w:p>
        </w:tc>
      </w:tr>
      <w:tr>
        <w:trPr/>
        <w:tc>
          <w:tcPr>
            <w:tcW w:w="9492" w:type="dxa"/>
            <w:tcBorders/>
            <w:shd w:fill="auto" w:val="clear"/>
          </w:tcPr>
          <w:p>
            <w:pPr>
              <w:pStyle w:val="TableContents"/>
              <w:spacing w:before="0" w:after="283"/>
              <w:rPr/>
            </w:pPr>
            <w:hyperlink w:anchor="dg1086_description_of_our_debt_securities">
              <w:r>
                <w:rPr>
                  <w:rStyle w:val="InternetLink"/>
                  <w:sz w:val="20"/>
                </w:rPr>
                <w:t>Description of Our Debt Securities</w:t>
              </w:r>
            </w:hyperlink>
          </w:p>
        </w:tc>
        <w:tc>
          <w:tcPr>
            <w:tcW w:w="305"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jc w:val="right"/>
              <w:rPr>
                <w:sz w:val="20"/>
              </w:rPr>
            </w:pPr>
            <w:r>
              <w:rPr>
                <w:sz w:val="20"/>
              </w:rPr>
              <w:t>15</w:t>
            </w:r>
          </w:p>
        </w:tc>
      </w:tr>
      <w:tr>
        <w:trPr/>
        <w:tc>
          <w:tcPr>
            <w:tcW w:w="9492" w:type="dxa"/>
            <w:tcBorders/>
            <w:shd w:fill="auto" w:val="clear"/>
          </w:tcPr>
          <w:p>
            <w:pPr>
              <w:pStyle w:val="TableContents"/>
              <w:spacing w:before="0" w:after="283"/>
              <w:rPr/>
            </w:pPr>
            <w:hyperlink w:anchor="di1086_description_of_our_common_units">
              <w:r>
                <w:rPr>
                  <w:rStyle w:val="InternetLink"/>
                  <w:sz w:val="20"/>
                </w:rPr>
                <w:t>Description of Our Common Units</w:t>
              </w:r>
            </w:hyperlink>
          </w:p>
        </w:tc>
        <w:tc>
          <w:tcPr>
            <w:tcW w:w="305"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jc w:val="right"/>
              <w:rPr>
                <w:sz w:val="20"/>
              </w:rPr>
            </w:pPr>
            <w:r>
              <w:rPr>
                <w:sz w:val="20"/>
              </w:rPr>
              <w:t>23</w:t>
            </w:r>
          </w:p>
        </w:tc>
      </w:tr>
      <w:tr>
        <w:trPr/>
        <w:tc>
          <w:tcPr>
            <w:tcW w:w="9492" w:type="dxa"/>
            <w:tcBorders/>
            <w:shd w:fill="auto" w:val="clear"/>
          </w:tcPr>
          <w:p>
            <w:pPr>
              <w:pStyle w:val="TableContents"/>
              <w:spacing w:before="0" w:after="283"/>
              <w:rPr/>
            </w:pPr>
            <w:hyperlink w:anchor="di1086_cash_distribution_policy">
              <w:r>
                <w:rPr>
                  <w:rStyle w:val="InternetLink"/>
                  <w:sz w:val="20"/>
                </w:rPr>
                <w:t>Cash Distribution Policy</w:t>
              </w:r>
            </w:hyperlink>
          </w:p>
        </w:tc>
        <w:tc>
          <w:tcPr>
            <w:tcW w:w="305"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jc w:val="right"/>
              <w:rPr>
                <w:sz w:val="20"/>
              </w:rPr>
            </w:pPr>
            <w:r>
              <w:rPr>
                <w:sz w:val="20"/>
              </w:rPr>
              <w:t>25</w:t>
            </w:r>
          </w:p>
        </w:tc>
      </w:tr>
      <w:tr>
        <w:trPr/>
        <w:tc>
          <w:tcPr>
            <w:tcW w:w="9492" w:type="dxa"/>
            <w:tcBorders/>
            <w:shd w:fill="auto" w:val="clear"/>
          </w:tcPr>
          <w:p>
            <w:pPr>
              <w:pStyle w:val="TableContents"/>
              <w:spacing w:before="0" w:after="283"/>
              <w:rPr/>
            </w:pPr>
            <w:hyperlink w:anchor="di1086_description_of_our_partnership_agreement">
              <w:r>
                <w:rPr>
                  <w:rStyle w:val="InternetLink"/>
                  <w:sz w:val="20"/>
                </w:rPr>
                <w:t>Description of Our Partnership Agreement</w:t>
              </w:r>
            </w:hyperlink>
          </w:p>
        </w:tc>
        <w:tc>
          <w:tcPr>
            <w:tcW w:w="305"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jc w:val="right"/>
              <w:rPr>
                <w:sz w:val="20"/>
              </w:rPr>
            </w:pPr>
            <w:r>
              <w:rPr>
                <w:sz w:val="20"/>
              </w:rPr>
              <w:t>29</w:t>
            </w:r>
          </w:p>
        </w:tc>
      </w:tr>
      <w:tr>
        <w:trPr/>
        <w:tc>
          <w:tcPr>
            <w:tcW w:w="9492" w:type="dxa"/>
            <w:tcBorders/>
            <w:shd w:fill="auto" w:val="clear"/>
          </w:tcPr>
          <w:p>
            <w:pPr>
              <w:pStyle w:val="TableContents"/>
              <w:spacing w:before="0" w:after="283"/>
              <w:rPr/>
            </w:pPr>
            <w:hyperlink w:anchor="dk1086_tax_considerations">
              <w:r>
                <w:rPr>
                  <w:rStyle w:val="InternetLink"/>
                  <w:sz w:val="20"/>
                </w:rPr>
                <w:t>Tax Considerations</w:t>
              </w:r>
            </w:hyperlink>
          </w:p>
        </w:tc>
        <w:tc>
          <w:tcPr>
            <w:tcW w:w="305"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jc w:val="right"/>
              <w:rPr>
                <w:sz w:val="20"/>
              </w:rPr>
            </w:pPr>
            <w:r>
              <w:rPr>
                <w:sz w:val="20"/>
              </w:rPr>
              <w:t>32</w:t>
            </w:r>
          </w:p>
        </w:tc>
      </w:tr>
      <w:tr>
        <w:trPr/>
        <w:tc>
          <w:tcPr>
            <w:tcW w:w="9492" w:type="dxa"/>
            <w:tcBorders/>
            <w:shd w:fill="auto" w:val="clear"/>
          </w:tcPr>
          <w:p>
            <w:pPr>
              <w:pStyle w:val="TableContents"/>
              <w:spacing w:before="0" w:after="283"/>
              <w:rPr/>
            </w:pPr>
            <w:hyperlink w:anchor="dm1086_plan_of_distribution">
              <w:r>
                <w:rPr>
                  <w:rStyle w:val="InternetLink"/>
                  <w:sz w:val="20"/>
                </w:rPr>
                <w:t>Plan of Distribution</w:t>
              </w:r>
            </w:hyperlink>
          </w:p>
        </w:tc>
        <w:tc>
          <w:tcPr>
            <w:tcW w:w="305"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jc w:val="right"/>
              <w:rPr>
                <w:sz w:val="20"/>
              </w:rPr>
            </w:pPr>
            <w:r>
              <w:rPr>
                <w:sz w:val="20"/>
              </w:rPr>
              <w:t>46</w:t>
            </w:r>
          </w:p>
        </w:tc>
      </w:tr>
      <w:tr>
        <w:trPr/>
        <w:tc>
          <w:tcPr>
            <w:tcW w:w="9492" w:type="dxa"/>
            <w:tcBorders/>
            <w:shd w:fill="auto" w:val="clear"/>
          </w:tcPr>
          <w:p>
            <w:pPr>
              <w:pStyle w:val="TableContents"/>
              <w:spacing w:before="0" w:after="283"/>
              <w:rPr/>
            </w:pPr>
            <w:hyperlink w:anchor="dm1086_legal_matters">
              <w:r>
                <w:rPr>
                  <w:rStyle w:val="InternetLink"/>
                  <w:sz w:val="20"/>
                </w:rPr>
                <w:t>Legal Matters</w:t>
              </w:r>
            </w:hyperlink>
          </w:p>
        </w:tc>
        <w:tc>
          <w:tcPr>
            <w:tcW w:w="305"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jc w:val="right"/>
              <w:rPr>
                <w:sz w:val="20"/>
              </w:rPr>
            </w:pPr>
            <w:r>
              <w:rPr>
                <w:sz w:val="20"/>
              </w:rPr>
              <w:t>47</w:t>
            </w:r>
          </w:p>
        </w:tc>
      </w:tr>
      <w:tr>
        <w:trPr/>
        <w:tc>
          <w:tcPr>
            <w:tcW w:w="9492" w:type="dxa"/>
            <w:tcBorders/>
            <w:shd w:fill="auto" w:val="clear"/>
          </w:tcPr>
          <w:p>
            <w:pPr>
              <w:pStyle w:val="TableContents"/>
              <w:spacing w:before="0" w:after="283"/>
              <w:rPr/>
            </w:pPr>
            <w:hyperlink w:anchor="dm1086_experts">
              <w:r>
                <w:rPr>
                  <w:rStyle w:val="InternetLink"/>
                  <w:sz w:val="20"/>
                </w:rPr>
                <w:t>Experts</w:t>
              </w:r>
            </w:hyperlink>
          </w:p>
        </w:tc>
        <w:tc>
          <w:tcPr>
            <w:tcW w:w="305"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jc w:val="right"/>
              <w:rPr>
                <w:sz w:val="20"/>
              </w:rPr>
            </w:pPr>
            <w:r>
              <w:rPr>
                <w:sz w:val="20"/>
              </w:rPr>
              <w:t>47</w:t>
            </w:r>
          </w:p>
        </w:tc>
      </w:tr>
    </w:tbl>
    <w:p>
      <w:pPr>
        <w:pStyle w:val="TextBody"/>
        <w:jc w:val="center"/>
        <w:rPr>
          <w:sz w:val="20"/>
        </w:rPr>
      </w:pPr>
      <w:r>
        <w:rPr>
          <w:sz w:val="20"/>
        </w:rPr>
        <w:t>S-i</w:t>
      </w:r>
    </w:p>
    <w:p>
      <w:pPr>
        <w:pStyle w:val="HorizontalLine"/>
        <w:pBdr>
          <w:bottom w:val="single" w:sz="20" w:space="0" w:color="808080"/>
        </w:pBdr>
        <w:rPr/>
      </w:pPr>
      <w:r>
        <w:rPr/>
      </w:r>
      <w:r>
        <w:br w:type="page"/>
      </w:r>
    </w:p>
    <w:p>
      <w:pPr>
        <w:pStyle w:val="TextBody"/>
        <w:jc w:val="center"/>
        <w:rPr/>
      </w:pPr>
      <w:bookmarkStart w:id="8" w:name="toc_bb1086_1"/>
      <w:bookmarkStart w:id="9" w:name="bb1086_plains_all_american_pipeline,_l.p"/>
      <w:bookmarkStart w:id="10" w:name="page_bb1086_1_1"/>
      <w:bookmarkEnd w:id="8"/>
      <w:bookmarkEnd w:id="9"/>
      <w:bookmarkEnd w:id="10"/>
      <w:r>
        <w:rPr>
          <w:sz w:val="20"/>
        </w:rPr>
        <w:br/>
      </w:r>
      <w:r>
        <w:rPr>
          <w:b/>
          <w:sz w:val="20"/>
        </w:rPr>
        <w:t xml:space="preserve">PLAINS ALL AMERICAN PIPELINE, L.P. </w:t>
      </w:r>
    </w:p>
    <w:p>
      <w:pPr>
        <w:pStyle w:val="TextBody"/>
        <w:rPr/>
      </w:pPr>
      <w:r>
        <w:rPr/>
        <w:t>        </w:t>
      </w:r>
      <w:r>
        <w:rPr>
          <w:sz w:val="20"/>
        </w:rPr>
        <w:t xml:space="preserve">Plains All American Pipeline, L.P. is a Delaware limited partnership formed in September 1998. Our operations are conducted directly and indirectly through our primary operating subsidiaries, Plains Marketing, L.P., Plains Pipeline, L.P. and Plains Marketing Canada, L.P. As used in this prospectus supplement, the terms "we," "us," "our," "ours" and similar terms refer to Plains All American Pipeline, L.P. and its subsidiaries, unless the context indicates otherwise. We are engaged in interstate and intrastate crude oil transportation and crude oil gathering, marketing, terminalling and storage, as well as the marketing and storage of liquefied petroleum gas and other natural gas related petroleum products. </w:t>
      </w:r>
    </w:p>
    <w:p>
      <w:pPr>
        <w:pStyle w:val="TextBody"/>
        <w:rPr/>
      </w:pPr>
      <w:r>
        <w:rPr/>
        <w:t>        </w:t>
      </w:r>
      <w:r>
        <w:rPr>
          <w:sz w:val="20"/>
        </w:rPr>
        <w:t xml:space="preserve">In addition, through our 50% equity ownership in PAA/Vulcan Gas Storage, LLC, we are engaged in the development and operation of natural gas storage facilities. </w:t>
      </w:r>
    </w:p>
    <w:p>
      <w:pPr>
        <w:pStyle w:val="TextBody"/>
        <w:jc w:val="center"/>
        <w:rPr>
          <w:sz w:val="20"/>
        </w:rPr>
      </w:pPr>
      <w:r>
        <w:rPr>
          <w:sz w:val="20"/>
        </w:rPr>
        <w:t>S-1</w:t>
      </w:r>
    </w:p>
    <w:p>
      <w:pPr>
        <w:pStyle w:val="HorizontalLine"/>
        <w:pBdr>
          <w:bottom w:val="single" w:sz="20" w:space="0" w:color="808080"/>
        </w:pBdr>
        <w:rPr/>
      </w:pPr>
      <w:r>
        <w:rPr/>
      </w:r>
      <w:r>
        <w:br w:type="page"/>
      </w:r>
    </w:p>
    <w:p>
      <w:pPr>
        <w:pStyle w:val="TextBody"/>
        <w:jc w:val="center"/>
        <w:rPr/>
      </w:pPr>
      <w:bookmarkStart w:id="11" w:name="toc_bb1086_2"/>
      <w:bookmarkStart w:id="12" w:name="bb1086_risk_factors"/>
      <w:bookmarkStart w:id="13" w:name="page_bb1086_1_2"/>
      <w:bookmarkEnd w:id="11"/>
      <w:bookmarkEnd w:id="12"/>
      <w:bookmarkEnd w:id="13"/>
      <w:r>
        <w:rPr>
          <w:sz w:val="20"/>
        </w:rPr>
        <w:br/>
      </w:r>
      <w:r>
        <w:rPr>
          <w:b/>
          <w:sz w:val="20"/>
        </w:rPr>
        <w:t xml:space="preserve">RISK FACTORS </w:t>
      </w:r>
    </w:p>
    <w:p>
      <w:pPr>
        <w:pStyle w:val="TextBody"/>
        <w:rPr/>
      </w:pPr>
      <w:r>
        <w:rPr/>
        <w:t>        </w:t>
      </w:r>
      <w:r>
        <w:rPr>
          <w:sz w:val="20"/>
        </w:rPr>
        <w:t xml:space="preserve">You should read carefully the discussion of the material risks relating to an investment in the common units offered by us under the caption "Risk Factors" beginning on page 5 of the accompanying base prospectus, as well as those risks discussed in our Annual Report on Form 10-K for the year ended December 31, 2005, which are incorporated by reference into this prospectus supplement. </w:t>
      </w:r>
    </w:p>
    <w:p>
      <w:pPr>
        <w:pStyle w:val="TextBody"/>
        <w:jc w:val="center"/>
        <w:rPr/>
      </w:pPr>
      <w:bookmarkStart w:id="14" w:name="toc_bb1086_3"/>
      <w:bookmarkStart w:id="15" w:name="bb1086_use_of_proceeds"/>
      <w:bookmarkEnd w:id="14"/>
      <w:bookmarkEnd w:id="15"/>
      <w:r>
        <w:rPr>
          <w:sz w:val="20"/>
        </w:rPr>
        <w:br/>
      </w:r>
      <w:r>
        <w:rPr>
          <w:b/>
          <w:sz w:val="20"/>
        </w:rPr>
        <w:t xml:space="preserve">USE OF PROCEEDS </w:t>
      </w:r>
    </w:p>
    <w:p>
      <w:pPr>
        <w:pStyle w:val="TextBody"/>
        <w:rPr/>
      </w:pPr>
      <w:r>
        <w:rPr/>
        <w:t>        </w:t>
      </w:r>
      <w:r>
        <w:rPr>
          <w:sz w:val="20"/>
        </w:rPr>
        <w:t xml:space="preserve">The net proceeds of this offering will be approximately $101.4 million, including our general partner's proportionate capital contribution after deducting estimated offering expenses. We intend to use the net proceeds of this offering to fund a portion of our pending acquisition of Andrews Petroleum, Inc. and related businesses, or, in the event the acquisition does not close, to reduce indebtedness or for general partnership purposes. The remainder of the purchase price of our pending acquisition will be financed with the net proceeds from the sale of the additional 1,168,224 units (approximately $51 million), borrowings under our revolving credit facilities or cash on hand, or a combination thereof. </w:t>
      </w:r>
    </w:p>
    <w:p>
      <w:pPr>
        <w:pStyle w:val="TextBody"/>
        <w:jc w:val="center"/>
        <w:rPr/>
      </w:pPr>
      <w:bookmarkStart w:id="16" w:name="toc_bb1086_4"/>
      <w:bookmarkStart w:id="17" w:name="bb1086_price_range_of_common_units_and_d"/>
      <w:bookmarkEnd w:id="16"/>
      <w:bookmarkEnd w:id="17"/>
      <w:r>
        <w:rPr>
          <w:sz w:val="20"/>
        </w:rPr>
        <w:br/>
      </w:r>
      <w:r>
        <w:rPr>
          <w:b/>
          <w:sz w:val="20"/>
        </w:rPr>
        <w:t xml:space="preserve">PRICE RANGE OF COMMON UNITS AND DISTRIBUTIONS </w:t>
      </w:r>
    </w:p>
    <w:p>
      <w:pPr>
        <w:pStyle w:val="TextBody"/>
        <w:rPr/>
      </w:pPr>
      <w:r>
        <w:rPr/>
        <w:t>        </w:t>
      </w:r>
      <w:r>
        <w:rPr>
          <w:sz w:val="20"/>
        </w:rPr>
        <w:t xml:space="preserve">As of March 17, 2006, we had 73,768,576 common units outstanding, held by approximately 49,000 record holders and beneficial owners including common units held in street name. Our common units are traded on the New York Stock Exchange under the symbol "PAA." </w:t>
      </w:r>
    </w:p>
    <w:p>
      <w:pPr>
        <w:pStyle w:val="TextBody"/>
        <w:rPr/>
      </w:pPr>
      <w:r>
        <w:rPr/>
        <w:t>        </w:t>
      </w:r>
      <w:r>
        <w:rPr>
          <w:sz w:val="20"/>
        </w:rPr>
        <w:t xml:space="preserve">The following table sets forth, for the periods indicated, the high and low sales prices for the common units, as reported on the New York Stock Exchange Composite Transactions Tape, and quarterly cash distributions declared per common unit and subordinated unit. The last reported sale price of common units on the New York Stock Exchange on March 17, 2006 was $45.91 per common unit. </w:t>
      </w:r>
    </w:p>
    <w:tbl>
      <w:tblPr>
        <w:tblW w:w="5000" w:type="pct"/>
        <w:jc w:val="left"/>
        <w:tblInd w:w="0" w:type="dxa"/>
        <w:tblCellMar>
          <w:top w:w="0" w:type="dxa"/>
          <w:left w:w="0" w:type="dxa"/>
          <w:bottom w:w="0" w:type="dxa"/>
          <w:right w:w="0" w:type="dxa"/>
        </w:tblCellMar>
      </w:tblPr>
      <w:tblGrid>
        <w:gridCol w:w="5939"/>
        <w:gridCol w:w="208"/>
        <w:gridCol w:w="207"/>
        <w:gridCol w:w="625"/>
        <w:gridCol w:w="208"/>
        <w:gridCol w:w="207"/>
        <w:gridCol w:w="626"/>
        <w:gridCol w:w="311"/>
        <w:gridCol w:w="208"/>
        <w:gridCol w:w="1562"/>
        <w:gridCol w:w="104"/>
      </w:tblGrid>
      <w:tr>
        <w:trPr/>
        <w:tc>
          <w:tcPr>
            <w:tcW w:w="5939" w:type="dxa"/>
            <w:tcBorders/>
            <w:shd w:fill="auto" w:val="clear"/>
            <w:vAlign w:val="bottom"/>
          </w:tcPr>
          <w:p>
            <w:pPr>
              <w:pStyle w:val="TableHeading"/>
              <w:spacing w:before="0" w:after="283"/>
              <w:jc w:val="left"/>
              <w:rPr/>
            </w:pPr>
            <w:r>
              <w:rPr/>
              <w:t> </w:t>
            </w:r>
          </w:p>
        </w:tc>
        <w:tc>
          <w:tcPr>
            <w:tcW w:w="208" w:type="dxa"/>
            <w:vMerge w:val="restart"/>
            <w:tcBorders/>
            <w:shd w:fill="auto" w:val="clear"/>
            <w:vAlign w:val="bottom"/>
          </w:tcPr>
          <w:p>
            <w:pPr>
              <w:pStyle w:val="TableHeading"/>
              <w:suppressLineNumbers/>
              <w:spacing w:before="0" w:after="283"/>
              <w:jc w:val="center"/>
              <w:rPr/>
            </w:pPr>
            <w:r>
              <w:rPr/>
              <w:t> </w:t>
            </w:r>
          </w:p>
        </w:tc>
        <w:tc>
          <w:tcPr>
            <w:tcW w:w="1873" w:type="dxa"/>
            <w:gridSpan w:val="5"/>
            <w:vMerge w:val="restart"/>
            <w:tcBorders/>
            <w:shd w:fill="auto" w:val="clear"/>
            <w:vAlign w:val="bottom"/>
          </w:tcPr>
          <w:p>
            <w:pPr>
              <w:pStyle w:val="TableHeading"/>
              <w:spacing w:before="0" w:after="0"/>
              <w:jc w:val="center"/>
              <w:rPr>
                <w:b/>
                <w:sz w:val="14"/>
              </w:rPr>
            </w:pPr>
            <w:r>
              <w:rPr>
                <w:b/>
                <w:sz w:val="14"/>
              </w:rPr>
              <w:t>Price Range</w:t>
            </w:r>
          </w:p>
          <w:p>
            <w:pPr>
              <w:pStyle w:val="HorizontalLine"/>
              <w:pBdr>
                <w:bottom w:val="single" w:sz="20" w:space="0" w:color="808080"/>
              </w:pBdr>
              <w:spacing w:before="0" w:after="283"/>
              <w:rPr/>
            </w:pPr>
            <w:r>
              <w:rPr/>
            </w:r>
          </w:p>
        </w:tc>
        <w:tc>
          <w:tcPr>
            <w:tcW w:w="311" w:type="dxa"/>
            <w:tcBorders/>
            <w:shd w:fill="auto" w:val="clear"/>
            <w:vAlign w:val="bottom"/>
          </w:tcPr>
          <w:p>
            <w:pPr>
              <w:pStyle w:val="TableHeading"/>
              <w:suppressLineNumbers/>
              <w:spacing w:before="0" w:after="283"/>
              <w:jc w:val="center"/>
              <w:rPr/>
            </w:pPr>
            <w:r>
              <w:rPr/>
              <w:t> </w:t>
            </w:r>
          </w:p>
        </w:tc>
        <w:tc>
          <w:tcPr>
            <w:tcW w:w="1770" w:type="dxa"/>
            <w:gridSpan w:val="2"/>
            <w:tcBorders/>
            <w:shd w:fill="auto" w:val="clear"/>
            <w:vAlign w:val="bottom"/>
          </w:tcPr>
          <w:p>
            <w:pPr>
              <w:pStyle w:val="TableHeading"/>
              <w:spacing w:before="0" w:after="283"/>
              <w:jc w:val="left"/>
              <w:rPr/>
            </w:pPr>
            <w:r>
              <w:rPr/>
              <w:t> </w:t>
            </w:r>
          </w:p>
        </w:tc>
        <w:tc>
          <w:tcPr>
            <w:tcW w:w="104" w:type="dxa"/>
            <w:tcBorders/>
            <w:shd w:fill="auto" w:val="clear"/>
            <w:vAlign w:val="bottom"/>
          </w:tcPr>
          <w:p>
            <w:pPr>
              <w:pStyle w:val="TableHeading"/>
              <w:suppressLineNumbers/>
              <w:spacing w:before="0" w:after="283"/>
              <w:jc w:val="center"/>
              <w:rPr/>
            </w:pPr>
            <w:r>
              <w:rPr/>
              <w:t> </w:t>
            </w:r>
          </w:p>
        </w:tc>
      </w:tr>
      <w:tr>
        <w:trPr/>
        <w:tc>
          <w:tcPr>
            <w:tcW w:w="5939" w:type="dxa"/>
            <w:tcBorders/>
            <w:shd w:fill="auto" w:val="clear"/>
            <w:vAlign w:val="bottom"/>
          </w:tcPr>
          <w:p>
            <w:pPr>
              <w:pStyle w:val="TableHeading"/>
              <w:spacing w:before="0" w:after="283"/>
              <w:jc w:val="left"/>
              <w:rPr/>
            </w:pPr>
            <w:r>
              <w:rPr/>
              <w:t> </w:t>
            </w:r>
          </w:p>
        </w:tc>
        <w:tc>
          <w:tcPr>
            <w:tcW w:w="208" w:type="dxa"/>
            <w:vMerge w:val="continue"/>
            <w:tcBorders/>
            <w:shd w:fill="auto" w:val="clear"/>
            <w:vAlign w:val="bottom"/>
          </w:tcPr>
          <w:p>
            <w:pPr>
              <w:pStyle w:val="Normal"/>
              <w:rPr/>
            </w:pPr>
            <w:r>
              <w:rPr/>
            </w:r>
          </w:p>
        </w:tc>
        <w:tc>
          <w:tcPr>
            <w:tcW w:w="1873" w:type="dxa"/>
            <w:gridSpan w:val="5"/>
            <w:vMerge w:val="continue"/>
            <w:tcBorders/>
            <w:shd w:fill="auto" w:val="clear"/>
            <w:vAlign w:val="bottom"/>
          </w:tcPr>
          <w:p>
            <w:pPr>
              <w:pStyle w:val="Normal"/>
              <w:rPr/>
            </w:pPr>
            <w:r>
              <w:rPr/>
            </w:r>
          </w:p>
        </w:tc>
        <w:tc>
          <w:tcPr>
            <w:tcW w:w="311" w:type="dxa"/>
            <w:vMerge w:val="restart"/>
            <w:tcBorders/>
            <w:shd w:fill="auto" w:val="clear"/>
            <w:vAlign w:val="bottom"/>
          </w:tcPr>
          <w:p>
            <w:pPr>
              <w:pStyle w:val="TableHeading"/>
              <w:suppressLineNumbers/>
              <w:spacing w:before="0" w:after="283"/>
              <w:jc w:val="center"/>
              <w:rPr/>
            </w:pPr>
            <w:r>
              <w:rPr/>
              <w:t> </w:t>
            </w:r>
          </w:p>
        </w:tc>
        <w:tc>
          <w:tcPr>
            <w:tcW w:w="1770" w:type="dxa"/>
            <w:gridSpan w:val="2"/>
            <w:vMerge w:val="restart"/>
            <w:tcBorders/>
            <w:shd w:fill="auto" w:val="clear"/>
            <w:vAlign w:val="bottom"/>
          </w:tcPr>
          <w:p>
            <w:pPr>
              <w:pStyle w:val="TableHeading"/>
              <w:spacing w:before="0" w:after="0"/>
              <w:jc w:val="center"/>
              <w:rPr>
                <w:b/>
                <w:sz w:val="14"/>
              </w:rPr>
            </w:pPr>
            <w:r>
              <w:rPr>
                <w:b/>
                <w:sz w:val="14"/>
              </w:rPr>
              <w:t>Cash</w:t>
              <w:br/>
              <w:t>Distributions(1)</w:t>
            </w:r>
          </w:p>
          <w:p>
            <w:pPr>
              <w:pStyle w:val="HorizontalLine"/>
              <w:pBdr>
                <w:bottom w:val="single" w:sz="20" w:space="0" w:color="808080"/>
              </w:pBdr>
              <w:spacing w:before="0" w:after="283"/>
              <w:rPr/>
            </w:pPr>
            <w:r>
              <w:rPr/>
            </w:r>
          </w:p>
        </w:tc>
        <w:tc>
          <w:tcPr>
            <w:tcW w:w="104" w:type="dxa"/>
            <w:tcBorders/>
            <w:shd w:fill="auto" w:val="clear"/>
            <w:vAlign w:val="bottom"/>
          </w:tcPr>
          <w:p>
            <w:pPr>
              <w:pStyle w:val="TableHeading"/>
              <w:suppressLineNumbers/>
              <w:spacing w:before="0" w:after="283"/>
              <w:jc w:val="center"/>
              <w:rPr/>
            </w:pPr>
            <w:r>
              <w:rPr/>
              <w:t> </w:t>
            </w:r>
          </w:p>
        </w:tc>
      </w:tr>
      <w:tr>
        <w:trPr/>
        <w:tc>
          <w:tcPr>
            <w:tcW w:w="5939" w:type="dxa"/>
            <w:tcBorders/>
            <w:shd w:fill="auto" w:val="clear"/>
            <w:vAlign w:val="bottom"/>
          </w:tcPr>
          <w:p>
            <w:pPr>
              <w:pStyle w:val="TableHeading"/>
              <w:spacing w:before="0" w:after="283"/>
              <w:jc w:val="left"/>
              <w:rPr/>
            </w:pPr>
            <w:r>
              <w:rPr/>
              <w:t> </w:t>
            </w:r>
          </w:p>
        </w:tc>
        <w:tc>
          <w:tcPr>
            <w:tcW w:w="208" w:type="dxa"/>
            <w:tcBorders/>
            <w:shd w:fill="auto" w:val="clear"/>
            <w:vAlign w:val="bottom"/>
          </w:tcPr>
          <w:p>
            <w:pPr>
              <w:pStyle w:val="TableHeading"/>
              <w:suppressLineNumbers/>
              <w:spacing w:before="0" w:after="283"/>
              <w:jc w:val="center"/>
              <w:rPr/>
            </w:pPr>
            <w:r>
              <w:rPr/>
              <w:t> </w:t>
            </w:r>
          </w:p>
        </w:tc>
        <w:tc>
          <w:tcPr>
            <w:tcW w:w="832" w:type="dxa"/>
            <w:gridSpan w:val="2"/>
            <w:tcBorders/>
            <w:shd w:fill="auto" w:val="clear"/>
            <w:vAlign w:val="bottom"/>
          </w:tcPr>
          <w:p>
            <w:pPr>
              <w:pStyle w:val="TableHeading"/>
              <w:spacing w:before="0" w:after="0"/>
              <w:jc w:val="center"/>
              <w:rPr>
                <w:b/>
                <w:sz w:val="14"/>
              </w:rPr>
            </w:pPr>
            <w:r>
              <w:rPr>
                <w:b/>
                <w:sz w:val="14"/>
              </w:rPr>
              <w:t>High</w:t>
            </w:r>
          </w:p>
          <w:p>
            <w:pPr>
              <w:pStyle w:val="HorizontalLine"/>
              <w:pBdr>
                <w:bottom w:val="single" w:sz="20" w:space="0" w:color="808080"/>
              </w:pBdr>
              <w:spacing w:before="0" w:after="283"/>
              <w:rPr/>
            </w:pPr>
            <w:r>
              <w:rPr/>
            </w:r>
          </w:p>
        </w:tc>
        <w:tc>
          <w:tcPr>
            <w:tcW w:w="208" w:type="dxa"/>
            <w:tcBorders/>
            <w:shd w:fill="auto" w:val="clear"/>
            <w:vAlign w:val="bottom"/>
          </w:tcPr>
          <w:p>
            <w:pPr>
              <w:pStyle w:val="TableHeading"/>
              <w:suppressLineNumbers/>
              <w:spacing w:before="0" w:after="283"/>
              <w:jc w:val="center"/>
              <w:rPr/>
            </w:pPr>
            <w:r>
              <w:rPr/>
              <w:t> </w:t>
            </w:r>
          </w:p>
        </w:tc>
        <w:tc>
          <w:tcPr>
            <w:tcW w:w="833" w:type="dxa"/>
            <w:gridSpan w:val="2"/>
            <w:tcBorders/>
            <w:shd w:fill="auto" w:val="clear"/>
            <w:vAlign w:val="bottom"/>
          </w:tcPr>
          <w:p>
            <w:pPr>
              <w:pStyle w:val="TableHeading"/>
              <w:spacing w:before="0" w:after="0"/>
              <w:jc w:val="center"/>
              <w:rPr>
                <w:b/>
                <w:sz w:val="14"/>
              </w:rPr>
            </w:pPr>
            <w:r>
              <w:rPr>
                <w:b/>
                <w:sz w:val="14"/>
              </w:rPr>
              <w:t>Low</w:t>
            </w:r>
          </w:p>
          <w:p>
            <w:pPr>
              <w:pStyle w:val="HorizontalLine"/>
              <w:pBdr>
                <w:bottom w:val="single" w:sz="20" w:space="0" w:color="808080"/>
              </w:pBdr>
              <w:spacing w:before="0" w:after="283"/>
              <w:rPr/>
            </w:pPr>
            <w:r>
              <w:rPr/>
            </w:r>
          </w:p>
        </w:tc>
        <w:tc>
          <w:tcPr>
            <w:tcW w:w="311" w:type="dxa"/>
            <w:vMerge w:val="continue"/>
            <w:tcBorders/>
            <w:shd w:fill="auto" w:val="clear"/>
            <w:vAlign w:val="bottom"/>
          </w:tcPr>
          <w:p>
            <w:pPr>
              <w:pStyle w:val="Normal"/>
              <w:rPr/>
            </w:pPr>
            <w:r>
              <w:rPr/>
            </w:r>
          </w:p>
        </w:tc>
        <w:tc>
          <w:tcPr>
            <w:tcW w:w="1770" w:type="dxa"/>
            <w:gridSpan w:val="2"/>
            <w:vMerge w:val="continue"/>
            <w:tcBorders/>
            <w:shd w:fill="auto" w:val="clear"/>
            <w:vAlign w:val="bottom"/>
          </w:tcPr>
          <w:p>
            <w:pPr>
              <w:pStyle w:val="Normal"/>
              <w:rPr/>
            </w:pPr>
            <w:r>
              <w:rPr/>
            </w:r>
          </w:p>
        </w:tc>
        <w:tc>
          <w:tcPr>
            <w:tcW w:w="104" w:type="dxa"/>
            <w:tcBorders/>
            <w:shd w:fill="auto" w:val="clear"/>
            <w:vAlign w:val="bottom"/>
          </w:tcPr>
          <w:p>
            <w:pPr>
              <w:pStyle w:val="TableHeading"/>
              <w:suppressLineNumbers/>
              <w:spacing w:before="0" w:after="283"/>
              <w:jc w:val="center"/>
              <w:rPr/>
            </w:pPr>
            <w:r>
              <w:rPr/>
              <w:t> </w:t>
            </w:r>
          </w:p>
        </w:tc>
      </w:tr>
      <w:tr>
        <w:trPr/>
        <w:tc>
          <w:tcPr>
            <w:tcW w:w="5939" w:type="dxa"/>
            <w:tcBorders/>
            <w:shd w:fill="CCEEFF" w:val="clear"/>
          </w:tcPr>
          <w:p>
            <w:pPr>
              <w:pStyle w:val="TableContents"/>
              <w:spacing w:before="0" w:after="283"/>
              <w:rPr>
                <w:b/>
                <w:sz w:val="20"/>
              </w:rPr>
            </w:pPr>
            <w:r>
              <w:rPr>
                <w:b/>
                <w:sz w:val="20"/>
              </w:rPr>
              <w:t>2004</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626" w:type="dxa"/>
            <w:tcBorders/>
            <w:shd w:fill="CCEEFF" w:val="clear"/>
          </w:tcPr>
          <w:p>
            <w:pPr>
              <w:pStyle w:val="TableContents"/>
              <w:spacing w:before="0" w:after="283"/>
              <w:rPr/>
            </w:pPr>
            <w:r>
              <w:rPr/>
              <w:t> </w:t>
            </w:r>
          </w:p>
        </w:tc>
        <w:tc>
          <w:tcPr>
            <w:tcW w:w="311"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562" w:type="dxa"/>
            <w:tcBorders/>
            <w:shd w:fill="CCEEFF" w:val="clear"/>
          </w:tcPr>
          <w:p>
            <w:pPr>
              <w:pStyle w:val="TableContents"/>
              <w:spacing w:before="0" w:after="283"/>
              <w:rPr/>
            </w:pPr>
            <w:r>
              <w:rPr/>
              <w:t> </w:t>
            </w:r>
          </w:p>
        </w:tc>
        <w:tc>
          <w:tcPr>
            <w:tcW w:w="104" w:type="dxa"/>
            <w:tcBorders/>
            <w:shd w:fill="CCEEFF" w:val="clear"/>
          </w:tcPr>
          <w:p>
            <w:pPr>
              <w:pStyle w:val="TableContents"/>
              <w:spacing w:before="0" w:after="283"/>
              <w:rPr/>
            </w:pPr>
            <w:r>
              <w:rPr/>
              <w:t> </w:t>
            </w:r>
          </w:p>
        </w:tc>
      </w:tr>
      <w:tr>
        <w:trPr/>
        <w:tc>
          <w:tcPr>
            <w:tcW w:w="5939" w:type="dxa"/>
            <w:tcBorders/>
            <w:shd w:fill="FFFFFF" w:val="clear"/>
          </w:tcPr>
          <w:p>
            <w:pPr>
              <w:pStyle w:val="TableContents"/>
              <w:spacing w:before="0" w:after="283"/>
              <w:rPr>
                <w:sz w:val="20"/>
              </w:rPr>
            </w:pPr>
            <w:r>
              <w:rPr>
                <w:sz w:val="20"/>
              </w:rPr>
              <w:t>First Quarter</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sz w:val="20"/>
              </w:rPr>
            </w:pPr>
            <w:r>
              <w:rPr>
                <w:sz w:val="20"/>
              </w:rPr>
              <w:t>$</w:t>
            </w:r>
          </w:p>
        </w:tc>
        <w:tc>
          <w:tcPr>
            <w:tcW w:w="625" w:type="dxa"/>
            <w:tcBorders/>
            <w:shd w:fill="FFFFFF" w:val="clear"/>
          </w:tcPr>
          <w:p>
            <w:pPr>
              <w:pStyle w:val="TableContents"/>
              <w:spacing w:before="0" w:after="283"/>
              <w:jc w:val="right"/>
              <w:rPr>
                <w:sz w:val="20"/>
              </w:rPr>
            </w:pPr>
            <w:r>
              <w:rPr>
                <w:sz w:val="20"/>
              </w:rPr>
              <w:t>35.23</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sz w:val="20"/>
              </w:rPr>
            </w:pPr>
            <w:r>
              <w:rPr>
                <w:sz w:val="20"/>
              </w:rPr>
              <w:t>$</w:t>
            </w:r>
          </w:p>
        </w:tc>
        <w:tc>
          <w:tcPr>
            <w:tcW w:w="626" w:type="dxa"/>
            <w:tcBorders/>
            <w:shd w:fill="FFFFFF" w:val="clear"/>
          </w:tcPr>
          <w:p>
            <w:pPr>
              <w:pStyle w:val="TableContents"/>
              <w:spacing w:before="0" w:after="283"/>
              <w:jc w:val="right"/>
              <w:rPr>
                <w:sz w:val="20"/>
              </w:rPr>
            </w:pPr>
            <w:r>
              <w:rPr>
                <w:sz w:val="20"/>
              </w:rPr>
              <w:t>31.18</w:t>
            </w:r>
          </w:p>
        </w:tc>
        <w:tc>
          <w:tcPr>
            <w:tcW w:w="311"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1562" w:type="dxa"/>
            <w:tcBorders/>
            <w:shd w:fill="FFFFFF" w:val="clear"/>
          </w:tcPr>
          <w:p>
            <w:pPr>
              <w:pStyle w:val="TableContents"/>
              <w:spacing w:before="0" w:after="283"/>
              <w:jc w:val="right"/>
              <w:rPr>
                <w:sz w:val="20"/>
              </w:rPr>
            </w:pPr>
            <w:r>
              <w:rPr>
                <w:sz w:val="20"/>
              </w:rPr>
              <w:t>0.5625</w:t>
            </w:r>
          </w:p>
        </w:tc>
        <w:tc>
          <w:tcPr>
            <w:tcW w:w="104" w:type="dxa"/>
            <w:tcBorders/>
            <w:shd w:fill="FFFFFF" w:val="clear"/>
          </w:tcPr>
          <w:p>
            <w:pPr>
              <w:pStyle w:val="TableContents"/>
              <w:spacing w:before="0" w:after="283"/>
              <w:rPr/>
            </w:pPr>
            <w:r>
              <w:rPr/>
              <w:t> </w:t>
            </w:r>
          </w:p>
        </w:tc>
      </w:tr>
      <w:tr>
        <w:trPr/>
        <w:tc>
          <w:tcPr>
            <w:tcW w:w="5939" w:type="dxa"/>
            <w:tcBorders/>
            <w:shd w:fill="CCEEFF" w:val="clear"/>
          </w:tcPr>
          <w:p>
            <w:pPr>
              <w:pStyle w:val="TableContents"/>
              <w:spacing w:before="0" w:after="283"/>
              <w:rPr>
                <w:sz w:val="20"/>
              </w:rPr>
            </w:pPr>
            <w:r>
              <w:rPr>
                <w:sz w:val="20"/>
              </w:rPr>
              <w:t>Second Quarter</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sz w:val="20"/>
              </w:rPr>
            </w:pPr>
            <w:r>
              <w:rPr>
                <w:sz w:val="20"/>
              </w:rPr>
              <w:t>36.13</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626" w:type="dxa"/>
            <w:tcBorders/>
            <w:shd w:fill="CCEEFF" w:val="clear"/>
          </w:tcPr>
          <w:p>
            <w:pPr>
              <w:pStyle w:val="TableContents"/>
              <w:spacing w:before="0" w:after="283"/>
              <w:jc w:val="right"/>
              <w:rPr>
                <w:sz w:val="20"/>
              </w:rPr>
            </w:pPr>
            <w:r>
              <w:rPr>
                <w:sz w:val="20"/>
              </w:rPr>
              <w:t>27.25</w:t>
            </w:r>
          </w:p>
        </w:tc>
        <w:tc>
          <w:tcPr>
            <w:tcW w:w="311"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562" w:type="dxa"/>
            <w:tcBorders/>
            <w:shd w:fill="CCEEFF" w:val="clear"/>
          </w:tcPr>
          <w:p>
            <w:pPr>
              <w:pStyle w:val="TableContents"/>
              <w:spacing w:before="0" w:after="283"/>
              <w:jc w:val="right"/>
              <w:rPr>
                <w:sz w:val="20"/>
              </w:rPr>
            </w:pPr>
            <w:r>
              <w:rPr>
                <w:sz w:val="20"/>
              </w:rPr>
              <w:t>0.5775</w:t>
            </w:r>
          </w:p>
        </w:tc>
        <w:tc>
          <w:tcPr>
            <w:tcW w:w="104" w:type="dxa"/>
            <w:tcBorders/>
            <w:shd w:fill="CCEEFF" w:val="clear"/>
          </w:tcPr>
          <w:p>
            <w:pPr>
              <w:pStyle w:val="TableContents"/>
              <w:spacing w:before="0" w:after="283"/>
              <w:rPr/>
            </w:pPr>
            <w:r>
              <w:rPr/>
              <w:t> </w:t>
            </w:r>
          </w:p>
        </w:tc>
      </w:tr>
      <w:tr>
        <w:trPr/>
        <w:tc>
          <w:tcPr>
            <w:tcW w:w="5939" w:type="dxa"/>
            <w:tcBorders/>
            <w:shd w:fill="FFFFFF" w:val="clear"/>
          </w:tcPr>
          <w:p>
            <w:pPr>
              <w:pStyle w:val="TableContents"/>
              <w:spacing w:before="0" w:after="283"/>
              <w:rPr>
                <w:sz w:val="20"/>
              </w:rPr>
            </w:pPr>
            <w:r>
              <w:rPr>
                <w:sz w:val="20"/>
              </w:rPr>
              <w:t>Third Quarter</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sz w:val="20"/>
              </w:rPr>
            </w:pPr>
            <w:r>
              <w:rPr>
                <w:sz w:val="20"/>
              </w:rPr>
              <w:t>35.98</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626" w:type="dxa"/>
            <w:tcBorders/>
            <w:shd w:fill="FFFFFF" w:val="clear"/>
          </w:tcPr>
          <w:p>
            <w:pPr>
              <w:pStyle w:val="TableContents"/>
              <w:spacing w:before="0" w:after="283"/>
              <w:jc w:val="right"/>
              <w:rPr>
                <w:sz w:val="20"/>
              </w:rPr>
            </w:pPr>
            <w:r>
              <w:rPr>
                <w:sz w:val="20"/>
              </w:rPr>
              <w:t>31.63</w:t>
            </w:r>
          </w:p>
        </w:tc>
        <w:tc>
          <w:tcPr>
            <w:tcW w:w="311"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1562" w:type="dxa"/>
            <w:tcBorders/>
            <w:shd w:fill="FFFFFF" w:val="clear"/>
          </w:tcPr>
          <w:p>
            <w:pPr>
              <w:pStyle w:val="TableContents"/>
              <w:spacing w:before="0" w:after="283"/>
              <w:jc w:val="right"/>
              <w:rPr>
                <w:sz w:val="20"/>
              </w:rPr>
            </w:pPr>
            <w:r>
              <w:rPr>
                <w:sz w:val="20"/>
              </w:rPr>
              <w:t>0.6000</w:t>
            </w:r>
          </w:p>
        </w:tc>
        <w:tc>
          <w:tcPr>
            <w:tcW w:w="104" w:type="dxa"/>
            <w:tcBorders/>
            <w:shd w:fill="FFFFFF" w:val="clear"/>
          </w:tcPr>
          <w:p>
            <w:pPr>
              <w:pStyle w:val="TableContents"/>
              <w:spacing w:before="0" w:after="283"/>
              <w:rPr/>
            </w:pPr>
            <w:r>
              <w:rPr/>
              <w:t> </w:t>
            </w:r>
          </w:p>
        </w:tc>
      </w:tr>
      <w:tr>
        <w:trPr/>
        <w:tc>
          <w:tcPr>
            <w:tcW w:w="5939" w:type="dxa"/>
            <w:tcBorders/>
            <w:shd w:fill="CCEEFF" w:val="clear"/>
          </w:tcPr>
          <w:p>
            <w:pPr>
              <w:pStyle w:val="TableContents"/>
              <w:spacing w:before="0" w:after="283"/>
              <w:rPr>
                <w:sz w:val="20"/>
              </w:rPr>
            </w:pPr>
            <w:r>
              <w:rPr>
                <w:sz w:val="20"/>
              </w:rPr>
              <w:t>Fourth Quarter</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sz w:val="20"/>
              </w:rPr>
            </w:pPr>
            <w:r>
              <w:rPr>
                <w:sz w:val="20"/>
              </w:rPr>
              <w:t>37.99</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626" w:type="dxa"/>
            <w:tcBorders/>
            <w:shd w:fill="CCEEFF" w:val="clear"/>
          </w:tcPr>
          <w:p>
            <w:pPr>
              <w:pStyle w:val="TableContents"/>
              <w:spacing w:before="0" w:after="283"/>
              <w:jc w:val="right"/>
              <w:rPr>
                <w:sz w:val="20"/>
              </w:rPr>
            </w:pPr>
            <w:r>
              <w:rPr>
                <w:sz w:val="20"/>
              </w:rPr>
              <w:t>34.51</w:t>
            </w:r>
          </w:p>
        </w:tc>
        <w:tc>
          <w:tcPr>
            <w:tcW w:w="311"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562" w:type="dxa"/>
            <w:tcBorders/>
            <w:shd w:fill="CCEEFF" w:val="clear"/>
          </w:tcPr>
          <w:p>
            <w:pPr>
              <w:pStyle w:val="TableContents"/>
              <w:spacing w:before="0" w:after="283"/>
              <w:jc w:val="right"/>
              <w:rPr>
                <w:sz w:val="20"/>
              </w:rPr>
            </w:pPr>
            <w:r>
              <w:rPr>
                <w:sz w:val="20"/>
              </w:rPr>
              <w:t>0.6125</w:t>
            </w:r>
          </w:p>
        </w:tc>
        <w:tc>
          <w:tcPr>
            <w:tcW w:w="104" w:type="dxa"/>
            <w:tcBorders/>
            <w:shd w:fill="CCEEFF" w:val="clear"/>
          </w:tcPr>
          <w:p>
            <w:pPr>
              <w:pStyle w:val="TableContents"/>
              <w:spacing w:before="0" w:after="283"/>
              <w:rPr/>
            </w:pPr>
            <w:r>
              <w:rPr/>
              <w:t> </w:t>
            </w:r>
          </w:p>
        </w:tc>
      </w:tr>
      <w:tr>
        <w:trPr/>
        <w:tc>
          <w:tcPr>
            <w:tcW w:w="5939" w:type="dxa"/>
            <w:tcBorders/>
            <w:shd w:fill="FFFFFF" w:val="clear"/>
          </w:tcPr>
          <w:p>
            <w:pPr>
              <w:pStyle w:val="TableContents"/>
              <w:spacing w:before="0" w:after="283"/>
              <w:rPr/>
            </w:pPr>
            <w:r>
              <w:rPr/>
              <w:br/>
            </w:r>
            <w:r>
              <w:rPr>
                <w:b/>
                <w:sz w:val="20"/>
              </w:rPr>
              <w:t>2005</w:t>
            </w:r>
          </w:p>
        </w:tc>
        <w:tc>
          <w:tcPr>
            <w:tcW w:w="208" w:type="dxa"/>
            <w:tcBorders/>
            <w:shd w:fill="FFFFFF" w:val="clear"/>
          </w:tcPr>
          <w:p>
            <w:pPr>
              <w:pStyle w:val="TableContents"/>
              <w:spacing w:before="0" w:after="283"/>
              <w:rPr>
                <w:sz w:val="20"/>
              </w:rPr>
            </w:pPr>
            <w:r>
              <w:rPr>
                <w:sz w:val="20"/>
              </w:rPr>
              <w:br/>
              <w:t> </w:t>
            </w:r>
          </w:p>
        </w:tc>
        <w:tc>
          <w:tcPr>
            <w:tcW w:w="207" w:type="dxa"/>
            <w:tcBorders/>
            <w:shd w:fill="FFFFFF" w:val="clear"/>
          </w:tcPr>
          <w:p>
            <w:pPr>
              <w:pStyle w:val="TableContents"/>
              <w:spacing w:before="0" w:after="283"/>
              <w:rPr>
                <w:sz w:val="20"/>
              </w:rPr>
            </w:pPr>
            <w:r>
              <w:rPr>
                <w:sz w:val="20"/>
              </w:rPr>
              <w:br/>
              <w:t> </w:t>
            </w:r>
          </w:p>
        </w:tc>
        <w:tc>
          <w:tcPr>
            <w:tcW w:w="625" w:type="dxa"/>
            <w:tcBorders/>
            <w:shd w:fill="FFFFFF" w:val="clear"/>
          </w:tcPr>
          <w:p>
            <w:pPr>
              <w:pStyle w:val="TableContents"/>
              <w:spacing w:before="0" w:after="283"/>
              <w:rPr>
                <w:sz w:val="20"/>
              </w:rPr>
            </w:pPr>
            <w:r>
              <w:rPr>
                <w:sz w:val="20"/>
              </w:rPr>
              <w:br/>
              <w:t> </w:t>
            </w:r>
          </w:p>
        </w:tc>
        <w:tc>
          <w:tcPr>
            <w:tcW w:w="208" w:type="dxa"/>
            <w:tcBorders/>
            <w:shd w:fill="FFFFFF" w:val="clear"/>
          </w:tcPr>
          <w:p>
            <w:pPr>
              <w:pStyle w:val="TableContents"/>
              <w:spacing w:before="0" w:after="283"/>
              <w:rPr>
                <w:sz w:val="20"/>
              </w:rPr>
            </w:pPr>
            <w:r>
              <w:rPr>
                <w:sz w:val="20"/>
              </w:rPr>
              <w:br/>
              <w:t> </w:t>
            </w:r>
          </w:p>
        </w:tc>
        <w:tc>
          <w:tcPr>
            <w:tcW w:w="207" w:type="dxa"/>
            <w:tcBorders/>
            <w:shd w:fill="FFFFFF" w:val="clear"/>
          </w:tcPr>
          <w:p>
            <w:pPr>
              <w:pStyle w:val="TableContents"/>
              <w:spacing w:before="0" w:after="283"/>
              <w:rPr>
                <w:sz w:val="20"/>
              </w:rPr>
            </w:pPr>
            <w:r>
              <w:rPr>
                <w:sz w:val="20"/>
              </w:rPr>
              <w:br/>
              <w:t> </w:t>
            </w:r>
          </w:p>
        </w:tc>
        <w:tc>
          <w:tcPr>
            <w:tcW w:w="626" w:type="dxa"/>
            <w:tcBorders/>
            <w:shd w:fill="FFFFFF" w:val="clear"/>
          </w:tcPr>
          <w:p>
            <w:pPr>
              <w:pStyle w:val="TableContents"/>
              <w:spacing w:before="0" w:after="283"/>
              <w:rPr>
                <w:sz w:val="20"/>
              </w:rPr>
            </w:pPr>
            <w:r>
              <w:rPr>
                <w:sz w:val="20"/>
              </w:rPr>
              <w:br/>
              <w:t> </w:t>
            </w:r>
          </w:p>
        </w:tc>
        <w:tc>
          <w:tcPr>
            <w:tcW w:w="311" w:type="dxa"/>
            <w:tcBorders/>
            <w:shd w:fill="FFFFFF" w:val="clear"/>
          </w:tcPr>
          <w:p>
            <w:pPr>
              <w:pStyle w:val="TableContents"/>
              <w:spacing w:before="0" w:after="283"/>
              <w:rPr>
                <w:sz w:val="20"/>
              </w:rPr>
            </w:pPr>
            <w:r>
              <w:rPr>
                <w:sz w:val="20"/>
              </w:rPr>
              <w:br/>
              <w:t> </w:t>
            </w:r>
          </w:p>
        </w:tc>
        <w:tc>
          <w:tcPr>
            <w:tcW w:w="208" w:type="dxa"/>
            <w:tcBorders/>
            <w:shd w:fill="FFFFFF" w:val="clear"/>
          </w:tcPr>
          <w:p>
            <w:pPr>
              <w:pStyle w:val="TableContents"/>
              <w:spacing w:before="0" w:after="283"/>
              <w:rPr>
                <w:sz w:val="20"/>
              </w:rPr>
            </w:pPr>
            <w:r>
              <w:rPr>
                <w:sz w:val="20"/>
              </w:rPr>
              <w:br/>
              <w:t> </w:t>
            </w:r>
          </w:p>
        </w:tc>
        <w:tc>
          <w:tcPr>
            <w:tcW w:w="1562" w:type="dxa"/>
            <w:tcBorders/>
            <w:shd w:fill="FFFFFF" w:val="clear"/>
          </w:tcPr>
          <w:p>
            <w:pPr>
              <w:pStyle w:val="TableContents"/>
              <w:spacing w:before="0" w:after="283"/>
              <w:rPr>
                <w:sz w:val="20"/>
              </w:rPr>
            </w:pPr>
            <w:r>
              <w:rPr>
                <w:sz w:val="20"/>
              </w:rPr>
              <w:br/>
              <w:t> </w:t>
            </w:r>
          </w:p>
        </w:tc>
        <w:tc>
          <w:tcPr>
            <w:tcW w:w="104" w:type="dxa"/>
            <w:tcBorders/>
            <w:shd w:fill="FFFFFF" w:val="clear"/>
          </w:tcPr>
          <w:p>
            <w:pPr>
              <w:pStyle w:val="TableContents"/>
              <w:spacing w:before="0" w:after="283"/>
              <w:rPr>
                <w:sz w:val="20"/>
              </w:rPr>
            </w:pPr>
            <w:r>
              <w:rPr>
                <w:sz w:val="20"/>
              </w:rPr>
              <w:br/>
              <w:t> </w:t>
            </w:r>
          </w:p>
        </w:tc>
      </w:tr>
      <w:tr>
        <w:trPr/>
        <w:tc>
          <w:tcPr>
            <w:tcW w:w="5939" w:type="dxa"/>
            <w:tcBorders/>
            <w:shd w:fill="CCEEFF" w:val="clear"/>
          </w:tcPr>
          <w:p>
            <w:pPr>
              <w:pStyle w:val="TableContents"/>
              <w:spacing w:before="0" w:after="283"/>
              <w:rPr>
                <w:sz w:val="20"/>
              </w:rPr>
            </w:pPr>
            <w:r>
              <w:rPr>
                <w:sz w:val="20"/>
              </w:rPr>
              <w:t>First Quarter</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sz w:val="20"/>
              </w:rPr>
            </w:pPr>
            <w:r>
              <w:rPr>
                <w:sz w:val="20"/>
              </w:rPr>
              <w:t>$</w:t>
            </w:r>
          </w:p>
        </w:tc>
        <w:tc>
          <w:tcPr>
            <w:tcW w:w="625" w:type="dxa"/>
            <w:tcBorders/>
            <w:shd w:fill="CCEEFF" w:val="clear"/>
          </w:tcPr>
          <w:p>
            <w:pPr>
              <w:pStyle w:val="TableContents"/>
              <w:spacing w:before="0" w:after="283"/>
              <w:jc w:val="right"/>
              <w:rPr>
                <w:sz w:val="20"/>
              </w:rPr>
            </w:pPr>
            <w:r>
              <w:rPr>
                <w:sz w:val="20"/>
              </w:rPr>
              <w:t>40.98</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sz w:val="20"/>
              </w:rPr>
            </w:pPr>
            <w:r>
              <w:rPr>
                <w:sz w:val="20"/>
              </w:rPr>
              <w:t>$</w:t>
            </w:r>
          </w:p>
        </w:tc>
        <w:tc>
          <w:tcPr>
            <w:tcW w:w="626" w:type="dxa"/>
            <w:tcBorders/>
            <w:shd w:fill="CCEEFF" w:val="clear"/>
          </w:tcPr>
          <w:p>
            <w:pPr>
              <w:pStyle w:val="TableContents"/>
              <w:spacing w:before="0" w:after="283"/>
              <w:jc w:val="right"/>
              <w:rPr>
                <w:sz w:val="20"/>
              </w:rPr>
            </w:pPr>
            <w:r>
              <w:rPr>
                <w:sz w:val="20"/>
              </w:rPr>
              <w:t>36.50</w:t>
            </w:r>
          </w:p>
        </w:tc>
        <w:tc>
          <w:tcPr>
            <w:tcW w:w="311"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sz w:val="20"/>
              </w:rPr>
            </w:pPr>
            <w:r>
              <w:rPr>
                <w:sz w:val="20"/>
              </w:rPr>
              <w:t>$</w:t>
            </w:r>
          </w:p>
        </w:tc>
        <w:tc>
          <w:tcPr>
            <w:tcW w:w="1562" w:type="dxa"/>
            <w:tcBorders/>
            <w:shd w:fill="CCEEFF" w:val="clear"/>
          </w:tcPr>
          <w:p>
            <w:pPr>
              <w:pStyle w:val="TableContents"/>
              <w:spacing w:before="0" w:after="283"/>
              <w:jc w:val="right"/>
              <w:rPr>
                <w:sz w:val="20"/>
              </w:rPr>
            </w:pPr>
            <w:r>
              <w:rPr>
                <w:sz w:val="20"/>
              </w:rPr>
              <w:t>0.6375</w:t>
            </w:r>
          </w:p>
        </w:tc>
        <w:tc>
          <w:tcPr>
            <w:tcW w:w="104" w:type="dxa"/>
            <w:tcBorders/>
            <w:shd w:fill="CCEEFF" w:val="clear"/>
          </w:tcPr>
          <w:p>
            <w:pPr>
              <w:pStyle w:val="TableContents"/>
              <w:spacing w:before="0" w:after="283"/>
              <w:rPr/>
            </w:pPr>
            <w:r>
              <w:rPr/>
              <w:t> </w:t>
            </w:r>
          </w:p>
        </w:tc>
      </w:tr>
      <w:tr>
        <w:trPr/>
        <w:tc>
          <w:tcPr>
            <w:tcW w:w="5939" w:type="dxa"/>
            <w:tcBorders/>
            <w:shd w:fill="FFFFFF" w:val="clear"/>
          </w:tcPr>
          <w:p>
            <w:pPr>
              <w:pStyle w:val="TableContents"/>
              <w:spacing w:before="0" w:after="283"/>
              <w:rPr>
                <w:sz w:val="20"/>
              </w:rPr>
            </w:pPr>
            <w:r>
              <w:rPr>
                <w:sz w:val="20"/>
              </w:rPr>
              <w:t>Second Quarter</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sz w:val="20"/>
              </w:rPr>
            </w:pPr>
            <w:r>
              <w:rPr>
                <w:sz w:val="20"/>
              </w:rPr>
              <w:t>45.08</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626" w:type="dxa"/>
            <w:tcBorders/>
            <w:shd w:fill="FFFFFF" w:val="clear"/>
          </w:tcPr>
          <w:p>
            <w:pPr>
              <w:pStyle w:val="TableContents"/>
              <w:spacing w:before="0" w:after="283"/>
              <w:jc w:val="right"/>
              <w:rPr>
                <w:sz w:val="20"/>
              </w:rPr>
            </w:pPr>
            <w:r>
              <w:rPr>
                <w:sz w:val="20"/>
              </w:rPr>
              <w:t>38.00</w:t>
            </w:r>
          </w:p>
        </w:tc>
        <w:tc>
          <w:tcPr>
            <w:tcW w:w="311"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1562" w:type="dxa"/>
            <w:tcBorders/>
            <w:shd w:fill="FFFFFF" w:val="clear"/>
          </w:tcPr>
          <w:p>
            <w:pPr>
              <w:pStyle w:val="TableContents"/>
              <w:spacing w:before="0" w:after="283"/>
              <w:jc w:val="right"/>
              <w:rPr>
                <w:sz w:val="20"/>
              </w:rPr>
            </w:pPr>
            <w:r>
              <w:rPr>
                <w:sz w:val="20"/>
              </w:rPr>
              <w:t>0.6500</w:t>
            </w:r>
          </w:p>
        </w:tc>
        <w:tc>
          <w:tcPr>
            <w:tcW w:w="104" w:type="dxa"/>
            <w:tcBorders/>
            <w:shd w:fill="FFFFFF" w:val="clear"/>
          </w:tcPr>
          <w:p>
            <w:pPr>
              <w:pStyle w:val="TableContents"/>
              <w:spacing w:before="0" w:after="283"/>
              <w:rPr/>
            </w:pPr>
            <w:r>
              <w:rPr/>
              <w:t> </w:t>
            </w:r>
          </w:p>
        </w:tc>
      </w:tr>
      <w:tr>
        <w:trPr/>
        <w:tc>
          <w:tcPr>
            <w:tcW w:w="5939" w:type="dxa"/>
            <w:tcBorders/>
            <w:shd w:fill="CCEEFF" w:val="clear"/>
          </w:tcPr>
          <w:p>
            <w:pPr>
              <w:pStyle w:val="TableContents"/>
              <w:spacing w:before="0" w:after="283"/>
              <w:rPr>
                <w:sz w:val="20"/>
              </w:rPr>
            </w:pPr>
            <w:r>
              <w:rPr>
                <w:sz w:val="20"/>
              </w:rPr>
              <w:t>Third Quarter</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sz w:val="20"/>
              </w:rPr>
            </w:pPr>
            <w:r>
              <w:rPr>
                <w:sz w:val="20"/>
              </w:rPr>
              <w:t>48.20</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626" w:type="dxa"/>
            <w:tcBorders/>
            <w:shd w:fill="CCEEFF" w:val="clear"/>
          </w:tcPr>
          <w:p>
            <w:pPr>
              <w:pStyle w:val="TableContents"/>
              <w:spacing w:before="0" w:after="283"/>
              <w:jc w:val="right"/>
              <w:rPr>
                <w:sz w:val="20"/>
              </w:rPr>
            </w:pPr>
            <w:r>
              <w:rPr>
                <w:sz w:val="20"/>
              </w:rPr>
              <w:t>42.01</w:t>
            </w:r>
          </w:p>
        </w:tc>
        <w:tc>
          <w:tcPr>
            <w:tcW w:w="311"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562" w:type="dxa"/>
            <w:tcBorders/>
            <w:shd w:fill="CCEEFF" w:val="clear"/>
          </w:tcPr>
          <w:p>
            <w:pPr>
              <w:pStyle w:val="TableContents"/>
              <w:spacing w:before="0" w:after="283"/>
              <w:jc w:val="right"/>
              <w:rPr>
                <w:sz w:val="20"/>
              </w:rPr>
            </w:pPr>
            <w:r>
              <w:rPr>
                <w:sz w:val="20"/>
              </w:rPr>
              <w:t>0.6750</w:t>
            </w:r>
          </w:p>
        </w:tc>
        <w:tc>
          <w:tcPr>
            <w:tcW w:w="104" w:type="dxa"/>
            <w:tcBorders/>
            <w:shd w:fill="CCEEFF" w:val="clear"/>
          </w:tcPr>
          <w:p>
            <w:pPr>
              <w:pStyle w:val="TableContents"/>
              <w:spacing w:before="0" w:after="283"/>
              <w:rPr/>
            </w:pPr>
            <w:r>
              <w:rPr/>
              <w:t> </w:t>
            </w:r>
          </w:p>
        </w:tc>
      </w:tr>
      <w:tr>
        <w:trPr/>
        <w:tc>
          <w:tcPr>
            <w:tcW w:w="5939" w:type="dxa"/>
            <w:tcBorders/>
            <w:shd w:fill="FFFFFF" w:val="clear"/>
          </w:tcPr>
          <w:p>
            <w:pPr>
              <w:pStyle w:val="TableContents"/>
              <w:spacing w:before="0" w:after="283"/>
              <w:rPr>
                <w:sz w:val="20"/>
              </w:rPr>
            </w:pPr>
            <w:r>
              <w:rPr>
                <w:sz w:val="20"/>
              </w:rPr>
              <w:t>Fourth Quarter</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sz w:val="20"/>
              </w:rPr>
            </w:pPr>
            <w:r>
              <w:rPr>
                <w:sz w:val="20"/>
              </w:rPr>
              <w:t>42.82</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626" w:type="dxa"/>
            <w:tcBorders/>
            <w:shd w:fill="FFFFFF" w:val="clear"/>
          </w:tcPr>
          <w:p>
            <w:pPr>
              <w:pStyle w:val="TableContents"/>
              <w:spacing w:before="0" w:after="283"/>
              <w:jc w:val="right"/>
              <w:rPr>
                <w:sz w:val="20"/>
              </w:rPr>
            </w:pPr>
            <w:r>
              <w:rPr>
                <w:sz w:val="20"/>
              </w:rPr>
              <w:t>38.51</w:t>
            </w:r>
          </w:p>
        </w:tc>
        <w:tc>
          <w:tcPr>
            <w:tcW w:w="311"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1562" w:type="dxa"/>
            <w:tcBorders/>
            <w:shd w:fill="FFFFFF" w:val="clear"/>
          </w:tcPr>
          <w:p>
            <w:pPr>
              <w:pStyle w:val="TableContents"/>
              <w:spacing w:before="0" w:after="283"/>
              <w:jc w:val="right"/>
              <w:rPr>
                <w:sz w:val="20"/>
              </w:rPr>
            </w:pPr>
            <w:r>
              <w:rPr>
                <w:sz w:val="20"/>
              </w:rPr>
              <w:t>0.6875</w:t>
            </w:r>
          </w:p>
        </w:tc>
        <w:tc>
          <w:tcPr>
            <w:tcW w:w="104" w:type="dxa"/>
            <w:tcBorders/>
            <w:shd w:fill="FFFFFF" w:val="clear"/>
          </w:tcPr>
          <w:p>
            <w:pPr>
              <w:pStyle w:val="TableContents"/>
              <w:spacing w:before="0" w:after="283"/>
              <w:rPr/>
            </w:pPr>
            <w:r>
              <w:rPr/>
              <w:t> </w:t>
            </w:r>
          </w:p>
        </w:tc>
      </w:tr>
      <w:tr>
        <w:trPr/>
        <w:tc>
          <w:tcPr>
            <w:tcW w:w="5939" w:type="dxa"/>
            <w:tcBorders/>
            <w:shd w:fill="CCEEFF" w:val="clear"/>
          </w:tcPr>
          <w:p>
            <w:pPr>
              <w:pStyle w:val="TableContents"/>
              <w:spacing w:before="0" w:after="283"/>
              <w:rPr/>
            </w:pPr>
            <w:r>
              <w:rPr/>
              <w:br/>
            </w:r>
            <w:r>
              <w:rPr>
                <w:b/>
                <w:sz w:val="20"/>
              </w:rPr>
              <w:t>2006</w:t>
            </w:r>
          </w:p>
        </w:tc>
        <w:tc>
          <w:tcPr>
            <w:tcW w:w="208" w:type="dxa"/>
            <w:tcBorders/>
            <w:shd w:fill="CCEEFF" w:val="clear"/>
          </w:tcPr>
          <w:p>
            <w:pPr>
              <w:pStyle w:val="TableContents"/>
              <w:spacing w:before="0" w:after="283"/>
              <w:rPr>
                <w:sz w:val="20"/>
              </w:rPr>
            </w:pPr>
            <w:r>
              <w:rPr>
                <w:sz w:val="20"/>
              </w:rPr>
              <w:br/>
              <w:t> </w:t>
            </w:r>
          </w:p>
        </w:tc>
        <w:tc>
          <w:tcPr>
            <w:tcW w:w="207" w:type="dxa"/>
            <w:tcBorders/>
            <w:shd w:fill="CCEEFF" w:val="clear"/>
          </w:tcPr>
          <w:p>
            <w:pPr>
              <w:pStyle w:val="TableContents"/>
              <w:spacing w:before="0" w:after="283"/>
              <w:rPr>
                <w:sz w:val="20"/>
              </w:rPr>
            </w:pPr>
            <w:r>
              <w:rPr>
                <w:sz w:val="20"/>
              </w:rPr>
              <w:br/>
              <w:t> </w:t>
            </w:r>
          </w:p>
        </w:tc>
        <w:tc>
          <w:tcPr>
            <w:tcW w:w="625" w:type="dxa"/>
            <w:tcBorders/>
            <w:shd w:fill="CCEEFF" w:val="clear"/>
          </w:tcPr>
          <w:p>
            <w:pPr>
              <w:pStyle w:val="TableContents"/>
              <w:spacing w:before="0" w:after="283"/>
              <w:rPr>
                <w:sz w:val="20"/>
              </w:rPr>
            </w:pPr>
            <w:r>
              <w:rPr>
                <w:sz w:val="20"/>
              </w:rPr>
              <w:br/>
              <w:t> </w:t>
            </w:r>
          </w:p>
        </w:tc>
        <w:tc>
          <w:tcPr>
            <w:tcW w:w="208" w:type="dxa"/>
            <w:tcBorders/>
            <w:shd w:fill="CCEEFF" w:val="clear"/>
          </w:tcPr>
          <w:p>
            <w:pPr>
              <w:pStyle w:val="TableContents"/>
              <w:spacing w:before="0" w:after="283"/>
              <w:rPr>
                <w:sz w:val="20"/>
              </w:rPr>
            </w:pPr>
            <w:r>
              <w:rPr>
                <w:sz w:val="20"/>
              </w:rPr>
              <w:br/>
              <w:t> </w:t>
            </w:r>
          </w:p>
        </w:tc>
        <w:tc>
          <w:tcPr>
            <w:tcW w:w="207" w:type="dxa"/>
            <w:tcBorders/>
            <w:shd w:fill="CCEEFF" w:val="clear"/>
          </w:tcPr>
          <w:p>
            <w:pPr>
              <w:pStyle w:val="TableContents"/>
              <w:spacing w:before="0" w:after="283"/>
              <w:rPr>
                <w:sz w:val="20"/>
              </w:rPr>
            </w:pPr>
            <w:r>
              <w:rPr>
                <w:sz w:val="20"/>
              </w:rPr>
              <w:br/>
              <w:t> </w:t>
            </w:r>
          </w:p>
        </w:tc>
        <w:tc>
          <w:tcPr>
            <w:tcW w:w="626" w:type="dxa"/>
            <w:tcBorders/>
            <w:shd w:fill="CCEEFF" w:val="clear"/>
          </w:tcPr>
          <w:p>
            <w:pPr>
              <w:pStyle w:val="TableContents"/>
              <w:spacing w:before="0" w:after="283"/>
              <w:rPr>
                <w:sz w:val="20"/>
              </w:rPr>
            </w:pPr>
            <w:r>
              <w:rPr>
                <w:sz w:val="20"/>
              </w:rPr>
              <w:br/>
              <w:t> </w:t>
            </w:r>
          </w:p>
        </w:tc>
        <w:tc>
          <w:tcPr>
            <w:tcW w:w="311" w:type="dxa"/>
            <w:tcBorders/>
            <w:shd w:fill="CCEEFF" w:val="clear"/>
          </w:tcPr>
          <w:p>
            <w:pPr>
              <w:pStyle w:val="TableContents"/>
              <w:spacing w:before="0" w:after="283"/>
              <w:rPr>
                <w:sz w:val="20"/>
              </w:rPr>
            </w:pPr>
            <w:r>
              <w:rPr>
                <w:sz w:val="20"/>
              </w:rPr>
              <w:br/>
              <w:t> </w:t>
            </w:r>
          </w:p>
        </w:tc>
        <w:tc>
          <w:tcPr>
            <w:tcW w:w="208" w:type="dxa"/>
            <w:tcBorders/>
            <w:shd w:fill="CCEEFF" w:val="clear"/>
          </w:tcPr>
          <w:p>
            <w:pPr>
              <w:pStyle w:val="TableContents"/>
              <w:spacing w:before="0" w:after="283"/>
              <w:rPr>
                <w:sz w:val="20"/>
              </w:rPr>
            </w:pPr>
            <w:r>
              <w:rPr>
                <w:sz w:val="20"/>
              </w:rPr>
              <w:br/>
              <w:t> </w:t>
            </w:r>
          </w:p>
        </w:tc>
        <w:tc>
          <w:tcPr>
            <w:tcW w:w="1562" w:type="dxa"/>
            <w:tcBorders/>
            <w:shd w:fill="CCEEFF" w:val="clear"/>
          </w:tcPr>
          <w:p>
            <w:pPr>
              <w:pStyle w:val="TableContents"/>
              <w:spacing w:before="0" w:after="283"/>
              <w:rPr>
                <w:sz w:val="20"/>
              </w:rPr>
            </w:pPr>
            <w:r>
              <w:rPr>
                <w:sz w:val="20"/>
              </w:rPr>
              <w:br/>
              <w:t> </w:t>
            </w:r>
          </w:p>
        </w:tc>
        <w:tc>
          <w:tcPr>
            <w:tcW w:w="104" w:type="dxa"/>
            <w:tcBorders/>
            <w:shd w:fill="CCEEFF" w:val="clear"/>
          </w:tcPr>
          <w:p>
            <w:pPr>
              <w:pStyle w:val="TableContents"/>
              <w:spacing w:before="0" w:after="283"/>
              <w:rPr>
                <w:sz w:val="20"/>
              </w:rPr>
            </w:pPr>
            <w:r>
              <w:rPr>
                <w:sz w:val="20"/>
              </w:rPr>
              <w:br/>
              <w:t> </w:t>
            </w:r>
          </w:p>
        </w:tc>
      </w:tr>
      <w:tr>
        <w:trPr/>
        <w:tc>
          <w:tcPr>
            <w:tcW w:w="5939" w:type="dxa"/>
            <w:tcBorders/>
            <w:shd w:fill="FFFFFF" w:val="clear"/>
          </w:tcPr>
          <w:p>
            <w:pPr>
              <w:pStyle w:val="TableContents"/>
              <w:spacing w:before="0" w:after="283"/>
              <w:rPr>
                <w:sz w:val="20"/>
              </w:rPr>
            </w:pPr>
            <w:r>
              <w:rPr>
                <w:sz w:val="20"/>
              </w:rPr>
              <w:t>First Quarter (through March 17, 2006)</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sz w:val="20"/>
              </w:rPr>
            </w:pPr>
            <w:r>
              <w:rPr>
                <w:sz w:val="20"/>
              </w:rPr>
              <w:t>$</w:t>
            </w:r>
          </w:p>
        </w:tc>
        <w:tc>
          <w:tcPr>
            <w:tcW w:w="625" w:type="dxa"/>
            <w:tcBorders/>
            <w:shd w:fill="FFFFFF" w:val="clear"/>
          </w:tcPr>
          <w:p>
            <w:pPr>
              <w:pStyle w:val="TableContents"/>
              <w:spacing w:before="0" w:after="283"/>
              <w:jc w:val="right"/>
              <w:rPr>
                <w:sz w:val="20"/>
              </w:rPr>
            </w:pPr>
            <w:r>
              <w:rPr>
                <w:sz w:val="20"/>
              </w:rPr>
              <w:t>46.16</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sz w:val="20"/>
              </w:rPr>
            </w:pPr>
            <w:r>
              <w:rPr>
                <w:sz w:val="20"/>
              </w:rPr>
              <w:t>$</w:t>
            </w:r>
          </w:p>
        </w:tc>
        <w:tc>
          <w:tcPr>
            <w:tcW w:w="626" w:type="dxa"/>
            <w:tcBorders/>
            <w:shd w:fill="FFFFFF" w:val="clear"/>
          </w:tcPr>
          <w:p>
            <w:pPr>
              <w:pStyle w:val="TableContents"/>
              <w:spacing w:before="0" w:after="283"/>
              <w:jc w:val="right"/>
              <w:rPr>
                <w:sz w:val="20"/>
              </w:rPr>
            </w:pPr>
            <w:r>
              <w:rPr>
                <w:sz w:val="20"/>
              </w:rPr>
              <w:t>39.81</w:t>
            </w:r>
          </w:p>
        </w:tc>
        <w:tc>
          <w:tcPr>
            <w:tcW w:w="311"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1562" w:type="dxa"/>
            <w:tcBorders/>
            <w:shd w:fill="FFFFFF" w:val="clear"/>
          </w:tcPr>
          <w:p>
            <w:pPr>
              <w:pStyle w:val="TableContents"/>
              <w:spacing w:before="0" w:after="283"/>
              <w:jc w:val="right"/>
              <w:rPr>
                <w:sz w:val="20"/>
              </w:rPr>
            </w:pPr>
            <w:r>
              <w:rPr>
                <w:sz w:val="20"/>
              </w:rPr>
              <w:t>(2</w:t>
            </w:r>
          </w:p>
        </w:tc>
        <w:tc>
          <w:tcPr>
            <w:tcW w:w="104" w:type="dxa"/>
            <w:tcBorders/>
            <w:shd w:fill="FFFFFF" w:val="clear"/>
          </w:tcPr>
          <w:p>
            <w:pPr>
              <w:pStyle w:val="TableContents"/>
              <w:spacing w:before="0" w:after="283"/>
              <w:rPr>
                <w:sz w:val="20"/>
              </w:rPr>
            </w:pPr>
            <w:r>
              <w:rPr>
                <w:sz w:val="20"/>
              </w:rPr>
              <w:t>)</w:t>
            </w:r>
          </w:p>
        </w:tc>
      </w:tr>
    </w:tbl>
    <w:p>
      <w:pPr>
        <w:pStyle w:val="HorizontalLine"/>
        <w:pBdr>
          <w:bottom w:val="single" w:sz="20" w:space="0" w:color="808080"/>
        </w:pBdr>
        <w:rPr/>
      </w:pPr>
      <w:r>
        <w:rPr/>
      </w:r>
    </w:p>
    <w:p>
      <w:pPr>
        <w:pStyle w:val="ListHeading"/>
        <w:spacing w:before="0" w:after="0"/>
        <w:rPr>
          <w:sz w:val="20"/>
        </w:rPr>
      </w:pPr>
      <w:r>
        <w:rPr>
          <w:sz w:val="20"/>
        </w:rPr>
        <w:t>(1)</w:t>
      </w:r>
    </w:p>
    <w:p>
      <w:pPr>
        <w:pStyle w:val="ListContents"/>
        <w:spacing w:before="0" w:after="283"/>
        <w:rPr>
          <w:sz w:val="20"/>
        </w:rPr>
      </w:pPr>
      <w:r>
        <w:rPr>
          <w:sz w:val="20"/>
        </w:rPr>
        <w:t xml:space="preserve">Represents cash distributions attributable to the quarter and paid within 45 days after the quarter. </w:t>
      </w:r>
    </w:p>
    <w:p>
      <w:pPr>
        <w:pStyle w:val="ListHeading"/>
        <w:spacing w:before="0" w:after="0"/>
        <w:rPr>
          <w:sz w:val="20"/>
        </w:rPr>
      </w:pPr>
      <w:r>
        <w:rPr>
          <w:sz w:val="20"/>
        </w:rPr>
        <w:t>(2)</w:t>
      </w:r>
    </w:p>
    <w:p>
      <w:pPr>
        <w:pStyle w:val="ListContents"/>
        <w:spacing w:before="0" w:after="283"/>
        <w:rPr>
          <w:sz w:val="20"/>
        </w:rPr>
      </w:pPr>
      <w:r>
        <w:rPr>
          <w:sz w:val="20"/>
        </w:rPr>
        <w:t xml:space="preserve">The distributions attributable to the first quarter of 2006 have not yet been declared or paid. </w:t>
      </w:r>
    </w:p>
    <w:p>
      <w:pPr>
        <w:pStyle w:val="TextBody"/>
        <w:jc w:val="center"/>
        <w:rPr>
          <w:sz w:val="20"/>
        </w:rPr>
      </w:pPr>
      <w:r>
        <w:rPr>
          <w:sz w:val="20"/>
        </w:rPr>
        <w:t>S-2</w:t>
      </w:r>
    </w:p>
    <w:p>
      <w:pPr>
        <w:pStyle w:val="HorizontalLine"/>
        <w:pBdr>
          <w:bottom w:val="single" w:sz="20" w:space="0" w:color="808080"/>
        </w:pBdr>
        <w:rPr/>
      </w:pPr>
      <w:r>
        <w:rPr/>
      </w:r>
      <w:r>
        <w:br w:type="page"/>
      </w:r>
    </w:p>
    <w:p>
      <w:pPr>
        <w:pStyle w:val="TextBody"/>
        <w:jc w:val="center"/>
        <w:rPr/>
      </w:pPr>
      <w:bookmarkStart w:id="18" w:name="toc_bb1086_5"/>
      <w:bookmarkStart w:id="19" w:name="bb1086_plan_of_distribution"/>
      <w:bookmarkStart w:id="20" w:name="page_bb1086_1_3"/>
      <w:bookmarkEnd w:id="18"/>
      <w:bookmarkEnd w:id="19"/>
      <w:bookmarkEnd w:id="20"/>
      <w:r>
        <w:rPr>
          <w:sz w:val="20"/>
        </w:rPr>
        <w:br/>
      </w:r>
      <w:r>
        <w:rPr>
          <w:b/>
          <w:sz w:val="20"/>
        </w:rPr>
        <w:t xml:space="preserve">PLAN OF DISTRIBUTION </w:t>
      </w:r>
    </w:p>
    <w:p>
      <w:pPr>
        <w:pStyle w:val="TextBody"/>
        <w:rPr/>
      </w:pPr>
      <w:r>
        <w:rPr/>
        <w:t>        </w:t>
      </w:r>
      <w:r>
        <w:rPr>
          <w:sz w:val="20"/>
        </w:rPr>
        <w:t xml:space="preserve">We are selling the common units offered pursuant to this prospectus directly to the following purchasers in a privately negotiated transaction in which no party is acting as an underwriter: </w:t>
      </w:r>
    </w:p>
    <w:tbl>
      <w:tblPr>
        <w:tblW w:w="5000" w:type="pct"/>
        <w:jc w:val="center"/>
        <w:tblInd w:w="0" w:type="dxa"/>
        <w:tblCellMar>
          <w:top w:w="0" w:type="dxa"/>
          <w:left w:w="0" w:type="dxa"/>
          <w:bottom w:w="0" w:type="dxa"/>
          <w:right w:w="0" w:type="dxa"/>
        </w:tblCellMar>
      </w:tblPr>
      <w:tblGrid>
        <w:gridCol w:w="8471"/>
        <w:gridCol w:w="305"/>
        <w:gridCol w:w="1429"/>
      </w:tblGrid>
      <w:tr>
        <w:trPr/>
        <w:tc>
          <w:tcPr>
            <w:tcW w:w="8471" w:type="dxa"/>
            <w:tcBorders/>
            <w:shd w:fill="auto" w:val="clear"/>
            <w:vAlign w:val="bottom"/>
          </w:tcPr>
          <w:p>
            <w:pPr>
              <w:pStyle w:val="TableHeading"/>
              <w:spacing w:before="0" w:after="0"/>
              <w:jc w:val="left"/>
              <w:rPr>
                <w:b/>
                <w:sz w:val="14"/>
              </w:rPr>
            </w:pPr>
            <w:r>
              <w:rPr>
                <w:b/>
                <w:sz w:val="14"/>
              </w:rPr>
              <w:t>Purchaser</w:t>
            </w:r>
          </w:p>
          <w:p>
            <w:pPr>
              <w:pStyle w:val="HorizontalLine"/>
              <w:pBdr>
                <w:bottom w:val="single" w:sz="20" w:space="0" w:color="808080"/>
              </w:pBdr>
              <w:spacing w:before="0" w:after="283"/>
              <w:rPr/>
            </w:pPr>
            <w:r>
              <w:rPr/>
            </w:r>
          </w:p>
        </w:tc>
        <w:tc>
          <w:tcPr>
            <w:tcW w:w="305" w:type="dxa"/>
            <w:tcBorders/>
            <w:shd w:fill="auto" w:val="clear"/>
            <w:vAlign w:val="bottom"/>
          </w:tcPr>
          <w:p>
            <w:pPr>
              <w:pStyle w:val="TableHeading"/>
              <w:suppressLineNumbers/>
              <w:spacing w:before="0" w:after="283"/>
              <w:jc w:val="center"/>
              <w:rPr/>
            </w:pPr>
            <w:r>
              <w:rPr/>
              <w:t> </w:t>
            </w:r>
          </w:p>
        </w:tc>
        <w:tc>
          <w:tcPr>
            <w:tcW w:w="1429" w:type="dxa"/>
            <w:tcBorders/>
            <w:shd w:fill="auto" w:val="clear"/>
            <w:vAlign w:val="bottom"/>
          </w:tcPr>
          <w:p>
            <w:pPr>
              <w:pStyle w:val="TableHeading"/>
              <w:spacing w:before="0" w:after="0"/>
              <w:jc w:val="center"/>
              <w:rPr>
                <w:b/>
                <w:sz w:val="14"/>
              </w:rPr>
            </w:pPr>
            <w:r>
              <w:rPr>
                <w:b/>
                <w:sz w:val="14"/>
              </w:rPr>
              <w:t>Common Units</w:t>
            </w:r>
          </w:p>
          <w:p>
            <w:pPr>
              <w:pStyle w:val="HorizontalLine"/>
              <w:pBdr>
                <w:bottom w:val="single" w:sz="20" w:space="0" w:color="808080"/>
              </w:pBdr>
              <w:spacing w:before="0" w:after="283"/>
              <w:rPr/>
            </w:pPr>
            <w:r>
              <w:rPr/>
            </w:r>
          </w:p>
        </w:tc>
      </w:tr>
      <w:tr>
        <w:trPr/>
        <w:tc>
          <w:tcPr>
            <w:tcW w:w="8471" w:type="dxa"/>
            <w:tcBorders/>
            <w:shd w:fill="CCEEFF" w:val="clear"/>
          </w:tcPr>
          <w:p>
            <w:pPr>
              <w:pStyle w:val="TableContents"/>
              <w:spacing w:before="0" w:after="283"/>
              <w:rPr>
                <w:sz w:val="20"/>
              </w:rPr>
            </w:pPr>
            <w:r>
              <w:rPr>
                <w:sz w:val="20"/>
              </w:rPr>
              <w:t>Royal Bank of Canada</w:t>
            </w:r>
          </w:p>
        </w:tc>
        <w:tc>
          <w:tcPr>
            <w:tcW w:w="305"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sz w:val="20"/>
              </w:rPr>
            </w:pPr>
            <w:r>
              <w:rPr>
                <w:sz w:val="20"/>
              </w:rPr>
              <w:t>749,844</w:t>
            </w:r>
          </w:p>
        </w:tc>
      </w:tr>
      <w:tr>
        <w:trPr/>
        <w:tc>
          <w:tcPr>
            <w:tcW w:w="8471" w:type="dxa"/>
            <w:tcBorders/>
            <w:shd w:fill="FFFFFF" w:val="clear"/>
          </w:tcPr>
          <w:p>
            <w:pPr>
              <w:pStyle w:val="TableContents"/>
              <w:spacing w:before="0" w:after="283"/>
              <w:rPr>
                <w:sz w:val="20"/>
              </w:rPr>
            </w:pPr>
            <w:r>
              <w:rPr>
                <w:sz w:val="20"/>
              </w:rPr>
              <w:t>ZLP Fund, L.P.</w:t>
            </w:r>
          </w:p>
        </w:tc>
        <w:tc>
          <w:tcPr>
            <w:tcW w:w="305"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sz w:val="20"/>
              </w:rPr>
            </w:pPr>
            <w:r>
              <w:rPr>
                <w:sz w:val="20"/>
              </w:rPr>
              <w:t>271,612</w:t>
            </w:r>
          </w:p>
        </w:tc>
      </w:tr>
      <w:tr>
        <w:trPr/>
        <w:tc>
          <w:tcPr>
            <w:tcW w:w="8471" w:type="dxa"/>
            <w:tcBorders/>
            <w:shd w:fill="CCEEFF" w:val="clear"/>
          </w:tcPr>
          <w:p>
            <w:pPr>
              <w:pStyle w:val="TableContents"/>
              <w:spacing w:before="0" w:after="283"/>
              <w:rPr>
                <w:sz w:val="20"/>
              </w:rPr>
            </w:pPr>
            <w:r>
              <w:rPr>
                <w:sz w:val="20"/>
              </w:rPr>
              <w:t>Structured Finance Americas, LLC</w:t>
            </w:r>
          </w:p>
        </w:tc>
        <w:tc>
          <w:tcPr>
            <w:tcW w:w="305"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sz w:val="20"/>
              </w:rPr>
            </w:pPr>
            <w:r>
              <w:rPr>
                <w:sz w:val="20"/>
              </w:rPr>
              <w:t>362,150</w:t>
            </w:r>
          </w:p>
        </w:tc>
      </w:tr>
      <w:tr>
        <w:trPr/>
        <w:tc>
          <w:tcPr>
            <w:tcW w:w="8471" w:type="dxa"/>
            <w:tcBorders/>
            <w:shd w:fill="FFFFFF" w:val="clear"/>
          </w:tcPr>
          <w:p>
            <w:pPr>
              <w:pStyle w:val="TableContents"/>
              <w:spacing w:before="0" w:after="283"/>
              <w:rPr>
                <w:sz w:val="20"/>
              </w:rPr>
            </w:pPr>
            <w:r>
              <w:rPr>
                <w:sz w:val="20"/>
              </w:rPr>
              <w:t>Credit Suisse Management LLC</w:t>
            </w:r>
          </w:p>
        </w:tc>
        <w:tc>
          <w:tcPr>
            <w:tcW w:w="305"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sz w:val="20"/>
              </w:rPr>
            </w:pPr>
            <w:r>
              <w:rPr>
                <w:sz w:val="20"/>
              </w:rPr>
              <w:t>90,537</w:t>
            </w:r>
          </w:p>
        </w:tc>
      </w:tr>
      <w:tr>
        <w:trPr/>
        <w:tc>
          <w:tcPr>
            <w:tcW w:w="8471" w:type="dxa"/>
            <w:tcBorders/>
            <w:shd w:fill="CCEEFF" w:val="clear"/>
          </w:tcPr>
          <w:p>
            <w:pPr>
              <w:pStyle w:val="TableContents"/>
              <w:spacing w:before="0" w:after="283"/>
              <w:rPr>
                <w:sz w:val="20"/>
              </w:rPr>
            </w:pPr>
            <w:r>
              <w:rPr>
                <w:sz w:val="20"/>
              </w:rPr>
              <w:t>Kayne Anderson MLP Investment Company</w:t>
            </w:r>
          </w:p>
        </w:tc>
        <w:tc>
          <w:tcPr>
            <w:tcW w:w="305"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sz w:val="20"/>
              </w:rPr>
            </w:pPr>
            <w:r>
              <w:rPr>
                <w:sz w:val="20"/>
              </w:rPr>
              <w:t>393,507</w:t>
            </w:r>
          </w:p>
        </w:tc>
      </w:tr>
      <w:tr>
        <w:trPr/>
        <w:tc>
          <w:tcPr>
            <w:tcW w:w="8471" w:type="dxa"/>
            <w:tcBorders/>
            <w:shd w:fill="FFFFFF" w:val="clear"/>
          </w:tcPr>
          <w:p>
            <w:pPr>
              <w:pStyle w:val="TableContents"/>
              <w:spacing w:before="0" w:after="283"/>
              <w:rPr>
                <w:sz w:val="20"/>
              </w:rPr>
            </w:pPr>
            <w:r>
              <w:rPr>
                <w:sz w:val="20"/>
              </w:rPr>
              <w:t>Kayne Anderson Energy Total Return Fund, Inc.</w:t>
            </w:r>
          </w:p>
        </w:tc>
        <w:tc>
          <w:tcPr>
            <w:tcW w:w="305"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sz w:val="20"/>
              </w:rPr>
            </w:pPr>
            <w:r>
              <w:rPr>
                <w:sz w:val="20"/>
              </w:rPr>
              <w:t>73,782</w:t>
            </w:r>
          </w:p>
        </w:tc>
      </w:tr>
      <w:tr>
        <w:trPr/>
        <w:tc>
          <w:tcPr>
            <w:tcW w:w="8471" w:type="dxa"/>
            <w:tcBorders/>
            <w:shd w:fill="CCEEFF" w:val="clear"/>
          </w:tcPr>
          <w:p>
            <w:pPr>
              <w:pStyle w:val="TableContents"/>
              <w:spacing w:before="0" w:after="283"/>
              <w:rPr>
                <w:sz w:val="20"/>
              </w:rPr>
            </w:pPr>
            <w:r>
              <w:rPr>
                <w:sz w:val="20"/>
              </w:rPr>
              <w:t>RCH Energy MLP Fund, L.P.</w:t>
            </w:r>
          </w:p>
        </w:tc>
        <w:tc>
          <w:tcPr>
            <w:tcW w:w="305"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sz w:val="20"/>
              </w:rPr>
            </w:pPr>
            <w:r>
              <w:rPr>
                <w:sz w:val="20"/>
              </w:rPr>
              <w:t>93,458</w:t>
            </w:r>
          </w:p>
        </w:tc>
      </w:tr>
      <w:tr>
        <w:trPr/>
        <w:tc>
          <w:tcPr>
            <w:tcW w:w="8471" w:type="dxa"/>
            <w:tcBorders/>
            <w:shd w:fill="FFFFFF" w:val="clear"/>
          </w:tcPr>
          <w:p>
            <w:pPr>
              <w:pStyle w:val="TableContents"/>
              <w:spacing w:before="0" w:after="283"/>
              <w:rPr>
                <w:sz w:val="20"/>
              </w:rPr>
            </w:pPr>
            <w:r>
              <w:rPr>
                <w:sz w:val="20"/>
              </w:rPr>
              <w:t>The Swank MLP Convergence Fund, LP</w:t>
            </w:r>
          </w:p>
        </w:tc>
        <w:tc>
          <w:tcPr>
            <w:tcW w:w="305"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sz w:val="20"/>
              </w:rPr>
            </w:pPr>
            <w:r>
              <w:rPr>
                <w:sz w:val="20"/>
              </w:rPr>
              <w:t>93,458</w:t>
            </w:r>
          </w:p>
        </w:tc>
      </w:tr>
      <w:tr>
        <w:trPr/>
        <w:tc>
          <w:tcPr>
            <w:tcW w:w="8471" w:type="dxa"/>
            <w:tcBorders/>
            <w:shd w:fill="CCEEFF" w:val="clear"/>
          </w:tcPr>
          <w:p>
            <w:pPr>
              <w:pStyle w:val="TableContents"/>
              <w:spacing w:before="0" w:after="283"/>
              <w:rPr>
                <w:sz w:val="20"/>
              </w:rPr>
            </w:pPr>
            <w:r>
              <w:rPr>
                <w:sz w:val="20"/>
              </w:rPr>
              <w:t>Fiduciary/Claymore MLP Opportunity Fund</w:t>
            </w:r>
          </w:p>
        </w:tc>
        <w:tc>
          <w:tcPr>
            <w:tcW w:w="305"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sz w:val="20"/>
              </w:rPr>
            </w:pPr>
            <w:r>
              <w:rPr>
                <w:sz w:val="20"/>
              </w:rPr>
              <w:t>93,458</w:t>
            </w:r>
          </w:p>
        </w:tc>
      </w:tr>
      <w:tr>
        <w:trPr/>
        <w:tc>
          <w:tcPr>
            <w:tcW w:w="8471" w:type="dxa"/>
            <w:tcBorders/>
            <w:shd w:fill="FFFFFF" w:val="clear"/>
          </w:tcPr>
          <w:p>
            <w:pPr>
              <w:pStyle w:val="TableContents"/>
              <w:spacing w:before="0" w:after="283"/>
              <w:rPr>
                <w:sz w:val="20"/>
              </w:rPr>
            </w:pPr>
            <w:r>
              <w:rPr>
                <w:sz w:val="20"/>
              </w:rPr>
              <w:t>Tortoise Energy Infrastructure Corporation</w:t>
            </w:r>
          </w:p>
        </w:tc>
        <w:tc>
          <w:tcPr>
            <w:tcW w:w="305"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sz w:val="20"/>
              </w:rPr>
            </w:pPr>
            <w:r>
              <w:rPr>
                <w:sz w:val="20"/>
              </w:rPr>
              <w:t>21,990</w:t>
            </w:r>
          </w:p>
        </w:tc>
      </w:tr>
      <w:tr>
        <w:trPr/>
        <w:tc>
          <w:tcPr>
            <w:tcW w:w="8471" w:type="dxa"/>
            <w:tcBorders/>
            <w:shd w:fill="CCEEFF" w:val="clear"/>
          </w:tcPr>
          <w:p>
            <w:pPr>
              <w:pStyle w:val="TableContents"/>
              <w:spacing w:before="0" w:after="283"/>
              <w:rPr>
                <w:sz w:val="20"/>
              </w:rPr>
            </w:pPr>
            <w:r>
              <w:rPr>
                <w:sz w:val="20"/>
              </w:rPr>
              <w:t>Tortoise Energy Capital Corporation</w:t>
            </w:r>
          </w:p>
        </w:tc>
        <w:tc>
          <w:tcPr>
            <w:tcW w:w="305"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sz w:val="20"/>
              </w:rPr>
            </w:pPr>
            <w:r>
              <w:rPr>
                <w:sz w:val="20"/>
              </w:rPr>
              <w:t>16,493</w:t>
            </w:r>
          </w:p>
        </w:tc>
      </w:tr>
      <w:tr>
        <w:trPr/>
        <w:tc>
          <w:tcPr>
            <w:tcW w:w="8471" w:type="dxa"/>
            <w:tcBorders/>
            <w:shd w:fill="FFFFFF" w:val="clear"/>
          </w:tcPr>
          <w:p>
            <w:pPr>
              <w:pStyle w:val="TableContents"/>
              <w:spacing w:before="0" w:after="283"/>
              <w:rPr>
                <w:sz w:val="20"/>
              </w:rPr>
            </w:pPr>
            <w:r>
              <w:rPr>
                <w:sz w:val="20"/>
              </w:rPr>
              <w:t>Tortoise North American Energy Corporation</w:t>
            </w:r>
          </w:p>
        </w:tc>
        <w:tc>
          <w:tcPr>
            <w:tcW w:w="305"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sz w:val="20"/>
              </w:rPr>
            </w:pPr>
            <w:r>
              <w:rPr>
                <w:sz w:val="20"/>
              </w:rPr>
              <w:t>8,246</w:t>
            </w:r>
          </w:p>
        </w:tc>
      </w:tr>
      <w:tr>
        <w:trPr/>
        <w:tc>
          <w:tcPr>
            <w:tcW w:w="8471" w:type="dxa"/>
            <w:tcBorders/>
            <w:shd w:fill="CCEEFF" w:val="clear"/>
          </w:tcPr>
          <w:p>
            <w:pPr>
              <w:pStyle w:val="TableContents"/>
              <w:spacing w:before="0" w:after="283"/>
              <w:rPr>
                <w:sz w:val="20"/>
              </w:rPr>
            </w:pPr>
            <w:r>
              <w:rPr>
                <w:sz w:val="20"/>
              </w:rPr>
              <w:t>Alerian Capital Partners, L.P.</w:t>
            </w:r>
          </w:p>
        </w:tc>
        <w:tc>
          <w:tcPr>
            <w:tcW w:w="305"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sz w:val="20"/>
              </w:rPr>
            </w:pPr>
            <w:r>
              <w:rPr>
                <w:sz w:val="20"/>
              </w:rPr>
              <w:t>21,184</w:t>
            </w:r>
          </w:p>
        </w:tc>
      </w:tr>
      <w:tr>
        <w:trPr/>
        <w:tc>
          <w:tcPr>
            <w:tcW w:w="8471" w:type="dxa"/>
            <w:tcBorders/>
            <w:shd w:fill="FFFFFF" w:val="clear"/>
          </w:tcPr>
          <w:p>
            <w:pPr>
              <w:pStyle w:val="TableContents"/>
              <w:spacing w:before="0" w:after="283"/>
              <w:rPr>
                <w:sz w:val="20"/>
              </w:rPr>
            </w:pPr>
            <w:r>
              <w:rPr>
                <w:sz w:val="20"/>
              </w:rPr>
              <w:t>Strome MLP Fund, L.P.</w:t>
            </w:r>
          </w:p>
        </w:tc>
        <w:tc>
          <w:tcPr>
            <w:tcW w:w="305"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sz w:val="20"/>
              </w:rPr>
            </w:pPr>
            <w:r>
              <w:rPr>
                <w:sz w:val="20"/>
              </w:rPr>
              <w:t>46,729</w:t>
            </w:r>
          </w:p>
        </w:tc>
      </w:tr>
      <w:tr>
        <w:trPr/>
        <w:tc>
          <w:tcPr>
            <w:tcW w:w="8471"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1429" w:type="dxa"/>
            <w:tcBorders/>
            <w:shd w:fill="auto" w:val="clear"/>
          </w:tcPr>
          <w:p>
            <w:pPr>
              <w:pStyle w:val="HorizontalLine"/>
              <w:pBdr>
                <w:bottom w:val="single" w:sz="20" w:space="0" w:color="808080"/>
              </w:pBdr>
              <w:spacing w:before="0" w:after="283"/>
              <w:rPr/>
            </w:pPr>
            <w:r>
              <w:rPr/>
            </w:r>
          </w:p>
        </w:tc>
      </w:tr>
      <w:tr>
        <w:trPr/>
        <w:tc>
          <w:tcPr>
            <w:tcW w:w="8471" w:type="dxa"/>
            <w:tcBorders/>
            <w:shd w:fill="CCEEFF" w:val="clear"/>
          </w:tcPr>
          <w:p>
            <w:pPr>
              <w:pStyle w:val="TableContents"/>
              <w:spacing w:before="0" w:after="283"/>
              <w:rPr>
                <w:b/>
                <w:sz w:val="20"/>
              </w:rPr>
            </w:pPr>
            <w:r>
              <w:rPr>
                <w:b/>
                <w:sz w:val="20"/>
              </w:rPr>
              <w:t>Total:</w:t>
            </w:r>
          </w:p>
        </w:tc>
        <w:tc>
          <w:tcPr>
            <w:tcW w:w="305"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b/>
                <w:sz w:val="20"/>
              </w:rPr>
            </w:pPr>
            <w:r>
              <w:rPr>
                <w:b/>
                <w:sz w:val="20"/>
              </w:rPr>
              <w:t>2,336,448</w:t>
            </w:r>
          </w:p>
        </w:tc>
      </w:tr>
      <w:tr>
        <w:trPr/>
        <w:tc>
          <w:tcPr>
            <w:tcW w:w="8471"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1429" w:type="dxa"/>
            <w:tcBorders/>
            <w:shd w:fill="auto" w:val="clear"/>
          </w:tcPr>
          <w:p>
            <w:pPr>
              <w:pStyle w:val="HorizontalLine"/>
              <w:pBdr>
                <w:bottom w:val="single" w:sz="24" w:space="0" w:color="808080"/>
              </w:pBdr>
              <w:spacing w:before="0" w:after="283"/>
              <w:rPr/>
            </w:pPr>
            <w:r>
              <w:rPr/>
            </w:r>
          </w:p>
        </w:tc>
      </w:tr>
    </w:tbl>
    <w:p>
      <w:pPr>
        <w:pStyle w:val="TextBody"/>
        <w:rPr/>
      </w:pPr>
      <w:r>
        <w:rPr/>
        <w:t>        </w:t>
      </w:r>
      <w:r>
        <w:rPr>
          <w:sz w:val="20"/>
        </w:rPr>
        <w:t xml:space="preserve">Subject to the terms of a purchase agreement dated March 16, 2006, the purchasers have agreed to purchase, and we have agreed to sell to the purchasers, 2,336,448 common units at a price of $42.80 per unit. We determined the per unit price through negotiations with the purchasers. The purchase agreement also provides that we are committed to sell and the purchasers are committed to buy an additional 1,168,224 common units for the same per unit price upon the closing of our acquisition of Andrews Petroleum, Inc. and related businesses. Additionally, we have the option to sell these additional units to the purchasers at any time as long as we believe the acquisition is reasonably likely to close. Until we exercise our option, each purchase can terminate its obligation to purchase its share of the additional units in certain circumstances. </w:t>
      </w:r>
    </w:p>
    <w:p>
      <w:pPr>
        <w:pStyle w:val="TextBody"/>
        <w:rPr/>
      </w:pPr>
      <w:r>
        <w:rPr/>
        <w:t>        </w:t>
      </w:r>
      <w:r>
        <w:rPr>
          <w:sz w:val="20"/>
        </w:rPr>
        <w:t xml:space="preserve">The purchasers have agreed not to offer, sell, contract to sell, pledge or otherwise dispose of (or enter into any transaction which is designed to, or might reasonably be expected to, result in the disposition (whether by actual disposition or effective economic disposition due to cash settlement or otherwise)),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with respect to the common units purchased in this offering, for a period of 90 days after the closing date of this transaction without our prior written consent; </w:t>
      </w:r>
      <w:r>
        <w:rPr>
          <w:i/>
          <w:sz w:val="20"/>
        </w:rPr>
        <w:t>however</w:t>
      </w:r>
      <w:r>
        <w:rPr>
          <w:sz w:val="20"/>
        </w:rPr>
        <w:t xml:space="preserve">, a purchaser may enter into a total return swap or similar transaction with respect to the common units purchased in this offering as long as the swap counterparty agrees to be bound by the terms of the agreement described in this sentence. </w:t>
      </w:r>
    </w:p>
    <w:p>
      <w:pPr>
        <w:pStyle w:val="TextBody"/>
        <w:rPr/>
      </w:pPr>
      <w:r>
        <w:rPr/>
        <w:t>        </w:t>
      </w:r>
      <w:r>
        <w:rPr>
          <w:sz w:val="20"/>
        </w:rPr>
        <w:t xml:space="preserve">We expect to deliver the units through the book entry facilities of The Depository Trust Company in exchange for payment of the aggregate purchase price for the units purchased on March 22, 2006. </w:t>
      </w:r>
    </w:p>
    <w:p>
      <w:pPr>
        <w:pStyle w:val="TextBody"/>
        <w:jc w:val="center"/>
        <w:rPr>
          <w:sz w:val="20"/>
        </w:rPr>
      </w:pPr>
      <w:r>
        <w:rPr>
          <w:sz w:val="20"/>
        </w:rPr>
        <w:t>S-3</w:t>
      </w:r>
    </w:p>
    <w:p>
      <w:pPr>
        <w:pStyle w:val="HorizontalLine"/>
        <w:pBdr>
          <w:bottom w:val="single" w:sz="20" w:space="0" w:color="808080"/>
        </w:pBdr>
        <w:rPr/>
      </w:pPr>
      <w:r>
        <w:rPr/>
      </w:r>
      <w:r>
        <w:br w:type="page"/>
      </w:r>
    </w:p>
    <w:p>
      <w:pPr>
        <w:pStyle w:val="TextBody"/>
        <w:jc w:val="center"/>
        <w:rPr/>
      </w:pPr>
      <w:bookmarkStart w:id="21" w:name="toc_bb1086_6"/>
      <w:bookmarkStart w:id="22" w:name="bb1086_where_you_can_find_more_informati"/>
      <w:bookmarkStart w:id="23" w:name="page_bb1086_1_4"/>
      <w:bookmarkEnd w:id="21"/>
      <w:bookmarkEnd w:id="22"/>
      <w:bookmarkEnd w:id="23"/>
      <w:r>
        <w:rPr>
          <w:sz w:val="20"/>
        </w:rPr>
        <w:br/>
      </w:r>
      <w:r>
        <w:rPr>
          <w:b/>
          <w:sz w:val="20"/>
        </w:rPr>
        <w:t xml:space="preserve">WHERE YOU CAN FIND MORE INFORMATION </w:t>
      </w:r>
    </w:p>
    <w:p>
      <w:pPr>
        <w:pStyle w:val="TextBody"/>
        <w:rPr/>
      </w:pPr>
      <w:r>
        <w:rPr/>
        <w:t>        </w:t>
      </w:r>
      <w:r>
        <w:rPr>
          <w:sz w:val="20"/>
        </w:rPr>
        <w:t xml:space="preserve">The SEC allows us to "incorporate by reference" information we file with it. This procedure means that we can disclose important information to you by referring you to documents filed with the SEC. The information we incorporate by reference (excluding any information furnished and not filed with the SEC) is part of this prospectus supplement and later information that we file with the SEC (excluding any information furnished and not filed with the SEC) will automatically update and supersede this information. We incorporate by reference the documents listed below: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Annual Report on Form 10-K for the year ended December 31, 2005 filed on March 2, 2006;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Reports on Form 8-K filed on January 5, 2006 and March 16, 2006;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description of our common units contained in our Form 8-A/A dated November 3, 1998. </w:t>
      </w:r>
    </w:p>
    <w:p>
      <w:pPr>
        <w:pStyle w:val="TextBody"/>
        <w:rPr/>
      </w:pPr>
      <w:r>
        <w:rPr/>
        <w:t>        </w:t>
      </w:r>
      <w:r>
        <w:rPr>
          <w:sz w:val="20"/>
        </w:rPr>
        <w:t xml:space="preserve">You may request a copy of these filings at no cost by making written or telephone requests for copies to: </w:t>
      </w:r>
    </w:p>
    <w:p>
      <w:pPr>
        <w:pStyle w:val="TextBody"/>
        <w:numPr>
          <w:ilvl w:val="0"/>
          <w:numId w:val="0"/>
        </w:numPr>
        <w:ind w:left="1414" w:hanging="0"/>
        <w:rPr>
          <w:sz w:val="20"/>
        </w:rPr>
      </w:pPr>
      <w:r>
        <w:rPr>
          <w:sz w:val="20"/>
        </w:rPr>
        <w:t>Plains All American Pipeline, L.P.</w:t>
        <w:br/>
        <w:t>333 Clay Street, Suite 1600</w:t>
        <w:br/>
        <w:t>Houston, Texas 77002</w:t>
        <w:br/>
        <w:t>Attention: Tim Moore</w:t>
        <w:br/>
        <w:t xml:space="preserve">Telephone: (713) 646-4100 </w:t>
      </w:r>
    </w:p>
    <w:p>
      <w:pPr>
        <w:pStyle w:val="TextBody"/>
        <w:rPr/>
      </w:pPr>
      <w:r>
        <w:rPr/>
        <w:t>        </w:t>
      </w:r>
      <w:r>
        <w:rPr>
          <w:sz w:val="20"/>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i/>
          <w:sz w:val="20"/>
        </w:rPr>
        <w:t>www.sec.gov</w:t>
      </w:r>
      <w:r>
        <w:rPr>
          <w:sz w:val="20"/>
        </w:rPr>
        <w:t xml:space="preserve">. </w:t>
      </w:r>
    </w:p>
    <w:p>
      <w:pPr>
        <w:pStyle w:val="TextBody"/>
        <w:rPr/>
      </w:pPr>
      <w:r>
        <w:rPr/>
        <w:t>        </w:t>
      </w:r>
      <w:r>
        <w:rPr>
          <w:sz w:val="20"/>
        </w:rPr>
        <w:t xml:space="preserve">You should rely only on the information incorporated by reference or provided in this prospectus supplement and the accompanying base prospectus. We have not authorized anyone else to provide you with any information. You should not assume that the information incorporated by reference or provided in this prospectus supplement or the accompanying base prospectus is accurate as of any date other than its date. </w:t>
      </w:r>
    </w:p>
    <w:p>
      <w:pPr>
        <w:pStyle w:val="TextBody"/>
        <w:jc w:val="center"/>
        <w:rPr>
          <w:sz w:val="20"/>
        </w:rPr>
      </w:pPr>
      <w:r>
        <w:rPr>
          <w:sz w:val="20"/>
        </w:rPr>
        <w:t>S-4</w:t>
      </w:r>
    </w:p>
    <w:p>
      <w:pPr>
        <w:pStyle w:val="HorizontalLine"/>
        <w:pBdr>
          <w:bottom w:val="single" w:sz="20" w:space="0" w:color="808080"/>
        </w:pBdr>
        <w:rPr/>
      </w:pPr>
      <w:r>
        <w:rPr/>
      </w:r>
      <w:r>
        <w:br w:type="page"/>
      </w:r>
    </w:p>
    <w:p>
      <w:pPr>
        <w:pStyle w:val="TextBody"/>
        <w:jc w:val="center"/>
        <w:rPr>
          <w:b/>
          <w:sz w:val="20"/>
        </w:rPr>
      </w:pPr>
      <w:r>
        <w:rPr>
          <w:b/>
          <w:sz w:val="20"/>
        </w:rPr>
        <w:t xml:space="preserve">PROSPECTUS </w:t>
      </w:r>
    </w:p>
    <w:p>
      <w:pPr>
        <w:pStyle w:val="TextBody"/>
        <w:jc w:val="center"/>
        <w:rPr>
          <w:b/>
          <w:sz w:val="36"/>
        </w:rPr>
      </w:pPr>
      <w:r>
        <w:rPr>
          <w:b/>
          <w:sz w:val="36"/>
        </w:rPr>
        <w:t xml:space="preserve">$2,000,000,000 </w:t>
      </w:r>
    </w:p>
    <w:p>
      <w:pPr>
        <w:pStyle w:val="TextBody"/>
        <w:jc w:val="center"/>
        <w:rPr>
          <w:b/>
          <w:sz w:val="36"/>
        </w:rPr>
      </w:pPr>
      <w:r>
        <w:rPr>
          <w:b/>
          <w:sz w:val="36"/>
        </w:rPr>
        <w:t>Plains All American Pipeline, L.P.</w:t>
        <w:br/>
        <w:t xml:space="preserve">PAA Finance Corp. </w:t>
      </w:r>
    </w:p>
    <w:p>
      <w:pPr>
        <w:pStyle w:val="HorizontalLine"/>
        <w:pBdr>
          <w:bottom w:val="single" w:sz="20" w:space="0" w:color="808080"/>
        </w:pBdr>
        <w:rPr/>
      </w:pPr>
      <w:r>
        <w:rPr/>
      </w:r>
    </w:p>
    <w:p>
      <w:pPr>
        <w:pStyle w:val="TextBody"/>
        <w:jc w:val="center"/>
        <w:rPr>
          <w:b/>
          <w:sz w:val="28"/>
        </w:rPr>
      </w:pPr>
      <w:r>
        <w:rPr>
          <w:b/>
          <w:sz w:val="28"/>
        </w:rPr>
        <w:t>Common Units</w:t>
        <w:br/>
        <w:t xml:space="preserve">Debt Securities </w:t>
      </w:r>
    </w:p>
    <w:p>
      <w:pPr>
        <w:pStyle w:val="HorizontalLine"/>
        <w:pBdr>
          <w:bottom w:val="single" w:sz="20" w:space="0" w:color="808080"/>
        </w:pBdr>
        <w:rPr/>
      </w:pPr>
      <w:r>
        <w:rPr/>
      </w:r>
    </w:p>
    <w:p>
      <w:pPr>
        <w:pStyle w:val="TextBody"/>
        <w:rPr>
          <w:sz w:val="20"/>
        </w:rPr>
      </w:pPr>
      <w:r>
        <w:rPr>
          <w:sz w:val="20"/>
        </w:rPr>
        <w:t xml:space="preserve">We may from time to time offer the following securities under this prospectus: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common units representing limited partner interests in Plains All American Pipeline, L.P.;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debt securities of Plains All American Pipeline, L.P. </w:t>
      </w:r>
    </w:p>
    <w:p>
      <w:pPr>
        <w:pStyle w:val="TextBody"/>
        <w:rPr/>
      </w:pPr>
      <w:r>
        <w:rPr/>
        <w:t>        </w:t>
      </w:r>
      <w:r>
        <w:rPr>
          <w:sz w:val="20"/>
        </w:rPr>
        <w:t xml:space="preserve">PAA Finance Corp. may act as co-issuer of the debt securities, and all other subsidiaries of Plains All American Pipeline, L.P., other than "minor" subsidiaries as such item is interpreted in securities regulations governing financial reporting for guarantors, may guarantee the debt securities. </w:t>
      </w:r>
    </w:p>
    <w:p>
      <w:pPr>
        <w:pStyle w:val="TextBody"/>
        <w:rPr>
          <w:sz w:val="20"/>
        </w:rPr>
      </w:pPr>
      <w:r>
        <w:rPr>
          <w:sz w:val="20"/>
        </w:rPr>
        <w:t xml:space="preserve">Our common units are traded on the New York Stock Exchange under the symbol "PAA." </w:t>
      </w:r>
    </w:p>
    <w:p>
      <w:pPr>
        <w:pStyle w:val="HorizontalLine"/>
        <w:pBdr>
          <w:bottom w:val="single" w:sz="20" w:space="0" w:color="808080"/>
        </w:pBdr>
        <w:rPr/>
      </w:pPr>
      <w:r>
        <w:rPr/>
      </w:r>
    </w:p>
    <w:p>
      <w:pPr>
        <w:pStyle w:val="TextBody"/>
        <w:rPr/>
      </w:pPr>
      <w:r>
        <w:rPr/>
        <w:t>        </w:t>
      </w:r>
      <w:r>
        <w:rPr>
          <w:sz w:val="20"/>
        </w:rPr>
        <w:t xml:space="preserve">Each time we sell securities we will provide a prospectus supplement that will contain specific information about the terms of that offering. The prospectus supplement may also add, update or change information contained in this prospectus. You should read this prospectus and any prospectus supplement carefully before you invest. You should also read the documents we have referred you to in the "Where You Can Find More Information" section of this prospectus for information on us and for our financial statements. </w:t>
      </w:r>
    </w:p>
    <w:p>
      <w:pPr>
        <w:pStyle w:val="TextBody"/>
        <w:rPr/>
      </w:pPr>
      <w:r>
        <w:rPr/>
        <w:t>        </w:t>
      </w:r>
      <w:r>
        <w:rPr>
          <w:b/>
          <w:sz w:val="24"/>
        </w:rPr>
        <w:t>Limited partnerships are inherently different from corporations. You should consider each of the factors described under "Risk Factors," which begin on page 5, in deciding whether or not to buy any of our securities.</w:t>
      </w:r>
    </w:p>
    <w:p>
      <w:pPr>
        <w:pStyle w:val="TextBody"/>
        <w:rPr/>
      </w:pPr>
      <w:r>
        <w:rPr/>
        <w:t>        </w:t>
      </w:r>
      <w:r>
        <w:rPr>
          <w:sz w:val="20"/>
        </w:rPr>
        <w:t xml:space="preserve">Neither the Securities and Exchange Commission nor any state securities commission has approved or disapproved of our securities or determined if this prospectus is truthful or complete. Any representation to the contrary is a criminal offense. </w:t>
      </w:r>
    </w:p>
    <w:p>
      <w:pPr>
        <w:pStyle w:val="HorizontalLine"/>
        <w:pBdr>
          <w:bottom w:val="single" w:sz="20" w:space="0" w:color="808080"/>
        </w:pBdr>
        <w:rPr/>
      </w:pPr>
      <w:r>
        <w:rPr/>
      </w:r>
    </w:p>
    <w:p>
      <w:pPr>
        <w:pStyle w:val="TextBody"/>
        <w:jc w:val="center"/>
        <w:rPr>
          <w:sz w:val="20"/>
        </w:rPr>
      </w:pPr>
      <w:r>
        <w:rPr>
          <w:sz w:val="20"/>
        </w:rPr>
        <w:t xml:space="preserve">The date of this prospectus is July 22, 2005. </w:t>
      </w:r>
    </w:p>
    <w:p>
      <w:pPr>
        <w:pStyle w:val="HorizontalLine"/>
        <w:pBdr>
          <w:bottom w:val="single" w:sz="20" w:space="0" w:color="808080"/>
        </w:pBdr>
        <w:rPr/>
      </w:pPr>
      <w:r>
        <w:rPr/>
      </w:r>
      <w:r>
        <w:br w:type="page"/>
      </w:r>
    </w:p>
    <w:p>
      <w:pPr>
        <w:pStyle w:val="TextBody"/>
        <w:jc w:val="center"/>
        <w:rPr>
          <w:b/>
          <w:sz w:val="20"/>
        </w:rPr>
      </w:pPr>
      <w:bookmarkStart w:id="24" w:name="page_bg1086_1_1"/>
      <w:bookmarkEnd w:id="24"/>
      <w:r>
        <w:rPr>
          <w:b/>
          <w:sz w:val="20"/>
        </w:rPr>
        <w:t xml:space="preserve">Table of Contents </w:t>
      </w:r>
    </w:p>
    <w:tbl>
      <w:tblPr>
        <w:tblW w:w="3900" w:type="pct"/>
        <w:jc w:val="left"/>
        <w:tblInd w:w="0" w:type="dxa"/>
        <w:tblCellMar>
          <w:top w:w="0" w:type="dxa"/>
          <w:left w:w="0" w:type="dxa"/>
          <w:bottom w:w="0" w:type="dxa"/>
          <w:right w:w="0" w:type="dxa"/>
        </w:tblCellMar>
      </w:tblPr>
      <w:tblGrid>
        <w:gridCol w:w="7481"/>
        <w:gridCol w:w="239"/>
        <w:gridCol w:w="239"/>
      </w:tblGrid>
      <w:tr>
        <w:trPr/>
        <w:tc>
          <w:tcPr>
            <w:tcW w:w="7481" w:type="dxa"/>
            <w:tcBorders/>
            <w:shd w:fill="auto" w:val="clear"/>
          </w:tcPr>
          <w:p>
            <w:pPr>
              <w:pStyle w:val="TableContents"/>
              <w:spacing w:before="0" w:after="283"/>
              <w:rPr>
                <w:sz w:val="20"/>
              </w:rPr>
            </w:pPr>
            <w:r>
              <w:rPr>
                <w:sz w:val="20"/>
              </w:rPr>
              <w:t>ABOUT THIS PROSPECTUS</w:t>
            </w:r>
          </w:p>
        </w:tc>
        <w:tc>
          <w:tcPr>
            <w:tcW w:w="239" w:type="dxa"/>
            <w:tcBorders/>
            <w:shd w:fill="auto" w:val="clear"/>
          </w:tcPr>
          <w:p>
            <w:pPr>
              <w:pStyle w:val="TableContents"/>
              <w:spacing w:before="0" w:after="283"/>
              <w:rPr/>
            </w:pPr>
            <w:r>
              <w:rPr/>
              <w:t> </w:t>
            </w:r>
          </w:p>
        </w:tc>
        <w:tc>
          <w:tcPr>
            <w:tcW w:w="239" w:type="dxa"/>
            <w:tcBorders/>
            <w:shd w:fill="auto" w:val="clear"/>
          </w:tcPr>
          <w:p>
            <w:pPr>
              <w:pStyle w:val="TableContents"/>
              <w:spacing w:before="0" w:after="283"/>
              <w:jc w:val="right"/>
              <w:rPr>
                <w:sz w:val="20"/>
              </w:rPr>
            </w:pPr>
            <w:r>
              <w:rPr>
                <w:sz w:val="20"/>
              </w:rPr>
              <w:t>i</w:t>
            </w:r>
          </w:p>
        </w:tc>
      </w:tr>
      <w:tr>
        <w:trPr/>
        <w:tc>
          <w:tcPr>
            <w:tcW w:w="7481" w:type="dxa"/>
            <w:tcBorders/>
            <w:shd w:fill="auto" w:val="clear"/>
          </w:tcPr>
          <w:p>
            <w:pPr>
              <w:pStyle w:val="TableContents"/>
              <w:spacing w:before="0" w:after="283"/>
              <w:rPr>
                <w:sz w:val="20"/>
              </w:rPr>
            </w:pPr>
            <w:r>
              <w:rPr>
                <w:sz w:val="20"/>
              </w:rPr>
              <w:t>WHERE YOU CAN FIND MORE INFORMATION</w:t>
            </w:r>
          </w:p>
        </w:tc>
        <w:tc>
          <w:tcPr>
            <w:tcW w:w="239" w:type="dxa"/>
            <w:tcBorders/>
            <w:shd w:fill="auto" w:val="clear"/>
          </w:tcPr>
          <w:p>
            <w:pPr>
              <w:pStyle w:val="TableContents"/>
              <w:spacing w:before="0" w:after="283"/>
              <w:rPr/>
            </w:pPr>
            <w:r>
              <w:rPr/>
              <w:t> </w:t>
            </w:r>
          </w:p>
        </w:tc>
        <w:tc>
          <w:tcPr>
            <w:tcW w:w="239" w:type="dxa"/>
            <w:tcBorders/>
            <w:shd w:fill="auto" w:val="clear"/>
          </w:tcPr>
          <w:p>
            <w:pPr>
              <w:pStyle w:val="TableContents"/>
              <w:spacing w:before="0" w:after="283"/>
              <w:jc w:val="right"/>
              <w:rPr>
                <w:sz w:val="20"/>
              </w:rPr>
            </w:pPr>
            <w:r>
              <w:rPr>
                <w:sz w:val="20"/>
              </w:rPr>
              <w:t>1</w:t>
            </w:r>
          </w:p>
        </w:tc>
      </w:tr>
      <w:tr>
        <w:trPr/>
        <w:tc>
          <w:tcPr>
            <w:tcW w:w="7481" w:type="dxa"/>
            <w:tcBorders/>
            <w:shd w:fill="auto" w:val="clear"/>
          </w:tcPr>
          <w:p>
            <w:pPr>
              <w:pStyle w:val="TableContents"/>
              <w:spacing w:before="0" w:after="283"/>
              <w:rPr>
                <w:sz w:val="20"/>
              </w:rPr>
            </w:pPr>
            <w:r>
              <w:rPr>
                <w:sz w:val="20"/>
              </w:rPr>
              <w:t>FORWARD-LOOKING STATEMENTS</w:t>
            </w:r>
          </w:p>
        </w:tc>
        <w:tc>
          <w:tcPr>
            <w:tcW w:w="239" w:type="dxa"/>
            <w:tcBorders/>
            <w:shd w:fill="auto" w:val="clear"/>
          </w:tcPr>
          <w:p>
            <w:pPr>
              <w:pStyle w:val="TableContents"/>
              <w:spacing w:before="0" w:after="283"/>
              <w:rPr/>
            </w:pPr>
            <w:r>
              <w:rPr/>
              <w:t> </w:t>
            </w:r>
          </w:p>
        </w:tc>
        <w:tc>
          <w:tcPr>
            <w:tcW w:w="239" w:type="dxa"/>
            <w:tcBorders/>
            <w:shd w:fill="auto" w:val="clear"/>
          </w:tcPr>
          <w:p>
            <w:pPr>
              <w:pStyle w:val="TableContents"/>
              <w:spacing w:before="0" w:after="283"/>
              <w:jc w:val="right"/>
              <w:rPr>
                <w:sz w:val="20"/>
              </w:rPr>
            </w:pPr>
            <w:r>
              <w:rPr>
                <w:sz w:val="20"/>
              </w:rPr>
              <w:t>2</w:t>
            </w:r>
          </w:p>
        </w:tc>
      </w:tr>
      <w:tr>
        <w:trPr/>
        <w:tc>
          <w:tcPr>
            <w:tcW w:w="7481" w:type="dxa"/>
            <w:tcBorders/>
            <w:shd w:fill="auto" w:val="clear"/>
          </w:tcPr>
          <w:p>
            <w:pPr>
              <w:pStyle w:val="TableContents"/>
              <w:spacing w:before="0" w:after="283"/>
              <w:rPr>
                <w:sz w:val="20"/>
              </w:rPr>
            </w:pPr>
            <w:r>
              <w:rPr>
                <w:sz w:val="20"/>
              </w:rPr>
              <w:t>WHO WE ARE</w:t>
            </w:r>
          </w:p>
        </w:tc>
        <w:tc>
          <w:tcPr>
            <w:tcW w:w="239" w:type="dxa"/>
            <w:tcBorders/>
            <w:shd w:fill="auto" w:val="clear"/>
          </w:tcPr>
          <w:p>
            <w:pPr>
              <w:pStyle w:val="TableContents"/>
              <w:spacing w:before="0" w:after="283"/>
              <w:rPr/>
            </w:pPr>
            <w:r>
              <w:rPr/>
              <w:t> </w:t>
            </w:r>
          </w:p>
        </w:tc>
        <w:tc>
          <w:tcPr>
            <w:tcW w:w="239" w:type="dxa"/>
            <w:tcBorders/>
            <w:shd w:fill="auto" w:val="clear"/>
          </w:tcPr>
          <w:p>
            <w:pPr>
              <w:pStyle w:val="TableContents"/>
              <w:spacing w:before="0" w:after="283"/>
              <w:jc w:val="right"/>
              <w:rPr>
                <w:sz w:val="20"/>
              </w:rPr>
            </w:pPr>
            <w:r>
              <w:rPr>
                <w:sz w:val="20"/>
              </w:rPr>
              <w:t>3</w:t>
            </w:r>
          </w:p>
        </w:tc>
      </w:tr>
      <w:tr>
        <w:trPr/>
        <w:tc>
          <w:tcPr>
            <w:tcW w:w="7481" w:type="dxa"/>
            <w:tcBorders/>
            <w:shd w:fill="auto" w:val="clear"/>
          </w:tcPr>
          <w:p>
            <w:pPr>
              <w:pStyle w:val="TableContents"/>
              <w:spacing w:before="0" w:after="283"/>
              <w:rPr>
                <w:sz w:val="20"/>
              </w:rPr>
            </w:pPr>
            <w:r>
              <w:rPr>
                <w:sz w:val="20"/>
              </w:rPr>
              <w:t>RISK FACTORS</w:t>
            </w:r>
          </w:p>
        </w:tc>
        <w:tc>
          <w:tcPr>
            <w:tcW w:w="239" w:type="dxa"/>
            <w:tcBorders/>
            <w:shd w:fill="auto" w:val="clear"/>
          </w:tcPr>
          <w:p>
            <w:pPr>
              <w:pStyle w:val="TableContents"/>
              <w:spacing w:before="0" w:after="283"/>
              <w:rPr/>
            </w:pPr>
            <w:r>
              <w:rPr/>
              <w:t> </w:t>
            </w:r>
          </w:p>
        </w:tc>
        <w:tc>
          <w:tcPr>
            <w:tcW w:w="239" w:type="dxa"/>
            <w:tcBorders/>
            <w:shd w:fill="auto" w:val="clear"/>
          </w:tcPr>
          <w:p>
            <w:pPr>
              <w:pStyle w:val="TableContents"/>
              <w:spacing w:before="0" w:after="283"/>
              <w:jc w:val="right"/>
              <w:rPr>
                <w:sz w:val="20"/>
              </w:rPr>
            </w:pPr>
            <w:r>
              <w:rPr>
                <w:sz w:val="20"/>
              </w:rPr>
              <w:t>5</w:t>
            </w:r>
          </w:p>
        </w:tc>
      </w:tr>
      <w:tr>
        <w:trPr/>
        <w:tc>
          <w:tcPr>
            <w:tcW w:w="7481" w:type="dxa"/>
            <w:tcBorders/>
            <w:shd w:fill="auto" w:val="clear"/>
          </w:tcPr>
          <w:p>
            <w:pPr>
              <w:pStyle w:val="TableContents"/>
              <w:spacing w:before="0" w:after="283"/>
              <w:rPr>
                <w:sz w:val="20"/>
              </w:rPr>
            </w:pPr>
            <w:r>
              <w:rPr>
                <w:sz w:val="20"/>
              </w:rPr>
              <w:t>USE OF PROCEEDS</w:t>
            </w:r>
          </w:p>
        </w:tc>
        <w:tc>
          <w:tcPr>
            <w:tcW w:w="239" w:type="dxa"/>
            <w:tcBorders/>
            <w:shd w:fill="auto" w:val="clear"/>
          </w:tcPr>
          <w:p>
            <w:pPr>
              <w:pStyle w:val="TableContents"/>
              <w:spacing w:before="0" w:after="283"/>
              <w:rPr/>
            </w:pPr>
            <w:r>
              <w:rPr/>
              <w:t> </w:t>
            </w:r>
          </w:p>
        </w:tc>
        <w:tc>
          <w:tcPr>
            <w:tcW w:w="239" w:type="dxa"/>
            <w:tcBorders/>
            <w:shd w:fill="auto" w:val="clear"/>
          </w:tcPr>
          <w:p>
            <w:pPr>
              <w:pStyle w:val="TableContents"/>
              <w:spacing w:before="0" w:after="283"/>
              <w:jc w:val="right"/>
              <w:rPr>
                <w:sz w:val="20"/>
              </w:rPr>
            </w:pPr>
            <w:r>
              <w:rPr>
                <w:sz w:val="20"/>
              </w:rPr>
              <w:t>14</w:t>
            </w:r>
          </w:p>
        </w:tc>
      </w:tr>
      <w:tr>
        <w:trPr/>
        <w:tc>
          <w:tcPr>
            <w:tcW w:w="7481" w:type="dxa"/>
            <w:tcBorders/>
            <w:shd w:fill="auto" w:val="clear"/>
          </w:tcPr>
          <w:p>
            <w:pPr>
              <w:pStyle w:val="TableContents"/>
              <w:spacing w:before="0" w:after="283"/>
              <w:rPr>
                <w:sz w:val="20"/>
              </w:rPr>
            </w:pPr>
            <w:r>
              <w:rPr>
                <w:sz w:val="20"/>
              </w:rPr>
              <w:t>RATIO OF EARNINGS TO FIXED CHARGES</w:t>
            </w:r>
          </w:p>
        </w:tc>
        <w:tc>
          <w:tcPr>
            <w:tcW w:w="239" w:type="dxa"/>
            <w:tcBorders/>
            <w:shd w:fill="auto" w:val="clear"/>
          </w:tcPr>
          <w:p>
            <w:pPr>
              <w:pStyle w:val="TableContents"/>
              <w:spacing w:before="0" w:after="283"/>
              <w:rPr/>
            </w:pPr>
            <w:r>
              <w:rPr/>
              <w:t> </w:t>
            </w:r>
          </w:p>
        </w:tc>
        <w:tc>
          <w:tcPr>
            <w:tcW w:w="239" w:type="dxa"/>
            <w:tcBorders/>
            <w:shd w:fill="auto" w:val="clear"/>
          </w:tcPr>
          <w:p>
            <w:pPr>
              <w:pStyle w:val="TableContents"/>
              <w:spacing w:before="0" w:after="283"/>
              <w:jc w:val="right"/>
              <w:rPr>
                <w:sz w:val="20"/>
              </w:rPr>
            </w:pPr>
            <w:r>
              <w:rPr>
                <w:sz w:val="20"/>
              </w:rPr>
              <w:t>14</w:t>
            </w:r>
          </w:p>
        </w:tc>
      </w:tr>
      <w:tr>
        <w:trPr/>
        <w:tc>
          <w:tcPr>
            <w:tcW w:w="7481" w:type="dxa"/>
            <w:tcBorders/>
            <w:shd w:fill="auto" w:val="clear"/>
          </w:tcPr>
          <w:p>
            <w:pPr>
              <w:pStyle w:val="TableContents"/>
              <w:spacing w:before="0" w:after="283"/>
              <w:rPr>
                <w:sz w:val="20"/>
              </w:rPr>
            </w:pPr>
            <w:r>
              <w:rPr>
                <w:sz w:val="20"/>
              </w:rPr>
              <w:t>DESCRIPTION OF OUR DEBT SECURITIES</w:t>
            </w:r>
          </w:p>
        </w:tc>
        <w:tc>
          <w:tcPr>
            <w:tcW w:w="239" w:type="dxa"/>
            <w:tcBorders/>
            <w:shd w:fill="auto" w:val="clear"/>
          </w:tcPr>
          <w:p>
            <w:pPr>
              <w:pStyle w:val="TableContents"/>
              <w:spacing w:before="0" w:after="283"/>
              <w:rPr/>
            </w:pPr>
            <w:r>
              <w:rPr/>
              <w:t> </w:t>
            </w:r>
          </w:p>
        </w:tc>
        <w:tc>
          <w:tcPr>
            <w:tcW w:w="239" w:type="dxa"/>
            <w:tcBorders/>
            <w:shd w:fill="auto" w:val="clear"/>
          </w:tcPr>
          <w:p>
            <w:pPr>
              <w:pStyle w:val="TableContents"/>
              <w:spacing w:before="0" w:after="283"/>
              <w:jc w:val="right"/>
              <w:rPr>
                <w:sz w:val="20"/>
              </w:rPr>
            </w:pPr>
            <w:r>
              <w:rPr>
                <w:sz w:val="20"/>
              </w:rPr>
              <w:t>15</w:t>
            </w:r>
          </w:p>
        </w:tc>
      </w:tr>
      <w:tr>
        <w:trPr/>
        <w:tc>
          <w:tcPr>
            <w:tcW w:w="7481" w:type="dxa"/>
            <w:tcBorders/>
            <w:shd w:fill="auto" w:val="clear"/>
          </w:tcPr>
          <w:p>
            <w:pPr>
              <w:pStyle w:val="TableContents"/>
              <w:spacing w:before="0" w:after="283"/>
              <w:rPr>
                <w:sz w:val="20"/>
              </w:rPr>
            </w:pPr>
            <w:r>
              <w:rPr>
                <w:sz w:val="20"/>
              </w:rPr>
              <w:t>DESCRIPTION OF OUR COMMON UNITS</w:t>
            </w:r>
          </w:p>
        </w:tc>
        <w:tc>
          <w:tcPr>
            <w:tcW w:w="239" w:type="dxa"/>
            <w:tcBorders/>
            <w:shd w:fill="auto" w:val="clear"/>
          </w:tcPr>
          <w:p>
            <w:pPr>
              <w:pStyle w:val="TableContents"/>
              <w:spacing w:before="0" w:after="283"/>
              <w:rPr/>
            </w:pPr>
            <w:r>
              <w:rPr/>
              <w:t> </w:t>
            </w:r>
          </w:p>
        </w:tc>
        <w:tc>
          <w:tcPr>
            <w:tcW w:w="239" w:type="dxa"/>
            <w:tcBorders/>
            <w:shd w:fill="auto" w:val="clear"/>
          </w:tcPr>
          <w:p>
            <w:pPr>
              <w:pStyle w:val="TableContents"/>
              <w:spacing w:before="0" w:after="283"/>
              <w:jc w:val="right"/>
              <w:rPr>
                <w:sz w:val="20"/>
              </w:rPr>
            </w:pPr>
            <w:r>
              <w:rPr>
                <w:sz w:val="20"/>
              </w:rPr>
              <w:t>23</w:t>
            </w:r>
          </w:p>
        </w:tc>
      </w:tr>
      <w:tr>
        <w:trPr/>
        <w:tc>
          <w:tcPr>
            <w:tcW w:w="7481" w:type="dxa"/>
            <w:tcBorders/>
            <w:shd w:fill="auto" w:val="clear"/>
          </w:tcPr>
          <w:p>
            <w:pPr>
              <w:pStyle w:val="TableContents"/>
              <w:spacing w:before="0" w:after="283"/>
              <w:rPr>
                <w:sz w:val="20"/>
              </w:rPr>
            </w:pPr>
            <w:r>
              <w:rPr>
                <w:sz w:val="20"/>
              </w:rPr>
              <w:t>CASH DISTRIBUTION POLICY</w:t>
            </w:r>
          </w:p>
        </w:tc>
        <w:tc>
          <w:tcPr>
            <w:tcW w:w="239" w:type="dxa"/>
            <w:tcBorders/>
            <w:shd w:fill="auto" w:val="clear"/>
          </w:tcPr>
          <w:p>
            <w:pPr>
              <w:pStyle w:val="TableContents"/>
              <w:spacing w:before="0" w:after="283"/>
              <w:rPr/>
            </w:pPr>
            <w:r>
              <w:rPr/>
              <w:t> </w:t>
            </w:r>
          </w:p>
        </w:tc>
        <w:tc>
          <w:tcPr>
            <w:tcW w:w="239" w:type="dxa"/>
            <w:tcBorders/>
            <w:shd w:fill="auto" w:val="clear"/>
          </w:tcPr>
          <w:p>
            <w:pPr>
              <w:pStyle w:val="TableContents"/>
              <w:spacing w:before="0" w:after="283"/>
              <w:jc w:val="right"/>
              <w:rPr>
                <w:sz w:val="20"/>
              </w:rPr>
            </w:pPr>
            <w:r>
              <w:rPr>
                <w:sz w:val="20"/>
              </w:rPr>
              <w:t>25</w:t>
            </w:r>
          </w:p>
        </w:tc>
      </w:tr>
      <w:tr>
        <w:trPr/>
        <w:tc>
          <w:tcPr>
            <w:tcW w:w="7481" w:type="dxa"/>
            <w:tcBorders/>
            <w:shd w:fill="auto" w:val="clear"/>
          </w:tcPr>
          <w:p>
            <w:pPr>
              <w:pStyle w:val="TableContents"/>
              <w:spacing w:before="0" w:after="283"/>
              <w:rPr>
                <w:sz w:val="20"/>
              </w:rPr>
            </w:pPr>
            <w:r>
              <w:rPr>
                <w:sz w:val="20"/>
              </w:rPr>
              <w:t>DESCRIPTION OF OUR PARTNERSHIP AGREEMENT</w:t>
            </w:r>
          </w:p>
        </w:tc>
        <w:tc>
          <w:tcPr>
            <w:tcW w:w="239" w:type="dxa"/>
            <w:tcBorders/>
            <w:shd w:fill="auto" w:val="clear"/>
          </w:tcPr>
          <w:p>
            <w:pPr>
              <w:pStyle w:val="TableContents"/>
              <w:spacing w:before="0" w:after="283"/>
              <w:rPr/>
            </w:pPr>
            <w:r>
              <w:rPr/>
              <w:t> </w:t>
            </w:r>
          </w:p>
        </w:tc>
        <w:tc>
          <w:tcPr>
            <w:tcW w:w="239" w:type="dxa"/>
            <w:tcBorders/>
            <w:shd w:fill="auto" w:val="clear"/>
          </w:tcPr>
          <w:p>
            <w:pPr>
              <w:pStyle w:val="TableContents"/>
              <w:spacing w:before="0" w:after="283"/>
              <w:jc w:val="right"/>
              <w:rPr>
                <w:sz w:val="20"/>
              </w:rPr>
            </w:pPr>
            <w:r>
              <w:rPr>
                <w:sz w:val="20"/>
              </w:rPr>
              <w:t>29</w:t>
            </w:r>
          </w:p>
        </w:tc>
      </w:tr>
      <w:tr>
        <w:trPr/>
        <w:tc>
          <w:tcPr>
            <w:tcW w:w="7481" w:type="dxa"/>
            <w:tcBorders/>
            <w:shd w:fill="auto" w:val="clear"/>
          </w:tcPr>
          <w:p>
            <w:pPr>
              <w:pStyle w:val="TableContents"/>
              <w:spacing w:before="0" w:after="283"/>
              <w:rPr>
                <w:sz w:val="20"/>
              </w:rPr>
            </w:pPr>
            <w:r>
              <w:rPr>
                <w:sz w:val="20"/>
              </w:rPr>
              <w:t>TAX CONSIDERATIONS</w:t>
            </w:r>
          </w:p>
        </w:tc>
        <w:tc>
          <w:tcPr>
            <w:tcW w:w="239" w:type="dxa"/>
            <w:tcBorders/>
            <w:shd w:fill="auto" w:val="clear"/>
          </w:tcPr>
          <w:p>
            <w:pPr>
              <w:pStyle w:val="TableContents"/>
              <w:spacing w:before="0" w:after="283"/>
              <w:rPr/>
            </w:pPr>
            <w:r>
              <w:rPr/>
              <w:t> </w:t>
            </w:r>
          </w:p>
        </w:tc>
        <w:tc>
          <w:tcPr>
            <w:tcW w:w="239" w:type="dxa"/>
            <w:tcBorders/>
            <w:shd w:fill="auto" w:val="clear"/>
          </w:tcPr>
          <w:p>
            <w:pPr>
              <w:pStyle w:val="TableContents"/>
              <w:spacing w:before="0" w:after="283"/>
              <w:jc w:val="right"/>
              <w:rPr>
                <w:sz w:val="20"/>
              </w:rPr>
            </w:pPr>
            <w:r>
              <w:rPr>
                <w:sz w:val="20"/>
              </w:rPr>
              <w:t>32</w:t>
            </w:r>
          </w:p>
        </w:tc>
      </w:tr>
      <w:tr>
        <w:trPr/>
        <w:tc>
          <w:tcPr>
            <w:tcW w:w="7481" w:type="dxa"/>
            <w:tcBorders/>
            <w:shd w:fill="auto" w:val="clear"/>
          </w:tcPr>
          <w:p>
            <w:pPr>
              <w:pStyle w:val="TableContents"/>
              <w:spacing w:before="0" w:after="283"/>
              <w:rPr>
                <w:sz w:val="20"/>
              </w:rPr>
            </w:pPr>
            <w:r>
              <w:rPr>
                <w:sz w:val="20"/>
              </w:rPr>
              <w:t>PLAN OF DISTRIBUTION</w:t>
            </w:r>
          </w:p>
        </w:tc>
        <w:tc>
          <w:tcPr>
            <w:tcW w:w="239" w:type="dxa"/>
            <w:tcBorders/>
            <w:shd w:fill="auto" w:val="clear"/>
          </w:tcPr>
          <w:p>
            <w:pPr>
              <w:pStyle w:val="TableContents"/>
              <w:spacing w:before="0" w:after="283"/>
              <w:rPr/>
            </w:pPr>
            <w:r>
              <w:rPr/>
              <w:t> </w:t>
            </w:r>
          </w:p>
        </w:tc>
        <w:tc>
          <w:tcPr>
            <w:tcW w:w="239" w:type="dxa"/>
            <w:tcBorders/>
            <w:shd w:fill="auto" w:val="clear"/>
          </w:tcPr>
          <w:p>
            <w:pPr>
              <w:pStyle w:val="TableContents"/>
              <w:spacing w:before="0" w:after="283"/>
              <w:jc w:val="right"/>
              <w:rPr>
                <w:sz w:val="20"/>
              </w:rPr>
            </w:pPr>
            <w:r>
              <w:rPr>
                <w:sz w:val="20"/>
              </w:rPr>
              <w:t>46</w:t>
            </w:r>
          </w:p>
        </w:tc>
      </w:tr>
      <w:tr>
        <w:trPr/>
        <w:tc>
          <w:tcPr>
            <w:tcW w:w="7481" w:type="dxa"/>
            <w:tcBorders/>
            <w:shd w:fill="auto" w:val="clear"/>
          </w:tcPr>
          <w:p>
            <w:pPr>
              <w:pStyle w:val="TableContents"/>
              <w:spacing w:before="0" w:after="283"/>
              <w:rPr>
                <w:sz w:val="20"/>
              </w:rPr>
            </w:pPr>
            <w:r>
              <w:rPr>
                <w:sz w:val="20"/>
              </w:rPr>
              <w:t>LEGAL MATTERS</w:t>
            </w:r>
          </w:p>
        </w:tc>
        <w:tc>
          <w:tcPr>
            <w:tcW w:w="239" w:type="dxa"/>
            <w:tcBorders/>
            <w:shd w:fill="auto" w:val="clear"/>
          </w:tcPr>
          <w:p>
            <w:pPr>
              <w:pStyle w:val="TableContents"/>
              <w:spacing w:before="0" w:after="283"/>
              <w:rPr/>
            </w:pPr>
            <w:r>
              <w:rPr/>
              <w:t> </w:t>
            </w:r>
          </w:p>
        </w:tc>
        <w:tc>
          <w:tcPr>
            <w:tcW w:w="239" w:type="dxa"/>
            <w:tcBorders/>
            <w:shd w:fill="auto" w:val="clear"/>
          </w:tcPr>
          <w:p>
            <w:pPr>
              <w:pStyle w:val="TableContents"/>
              <w:spacing w:before="0" w:after="283"/>
              <w:jc w:val="right"/>
              <w:rPr>
                <w:sz w:val="20"/>
              </w:rPr>
            </w:pPr>
            <w:r>
              <w:rPr>
                <w:sz w:val="20"/>
              </w:rPr>
              <w:t>47</w:t>
            </w:r>
          </w:p>
        </w:tc>
      </w:tr>
      <w:tr>
        <w:trPr/>
        <w:tc>
          <w:tcPr>
            <w:tcW w:w="7481" w:type="dxa"/>
            <w:tcBorders/>
            <w:shd w:fill="auto" w:val="clear"/>
          </w:tcPr>
          <w:p>
            <w:pPr>
              <w:pStyle w:val="TableContents"/>
              <w:spacing w:before="0" w:after="283"/>
              <w:rPr>
                <w:sz w:val="20"/>
              </w:rPr>
            </w:pPr>
            <w:r>
              <w:rPr>
                <w:sz w:val="20"/>
              </w:rPr>
              <w:t>EXPERTS</w:t>
            </w:r>
          </w:p>
        </w:tc>
        <w:tc>
          <w:tcPr>
            <w:tcW w:w="239" w:type="dxa"/>
            <w:tcBorders/>
            <w:shd w:fill="auto" w:val="clear"/>
          </w:tcPr>
          <w:p>
            <w:pPr>
              <w:pStyle w:val="TableContents"/>
              <w:spacing w:before="0" w:after="283"/>
              <w:rPr/>
            </w:pPr>
            <w:r>
              <w:rPr/>
              <w:t> </w:t>
            </w:r>
          </w:p>
        </w:tc>
        <w:tc>
          <w:tcPr>
            <w:tcW w:w="239" w:type="dxa"/>
            <w:tcBorders/>
            <w:shd w:fill="auto" w:val="clear"/>
          </w:tcPr>
          <w:p>
            <w:pPr>
              <w:pStyle w:val="TableContents"/>
              <w:spacing w:before="0" w:after="283"/>
              <w:jc w:val="right"/>
              <w:rPr>
                <w:sz w:val="20"/>
              </w:rPr>
            </w:pPr>
            <w:r>
              <w:rPr>
                <w:sz w:val="20"/>
              </w:rPr>
              <w:t>47</w:t>
            </w:r>
          </w:p>
        </w:tc>
      </w:tr>
    </w:tbl>
    <w:p>
      <w:pPr>
        <w:pStyle w:val="TextBody"/>
        <w:jc w:val="center"/>
        <w:rPr/>
      </w:pPr>
      <w:bookmarkStart w:id="25" w:name="toc_bg1086_1"/>
      <w:bookmarkStart w:id="26" w:name="bg1086_about_this_prospectus"/>
      <w:bookmarkEnd w:id="25"/>
      <w:bookmarkEnd w:id="26"/>
      <w:r>
        <w:rPr>
          <w:sz w:val="20"/>
        </w:rPr>
        <w:br/>
      </w:r>
      <w:r>
        <w:rPr>
          <w:b/>
          <w:sz w:val="20"/>
        </w:rPr>
        <w:t xml:space="preserve">ABOUT THIS PROSPECTUS </w:t>
      </w:r>
    </w:p>
    <w:p>
      <w:pPr>
        <w:pStyle w:val="TextBody"/>
        <w:rPr/>
      </w:pPr>
      <w:r>
        <w:rPr/>
        <w:t>        </w:t>
      </w:r>
      <w:r>
        <w:rPr>
          <w:sz w:val="20"/>
        </w:rPr>
        <w:t xml:space="preserve">This prospectus is part of a registration statement on Form S-3 that we filed with the Securities and Exchange Commission, or SEC, using a "shelf" registration process. Under this shelf process, we may offer from time to time up to $2,000,000,000 of our securities. Each time we offer securities, we will provide you with a prospectus supplement that will describe, among other things, the specific amounts and prices of the securities being offered and the terms of the offering, including, in the case of debt securities, the specific terms of the securities. The prospectus supplement may also add, update or change information contained in this prospectus. Therefore, before you invest in our securities, you should read this prospectus and any attached prospectus supplements. </w:t>
      </w:r>
    </w:p>
    <w:p>
      <w:pPr>
        <w:pStyle w:val="TextBody"/>
        <w:rPr/>
      </w:pPr>
      <w:r>
        <w:rPr/>
        <w:t>        </w:t>
      </w:r>
      <w:r>
        <w:rPr>
          <w:sz w:val="20"/>
        </w:rPr>
        <w:t xml:space="preserve">In this registration statement, the terms "we," "our," "ours," and "us" refer to Plains All American Pipeline, L.P. and its subsidiaries, unless otherwise indicated or the context requires otherwise. </w:t>
      </w:r>
    </w:p>
    <w:p>
      <w:pPr>
        <w:pStyle w:val="TextBody"/>
        <w:jc w:val="center"/>
        <w:rPr>
          <w:sz w:val="20"/>
        </w:rPr>
      </w:pPr>
      <w:r>
        <w:rPr>
          <w:sz w:val="20"/>
        </w:rPr>
        <w:t>i</w:t>
      </w:r>
    </w:p>
    <w:p>
      <w:pPr>
        <w:pStyle w:val="HorizontalLine"/>
        <w:pBdr>
          <w:bottom w:val="single" w:sz="20" w:space="0" w:color="808080"/>
        </w:pBdr>
        <w:rPr/>
      </w:pPr>
      <w:r>
        <w:rPr/>
      </w:r>
      <w:r>
        <w:br w:type="page"/>
      </w:r>
    </w:p>
    <w:p>
      <w:pPr>
        <w:pStyle w:val="TextBody"/>
        <w:jc w:val="center"/>
        <w:rPr/>
      </w:pPr>
      <w:bookmarkStart w:id="27" w:name="toc_de1086_1"/>
      <w:bookmarkStart w:id="28" w:name="de1086_where_you_can_find_more_informati"/>
      <w:bookmarkStart w:id="29" w:name="page_de1086_1_1"/>
      <w:bookmarkEnd w:id="27"/>
      <w:bookmarkEnd w:id="28"/>
      <w:bookmarkEnd w:id="29"/>
      <w:r>
        <w:rPr>
          <w:sz w:val="20"/>
        </w:rPr>
        <w:br/>
      </w:r>
      <w:r>
        <w:rPr>
          <w:b/>
          <w:sz w:val="20"/>
        </w:rPr>
        <w:t xml:space="preserve">WHERE YOU CAN FIND MORE INFORMATION </w:t>
      </w:r>
    </w:p>
    <w:p>
      <w:pPr>
        <w:pStyle w:val="TextBody"/>
        <w:rPr/>
      </w:pPr>
      <w:r>
        <w:rPr/>
        <w:t>        </w:t>
      </w:r>
      <w:r>
        <w:rPr>
          <w:sz w:val="20"/>
        </w:rPr>
        <w:t xml:space="preserve">We are "incorporating by reference" into this prospectus information we file with the SEC. This procedure means that we can disclose important information to you by referring you to documents filed with the SEC. The information we incorporate by reference is part of this prospectus and later information that we file with the SEC will automatically update and supersede this information.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Annual Report on Form 10-K for the year ended December 31, 2004;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Quarterly Report on Form 10-Q for the quarter ended March 31, 2005;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Reports on Forms 8-K filed on January 26, 2005; February 23, 2005; March 8, 2005; April 1, 2005; April 8, 2005; April 21, 2005; April 25, 2005; May 12, 2005; May 25, 2005; and May 31, 2005;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description of our common units contained in our Form 8-A/A dated November 3, 1998. </w:t>
      </w:r>
    </w:p>
    <w:p>
      <w:pPr>
        <w:pStyle w:val="TextBody"/>
        <w:rPr/>
      </w:pPr>
      <w:r>
        <w:rPr/>
        <w:t>        </w:t>
      </w:r>
      <w:r>
        <w:rPr>
          <w:sz w:val="20"/>
        </w:rPr>
        <w:t xml:space="preserve">You may request a copy of these filings at no cost by making written or telephone requests for copies to: </w:t>
      </w:r>
    </w:p>
    <w:p>
      <w:pPr>
        <w:pStyle w:val="TextBody"/>
        <w:numPr>
          <w:ilvl w:val="0"/>
          <w:numId w:val="0"/>
        </w:numPr>
        <w:ind w:left="1414" w:hanging="0"/>
        <w:rPr>
          <w:sz w:val="20"/>
        </w:rPr>
      </w:pPr>
      <w:r>
        <w:rPr>
          <w:sz w:val="20"/>
        </w:rPr>
        <w:t>Plains All American Pipeline, L.P.</w:t>
        <w:br/>
        <w:t>333 Clay Street, Suite 1600</w:t>
        <w:br/>
        <w:t>Houston, Texas 77002</w:t>
        <w:br/>
        <w:t>Attention: Tim Moore</w:t>
        <w:br/>
        <w:t xml:space="preserve">Telephone: (713) 646-4100 </w:t>
      </w:r>
    </w:p>
    <w:p>
      <w:pPr>
        <w:pStyle w:val="TextBody"/>
        <w:rPr/>
      </w:pPr>
      <w:r>
        <w:rPr/>
        <w:t>        </w:t>
      </w:r>
      <w:r>
        <w:rPr>
          <w:sz w:val="20"/>
        </w:rPr>
        <w:t xml:space="preserve">Additionally, you may read and copy any materials that we have filed with the SEC at the SEC's Public Reference Room at 450 Fifth Street, N.W.,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i/>
          <w:sz w:val="20"/>
        </w:rPr>
        <w:t>www.sec.gov</w:t>
      </w:r>
      <w:r>
        <w:rPr>
          <w:sz w:val="20"/>
        </w:rPr>
        <w:t xml:space="preserve">. </w:t>
      </w:r>
    </w:p>
    <w:p>
      <w:pPr>
        <w:pStyle w:val="TextBody"/>
        <w:rPr/>
      </w:pPr>
      <w:r>
        <w:rPr/>
        <w:t>        </w:t>
      </w:r>
      <w:r>
        <w:rPr>
          <w:sz w:val="20"/>
        </w:rPr>
        <w:t xml:space="preserve">You should rely only on the information incorporated by reference or provided in this prospectus or any prospectus supplement. We have not authorized anyone else to provide you with any information. You should not assume that the information incorporated by reference or provided in this prospectus or any prospectus supplement is accurate as of any date other than the date on the front of each document. </w:t>
      </w:r>
    </w:p>
    <w:p>
      <w:pPr>
        <w:pStyle w:val="TextBody"/>
        <w:jc w:val="center"/>
        <w:rPr>
          <w:sz w:val="20"/>
        </w:rPr>
      </w:pPr>
      <w:r>
        <w:rPr>
          <w:sz w:val="20"/>
        </w:rPr>
        <w:t>1</w:t>
      </w:r>
    </w:p>
    <w:p>
      <w:pPr>
        <w:pStyle w:val="HorizontalLine"/>
        <w:pBdr>
          <w:bottom w:val="single" w:sz="20" w:space="0" w:color="808080"/>
        </w:pBdr>
        <w:rPr/>
      </w:pPr>
      <w:r>
        <w:rPr/>
      </w:r>
      <w:r>
        <w:br w:type="page"/>
      </w:r>
    </w:p>
    <w:p>
      <w:pPr>
        <w:pStyle w:val="TextBody"/>
        <w:jc w:val="center"/>
        <w:rPr/>
      </w:pPr>
      <w:bookmarkStart w:id="30" w:name="toc_de1086_2"/>
      <w:bookmarkStart w:id="31" w:name="de1086_forward-looking_statements"/>
      <w:bookmarkStart w:id="32" w:name="page_de1086_1_2"/>
      <w:bookmarkEnd w:id="30"/>
      <w:bookmarkEnd w:id="31"/>
      <w:bookmarkEnd w:id="32"/>
      <w:r>
        <w:rPr>
          <w:sz w:val="20"/>
        </w:rPr>
        <w:br/>
      </w:r>
      <w:r>
        <w:rPr>
          <w:b/>
          <w:sz w:val="20"/>
        </w:rPr>
        <w:t xml:space="preserve">FORWARD-LOOKING STATEMENTS </w:t>
      </w:r>
    </w:p>
    <w:p>
      <w:pPr>
        <w:pStyle w:val="TextBody"/>
        <w:rPr/>
      </w:pPr>
      <w:r>
        <w:rPr/>
        <w:t>        </w:t>
      </w:r>
      <w:r>
        <w:rPr>
          <w:sz w:val="20"/>
        </w:rPr>
        <w:t xml:space="preserve">All statements, other than statements of historical fact, included or incorporated by reference in this prospectus or the accompanying prospectus supplement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abrupt or severe production declines or production interruptions in outer continental shelf production located offshore California and transported on our pipeline system;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success of our risk management activities;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availability of, and our ability to consummate, acquisition or combination opportunities;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our access to capital to fund additional acquisitions and our ability to obtain debt or equity financing on satisfactory terms;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successful integration and future performance of acquired assets or businesses;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environmental liabilities or events that are not covered by an indemnity, insurance or existing reserves;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maintenance of our credit rating and ability to receive open credit from our suppliers and trade counter-parties;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declines in volumes shipped on the Basin Pipeline, Capline Pipeline and our other pipelines by third party shippers;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availability of adequate third party production volumes for transportation and marketing in the areas in which we operate;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successful third party drilling efforts in areas in which we operate pipelines or gather crude oil;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demand for various grades of crude oil and resulting changes in pricing conditions or transmission throughput requirements;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fluctuations in refinery capacity in areas supplied by our transmission lines;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effects of competition;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continued creditworthiness of, and performance by, counter-parties;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impact of crude oil price fluctuations;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impact of current and future laws, rulings and governmental regulations;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shortages or cost increases of power supplies, materials or labor;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weather interference with business operations or project construction;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currency exchange rate of the Canadian dollar;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fluctuations in the debt and equity markets, including the price of our units at the time of vesting under our Long-Term Incentive Plan;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general economic, market or business conditions. </w:t>
      </w:r>
    </w:p>
    <w:p>
      <w:pPr>
        <w:pStyle w:val="TextBody"/>
        <w:jc w:val="center"/>
        <w:rPr>
          <w:sz w:val="20"/>
        </w:rPr>
      </w:pPr>
      <w:r>
        <w:rPr>
          <w:sz w:val="20"/>
        </w:rPr>
        <w:t>2</w:t>
      </w:r>
    </w:p>
    <w:p>
      <w:pPr>
        <w:pStyle w:val="HorizontalLine"/>
        <w:pBdr>
          <w:bottom w:val="single" w:sz="20" w:space="0" w:color="808080"/>
        </w:pBdr>
        <w:rPr/>
      </w:pPr>
      <w:r>
        <w:rPr/>
      </w:r>
      <w:r>
        <w:br w:type="page"/>
      </w:r>
    </w:p>
    <w:p>
      <w:pPr>
        <w:pStyle w:val="TextBody"/>
        <w:rPr/>
      </w:pPr>
      <w:bookmarkStart w:id="33" w:name="page_de1086_1_3"/>
      <w:bookmarkEnd w:id="33"/>
      <w:r>
        <w:rPr/>
        <w:t>        </w:t>
      </w:r>
      <w:r>
        <w:rPr>
          <w:sz w:val="20"/>
        </w:rPr>
        <w:t xml:space="preserve">Other factors described herein or incorporated by reference, or factors that are unknown or unpredictable, could also have a material adverse effect on future results. Please read "Risk Factors" beginning on page 5 of this prospectus. Except as required by securities laws applicable to the documents incorporated by reference, we do not intend to update these forward-looking statements and information. </w:t>
      </w:r>
    </w:p>
    <w:p>
      <w:pPr>
        <w:pStyle w:val="TextBody"/>
        <w:jc w:val="center"/>
        <w:rPr/>
      </w:pPr>
      <w:bookmarkStart w:id="34" w:name="toc_de1086_3"/>
      <w:bookmarkStart w:id="35" w:name="de1086_who_we_are"/>
      <w:bookmarkEnd w:id="34"/>
      <w:bookmarkEnd w:id="35"/>
      <w:r>
        <w:rPr>
          <w:sz w:val="20"/>
        </w:rPr>
        <w:br/>
      </w:r>
      <w:r>
        <w:rPr>
          <w:b/>
          <w:sz w:val="20"/>
        </w:rPr>
        <w:t xml:space="preserve">WHO WE ARE </w:t>
      </w:r>
    </w:p>
    <w:p>
      <w:pPr>
        <w:pStyle w:val="TextBody"/>
        <w:rPr/>
      </w:pPr>
      <w:r>
        <w:rPr/>
        <w:t>        </w:t>
      </w:r>
      <w:r>
        <w:rPr>
          <w:sz w:val="20"/>
        </w:rPr>
        <w:t xml:space="preserve">We are engaged in interstate and intrastate crude oil transportation, and crude oil gathering, marketing, terminalling and storage, as well as the marketing and storage of liquefied petroleum gas and natural gas related petroleum products. We refer to liquefied petroleum gas and natural gas related petroleum products collectively as "LPG." We have an extensive network of pipeline transportation, storage and gathering assets in key oil producing basins and at major market hubs in the United States and Canada. Our operations can be categorized into two primary business activities: crude oil pipeline transportation operations and gathering, marketing, terminalling and storage operations. </w:t>
      </w:r>
    </w:p>
    <w:p>
      <w:pPr>
        <w:pStyle w:val="TextBody"/>
        <w:rPr/>
      </w:pPr>
      <w:r>
        <w:rPr/>
        <w:t>        </w:t>
      </w:r>
      <w:r>
        <w:rPr>
          <w:sz w:val="20"/>
        </w:rPr>
        <w:t xml:space="preserve">Our principal business strategy is to efficiently and competitively provide services to our customers, while capitalizing on the regional crude oil supply and demand imbalances that exist in the United States and Canada by combining the strategic location and distinctive capabilities of our transportation and terminalling assets with our extensive marketing and distribution expertise to generate sustainable earnings and cash flow. </w:t>
      </w:r>
    </w:p>
    <w:p>
      <w:pPr>
        <w:pStyle w:val="TextBody"/>
        <w:rPr/>
      </w:pPr>
      <w:r>
        <w:rPr/>
        <w:t>        </w:t>
      </w:r>
      <w:r>
        <w:rPr>
          <w:sz w:val="20"/>
        </w:rPr>
        <w:t xml:space="preserve">We intend to execute our business strategy by: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increasing and optimizing throughput on our existing pipeline and gathering assets and realizing cost efficiencies through operational improvements;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utilizing our Cushing Terminal and our other assets to service the needs of refiners and to profit from merchant activities that take advantage of crude oil pricing and quality differentials;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utilizing assets we have recently acquired along the Gulf Coast and our Cushing Terminal to increase our presence in the importation of foreign crude through Gulf of Mexico receipt facilities to U.S. refiners;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selectively pursuing strategic and accretive acquisitions of crude oil transportation assets, including pipelines, gathering systems, terminalling and storage facilities and other assets that complement our existing asset base and distribution capabilities;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optimizing and expanding our Canadian operations and our presence in certain areas of the U.S. to take advantage of anticipated increases in the volume and qualities of crude oil produced in these areas as well as increased foreign crude import activities in the Gulf Coast area;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prudently and economically leveraging our asset base, knowledge base and skill sets to participate in energy businesses that are closely related to, or significantly intertwined with, the crude oil business. </w:t>
      </w:r>
    </w:p>
    <w:p>
      <w:pPr>
        <w:pStyle w:val="TextBody"/>
        <w:rPr/>
      </w:pPr>
      <w:r>
        <w:rPr/>
        <w:t>        </w:t>
      </w:r>
      <w:r>
        <w:rPr>
          <w:sz w:val="20"/>
        </w:rPr>
        <w:t xml:space="preserve">To a lesser degree, we also engage in a similar business strategy with respect to the wholesale marketing and storage of LPG, which we began as a result of an acquisition in mid-2001. </w:t>
      </w:r>
    </w:p>
    <w:p>
      <w:pPr>
        <w:pStyle w:val="TextBody"/>
        <w:rPr/>
      </w:pPr>
      <w:r>
        <w:rPr/>
        <w:t>        </w:t>
      </w:r>
      <w:r>
        <w:rPr>
          <w:sz w:val="20"/>
        </w:rPr>
        <w:t xml:space="preserve">Plains All American Pipeline, L.P. is a Delaware limited partnership. PAA Finance was incorporated under the laws of the State of Delaware in February 2001, is indirectly wholly owned by Plains All American Pipeline, and has no material assets or any liabilities other than as a co-issuer of debt securities. Its activities will be limited to co-issuing debt securities and engaging in other activities incidental thereto. Plains AAP, L.P., a Delaware limited partnership, serves as our general partner. Plains All American GP LLC is the general partner of Plains AAP, L.P. Our U.S. operations are </w:t>
      </w:r>
    </w:p>
    <w:p>
      <w:pPr>
        <w:pStyle w:val="TextBody"/>
        <w:jc w:val="center"/>
        <w:rPr>
          <w:sz w:val="20"/>
        </w:rPr>
      </w:pPr>
      <w:r>
        <w:rPr>
          <w:sz w:val="20"/>
        </w:rPr>
        <w:t>3</w:t>
      </w:r>
    </w:p>
    <w:p>
      <w:pPr>
        <w:pStyle w:val="HorizontalLine"/>
        <w:pBdr>
          <w:bottom w:val="single" w:sz="20" w:space="0" w:color="808080"/>
        </w:pBdr>
        <w:rPr/>
      </w:pPr>
      <w:r>
        <w:rPr/>
      </w:r>
      <w:r>
        <w:br w:type="page"/>
      </w:r>
    </w:p>
    <w:p>
      <w:pPr>
        <w:pStyle w:val="TextBody"/>
        <w:rPr/>
      </w:pPr>
      <w:r>
        <w:rPr/>
      </w:r>
      <w:bookmarkStart w:id="36" w:name="page_de1086_1_4"/>
      <w:bookmarkStart w:id="37" w:name="page_de1086_1_4"/>
      <w:bookmarkEnd w:id="37"/>
    </w:p>
    <w:p>
      <w:pPr>
        <w:pStyle w:val="TextBody"/>
        <w:rPr>
          <w:sz w:val="20"/>
        </w:rPr>
      </w:pPr>
      <w:r>
        <w:rPr>
          <w:sz w:val="20"/>
        </w:rPr>
        <w:t xml:space="preserve">conducted through, and our operating assets are owned by, Plains Marketing, L.P., a Delaware limited partnership, and Plains Pipeline, L.P., a Texas limited partnership. Our Canadian operations are conducted through, and our Canadian operating assets are owned by, Plains Marketing Canada, L.P., a Canadian limited partnership. </w:t>
      </w:r>
    </w:p>
    <w:p>
      <w:pPr>
        <w:pStyle w:val="TextBody"/>
        <w:rPr/>
      </w:pPr>
      <w:r>
        <w:rPr/>
        <w:t>        </w:t>
      </w:r>
      <w:r>
        <w:rPr>
          <w:sz w:val="20"/>
        </w:rPr>
        <w:t xml:space="preserve">Our principal executive offices are located at 333 Clay Street, Suite 1600, Houston, Texas 77002, and our phone number is (713) 646-4100. </w:t>
      </w:r>
    </w:p>
    <w:p>
      <w:pPr>
        <w:pStyle w:val="TextBody"/>
        <w:rPr>
          <w:b/>
          <w:sz w:val="20"/>
        </w:rPr>
      </w:pPr>
      <w:r>
        <w:rPr>
          <w:b/>
          <w:sz w:val="20"/>
        </w:rPr>
        <w:t xml:space="preserve">Recent Developments </w:t>
      </w:r>
    </w:p>
    <w:p>
      <w:pPr>
        <w:pStyle w:val="TextBody"/>
        <w:rPr>
          <w:i/>
          <w:sz w:val="20"/>
        </w:rPr>
      </w:pPr>
      <w:r>
        <w:rPr>
          <w:i/>
          <w:sz w:val="20"/>
        </w:rPr>
        <w:t xml:space="preserve">Capital Expenditures </w:t>
      </w:r>
    </w:p>
    <w:p>
      <w:pPr>
        <w:pStyle w:val="TextBody"/>
        <w:rPr/>
      </w:pPr>
      <w:r>
        <w:rPr/>
        <w:t>        </w:t>
      </w:r>
      <w:r>
        <w:rPr>
          <w:sz w:val="20"/>
        </w:rPr>
        <w:t xml:space="preserve">We estimate that capital expenditures for expansion projects will be approximately $180 million during 2005, an $80 million increase over the estimate provided in our Annual Report on Form 10-K for the year ended December 31, 2004. This increase results primarily from additional organic growth projects, including the recently announced construction of a St. James, Louisiana crude oil storage facility. We estimate the total project cost for the St. James facility will be approximately $70 million, of which approximately $21 million will be spent in 2005. </w:t>
      </w:r>
    </w:p>
    <w:p>
      <w:pPr>
        <w:pStyle w:val="TextBody"/>
        <w:jc w:val="center"/>
        <w:rPr>
          <w:sz w:val="20"/>
        </w:rPr>
      </w:pPr>
      <w:r>
        <w:rPr>
          <w:sz w:val="20"/>
        </w:rPr>
        <w:t>4</w:t>
      </w:r>
    </w:p>
    <w:p>
      <w:pPr>
        <w:pStyle w:val="HorizontalLine"/>
        <w:pBdr>
          <w:bottom w:val="single" w:sz="20" w:space="0" w:color="808080"/>
        </w:pBdr>
        <w:rPr/>
      </w:pPr>
      <w:r>
        <w:rPr/>
      </w:r>
      <w:r>
        <w:br w:type="page"/>
      </w:r>
    </w:p>
    <w:p>
      <w:pPr>
        <w:pStyle w:val="TextBody"/>
        <w:jc w:val="center"/>
        <w:rPr/>
      </w:pPr>
      <w:bookmarkStart w:id="38" w:name="toc_de1086_4"/>
      <w:bookmarkStart w:id="39" w:name="de1086_risk_factors"/>
      <w:bookmarkStart w:id="40" w:name="page_de1086_1_5"/>
      <w:bookmarkEnd w:id="38"/>
      <w:bookmarkEnd w:id="39"/>
      <w:bookmarkEnd w:id="40"/>
      <w:r>
        <w:rPr>
          <w:sz w:val="20"/>
        </w:rPr>
        <w:br/>
      </w:r>
      <w:r>
        <w:rPr>
          <w:b/>
          <w:sz w:val="20"/>
        </w:rPr>
        <w:t xml:space="preserve">RISK FACTORS </w:t>
      </w:r>
    </w:p>
    <w:p>
      <w:pPr>
        <w:pStyle w:val="TextBody"/>
        <w:rPr/>
      </w:pPr>
      <w:r>
        <w:rPr/>
        <w:t>        </w:t>
      </w:r>
      <w:r>
        <w:rPr>
          <w:i/>
          <w:sz w:val="20"/>
        </w:rPr>
        <w:t>You should carefully consider the following risk factors together with all of the other information included or incorporated by reference in this prospectus in evaluating an investment in Plains All American Pipeline. If any of the following risks were actually to occur, our business, financial condition or results of operations could be materially adversely affected. When we offer and sell any securities pursuant to a prospectus supplement, we may include additional risk factors relevant to such securities in the prospectus supplement.</w:t>
      </w:r>
    </w:p>
    <w:p>
      <w:pPr>
        <w:pStyle w:val="TextBody"/>
        <w:rPr>
          <w:b/>
          <w:sz w:val="20"/>
        </w:rPr>
      </w:pPr>
      <w:r>
        <w:rPr>
          <w:b/>
          <w:sz w:val="20"/>
        </w:rPr>
        <w:t xml:space="preserve">Risks Related to Our Business </w:t>
      </w:r>
    </w:p>
    <w:p>
      <w:pPr>
        <w:pStyle w:val="TextBody"/>
        <w:rPr/>
      </w:pPr>
      <w:r>
        <w:rPr/>
        <w:t>        </w:t>
      </w:r>
      <w:r>
        <w:rPr>
          <w:b/>
          <w:i/>
          <w:sz w:val="20"/>
        </w:rPr>
        <w:t>The level of our profitability is dependent upon an adequate supply of crude oil from fields located offshore and onshore California. Production from these offshore fields has experienced substantial production declines since 1995.</w:t>
      </w:r>
    </w:p>
    <w:p>
      <w:pPr>
        <w:pStyle w:val="TextBody"/>
        <w:rPr/>
      </w:pPr>
      <w:r>
        <w:rPr/>
        <w:t>        </w:t>
      </w:r>
      <w:r>
        <w:rPr>
          <w:sz w:val="20"/>
        </w:rPr>
        <w:t xml:space="preserve">A significant portion of our segment profit is derived from pipeline transportation margins associated with the Santa Ynez and Point Arguello fields located offshore California. We expect that there will continue to be natural production declines from each of these fields as the underlying reservoirs are depleted. We estimate that a 5,000 barrel per day decline in volumes shipped from these fields would result in a decrease in annual pipeline segment profit of approximately $3.2 million. In addition, any significant production disruption from the Santa Ynez field due to production problems, transportation problems or other reasons could have a material adverse effect on our business. </w:t>
      </w:r>
    </w:p>
    <w:p>
      <w:pPr>
        <w:pStyle w:val="TextBody"/>
        <w:rPr/>
      </w:pPr>
      <w:r>
        <w:rPr/>
        <w:t>        </w:t>
      </w:r>
      <w:r>
        <w:rPr>
          <w:b/>
          <w:i/>
          <w:sz w:val="20"/>
        </w:rPr>
        <w:t>Our trading policies cannot eliminate all price risks. In addition, any non-compliance with our trading policies could result in significant financial losses.</w:t>
      </w:r>
    </w:p>
    <w:p>
      <w:pPr>
        <w:pStyle w:val="TextBody"/>
        <w:rPr/>
      </w:pPr>
      <w:r>
        <w:rPr/>
        <w:t>        </w:t>
      </w:r>
      <w:r>
        <w:rPr>
          <w:sz w:val="20"/>
        </w:rPr>
        <w:t xml:space="preserve">Generally, it is our policy that we establish a margin for crude oil purchased by selling crude oil for physical delivery to third party users, such as independent refiners or major oil companies, or by entering into a future delivery obligation under futures contracts on the NYMEX and over the counter. Through these transactions, we seek to maintain a position that is substantially balanced between purchases, on the one hand, and sales or future delivery obligations, on the other hand. Our policy is generally not to acquire and hold crude oil, futures contracts or derivative products for the purpose of speculating on price changes. These policies and practices cannot, however, eliminate all price risks. For example, any event that disrupts our anticipated physical supply of crude oil could expose us to risk of loss resulting from price changes. Moreover, we are exposed to some risks that are not hedged, including certain basis risks and price risks on certain of our inventory, such as pipeline linefill, which must be maintained in order to transport crude oil on our pipelines. In addition, we engage in a controlled trading program for up to an aggregate of 500,000 barrels of crude oil. Although this activity is monitored independently by our risk management function, it exposes us to price risks within predefined limits and authorizations. </w:t>
      </w:r>
    </w:p>
    <w:p>
      <w:pPr>
        <w:pStyle w:val="TextBody"/>
        <w:rPr/>
      </w:pPr>
      <w:r>
        <w:rPr/>
        <w:t>        </w:t>
      </w:r>
      <w:r>
        <w:rPr>
          <w:sz w:val="20"/>
        </w:rPr>
        <w:t xml:space="preserve">In addition, our trading operations involve the risk of non-compliance with our trading policies. For example, we discovered in November 1999 that our trading policy was violated by one of our former employees, which resulted in aggregate losses of approximately $181.0 million. We have taken steps within our organization to enhance our processes and procedures to detect future unauthorized trading. We cannot assure you, however, that these steps will detect and prevent all violations of our trading policies and procedures, particularly if deception or other intentional misconduct is involved. </w:t>
      </w:r>
    </w:p>
    <w:p>
      <w:pPr>
        <w:pStyle w:val="TextBody"/>
        <w:rPr/>
      </w:pPr>
      <w:r>
        <w:rPr/>
        <w:t>        </w:t>
      </w:r>
      <w:r>
        <w:rPr>
          <w:b/>
          <w:i/>
          <w:sz w:val="20"/>
        </w:rPr>
        <w:t>If we do not make acquisitions on economically acceptable terms our future growth may be limited.</w:t>
      </w:r>
    </w:p>
    <w:p>
      <w:pPr>
        <w:pStyle w:val="TextBody"/>
        <w:rPr/>
      </w:pPr>
      <w:r>
        <w:rPr/>
        <w:t>        </w:t>
      </w:r>
      <w:r>
        <w:rPr>
          <w:sz w:val="20"/>
        </w:rPr>
        <w:t xml:space="preserve">Our ability to grow is substantially dependent on our ability to make acquisitions that result in an increase in adjusted operating surplus per unit. If we are unable to make such accretive acquisitions either because (i) we are unable to identify attractive acquisition candidates or negotiate acceptable purchase contracts with them, (ii) we are unable to raise financing for such acquisitions on economically acceptable terms or (iii) we are outbid by competitors, our future growth will be limited. </w:t>
      </w:r>
    </w:p>
    <w:p>
      <w:pPr>
        <w:pStyle w:val="TextBody"/>
        <w:jc w:val="center"/>
        <w:rPr>
          <w:sz w:val="20"/>
        </w:rPr>
      </w:pPr>
      <w:r>
        <w:rPr>
          <w:sz w:val="20"/>
        </w:rPr>
        <w:t>5</w:t>
      </w:r>
    </w:p>
    <w:p>
      <w:pPr>
        <w:pStyle w:val="HorizontalLine"/>
        <w:pBdr>
          <w:bottom w:val="single" w:sz="20" w:space="0" w:color="808080"/>
        </w:pBdr>
        <w:rPr/>
      </w:pPr>
      <w:r>
        <w:rPr/>
      </w:r>
      <w:r>
        <w:br w:type="page"/>
      </w:r>
    </w:p>
    <w:p>
      <w:pPr>
        <w:pStyle w:val="TextBody"/>
        <w:rPr/>
      </w:pPr>
      <w:r>
        <w:rPr/>
      </w:r>
      <w:bookmarkStart w:id="41" w:name="page_de1086_1_6"/>
      <w:bookmarkStart w:id="42" w:name="page_de1086_1_6"/>
      <w:bookmarkEnd w:id="42"/>
    </w:p>
    <w:p>
      <w:pPr>
        <w:pStyle w:val="TextBody"/>
        <w:rPr>
          <w:sz w:val="20"/>
        </w:rPr>
      </w:pPr>
      <w:r>
        <w:rPr>
          <w:sz w:val="20"/>
        </w:rPr>
        <w:t xml:space="preserve">In particular, competition for midstream assets and businesses has intensified substantially and as a result such assets and businesses have become more costly. As a result, we may not be able to complete the number or size of acquisitions that we have targeted internally or to continue to grow as quickly as we have historically. </w:t>
      </w:r>
    </w:p>
    <w:p>
      <w:pPr>
        <w:pStyle w:val="TextBody"/>
        <w:rPr/>
      </w:pPr>
      <w:r>
        <w:rPr/>
        <w:t>        </w:t>
      </w:r>
      <w:r>
        <w:rPr>
          <w:b/>
          <w:i/>
          <w:sz w:val="20"/>
        </w:rPr>
        <w:t>Our acquisition strategy requires access to new capital. Tightened capital markets or other factors which increase our cost of capital could impair our ability to grow.</w:t>
      </w:r>
    </w:p>
    <w:p>
      <w:pPr>
        <w:pStyle w:val="TextBody"/>
        <w:rPr/>
      </w:pPr>
      <w:r>
        <w:rPr/>
        <w:t>        </w:t>
      </w:r>
      <w:r>
        <w:rPr>
          <w:sz w:val="20"/>
        </w:rPr>
        <w:t xml:space="preserve">Our business strategy is substantially dependent on acquiring additional assets or operations. We continuously consider and enter into discussions regarding potential acquisitions. These transactions can be effected quickly, may occur at any time and may be significant in size relative to our existing assets and operations. Any material acquisition will require access to capital. Any limitations on our access to capital or increase in the cost of that capital could significantly impair our ability to execute our acquisition strategy. Our ability to maintain our targeted credit profile, including maintaining our credit ratings, could impact our cost of capital as well as our ability to execute our acquisition strategy. </w:t>
      </w:r>
    </w:p>
    <w:p>
      <w:pPr>
        <w:pStyle w:val="TextBody"/>
        <w:rPr/>
      </w:pPr>
      <w:r>
        <w:rPr/>
        <w:t>        </w:t>
      </w:r>
      <w:r>
        <w:rPr>
          <w:b/>
          <w:i/>
          <w:sz w:val="20"/>
        </w:rPr>
        <w:t xml:space="preserve">Our acquisition strategy involves risks that may adversely affect our business. </w:t>
      </w:r>
    </w:p>
    <w:p>
      <w:pPr>
        <w:pStyle w:val="TextBody"/>
        <w:rPr/>
      </w:pPr>
      <w:r>
        <w:rPr/>
        <w:t>        </w:t>
      </w:r>
      <w:r>
        <w:rPr>
          <w:sz w:val="20"/>
        </w:rPr>
        <w:t xml:space="preserve">Any acquisition involves potential risks, including: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performance from the acquired assets and businesses that is below the forecasts we used in evaluating the acquisition;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significant increase in our indebtedness and working capital requirements;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inability to timely and effectively integrate the operations of recently acquired businesses or assets;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incurrence of substantial unforeseen environmental and other liabilities arising out of the acquired businesses or assets, including liabilities arising from the operation of the acquired businesses or assets prior to our acquisition;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customer or key employee loss from the acquired businesses;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diversion of management's attention from other business concerns. </w:t>
      </w:r>
    </w:p>
    <w:p>
      <w:pPr>
        <w:pStyle w:val="TextBody"/>
        <w:rPr/>
      </w:pPr>
      <w:r>
        <w:rPr/>
        <w:t>        </w:t>
      </w:r>
      <w:r>
        <w:rPr>
          <w:sz w:val="20"/>
        </w:rPr>
        <w:t xml:space="preserve">Any of these factors could adversely affect our ability to achieve anticipated levels of cash flows from our acquisitions, realize other anticipated benefits and our ability to pay distributions or meet our debt service requirements. </w:t>
      </w:r>
    </w:p>
    <w:p>
      <w:pPr>
        <w:pStyle w:val="TextBody"/>
        <w:rPr/>
      </w:pPr>
      <w:r>
        <w:rPr/>
        <w:t>        </w:t>
      </w:r>
      <w:r>
        <w:rPr>
          <w:b/>
          <w:i/>
          <w:sz w:val="20"/>
        </w:rPr>
        <w:t>The nature of our assets and business could expose us to significant compliance costs and liabilities.</w:t>
      </w:r>
    </w:p>
    <w:p>
      <w:pPr>
        <w:pStyle w:val="TextBody"/>
        <w:rPr/>
      </w:pPr>
      <w:r>
        <w:rPr/>
        <w:t>        </w:t>
      </w:r>
      <w:r>
        <w:rPr>
          <w:sz w:val="20"/>
        </w:rPr>
        <w:t xml:space="preserve">Our operations involving the storage, treatment, processing, and transportation of liquid hydrocarbons including crude oil are subject to stringent federal, state, and local laws and regulations governing the discharge of materials into the environment, and otherwise relating to protection of the environment, operational safety and related matters. Compliance with these laws and regulations increases our overall cost of business, including our capital costs to construct, maintain and upgrade equipment and facilities, or claims for damages to property or persons resulting from our operations. Failure to comply with these laws and regulations may result in the assessment of administrative, civil, and criminal penalties, the imposition of investigatory and remedial liabilities, the issuance of injunctions that may restrict or prohibit our operations, or claims of damages to property or persons resulting from our operations. The laws and regulations applicable to our operations are subject to change,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liability to private parties for personal injury or property damage. </w:t>
      </w:r>
    </w:p>
    <w:p>
      <w:pPr>
        <w:pStyle w:val="TextBody"/>
        <w:jc w:val="center"/>
        <w:rPr>
          <w:sz w:val="20"/>
        </w:rPr>
      </w:pPr>
      <w:r>
        <w:rPr>
          <w:sz w:val="20"/>
        </w:rPr>
        <w:t>6</w:t>
      </w:r>
    </w:p>
    <w:p>
      <w:pPr>
        <w:pStyle w:val="HorizontalLine"/>
        <w:pBdr>
          <w:bottom w:val="single" w:sz="20" w:space="0" w:color="808080"/>
        </w:pBdr>
        <w:rPr/>
      </w:pPr>
      <w:r>
        <w:rPr/>
      </w:r>
      <w:r>
        <w:br w:type="page"/>
      </w:r>
    </w:p>
    <w:p>
      <w:pPr>
        <w:pStyle w:val="TextBody"/>
        <w:rPr/>
      </w:pPr>
      <w:r>
        <w:rPr/>
      </w:r>
      <w:bookmarkStart w:id="43" w:name="page_de1086_1_7"/>
      <w:bookmarkStart w:id="44" w:name="page_de1086_1_7"/>
      <w:bookmarkEnd w:id="44"/>
    </w:p>
    <w:p>
      <w:pPr>
        <w:pStyle w:val="TextBody"/>
        <w:rPr/>
      </w:pPr>
      <w:r>
        <w:rPr/>
        <w:t>        </w:t>
      </w:r>
      <w:r>
        <w:rPr>
          <w:b/>
          <w:i/>
          <w:sz w:val="20"/>
        </w:rPr>
        <w:t>The profitability of our pipeline operations depends on the volume of crude oil shipped.</w:t>
      </w:r>
    </w:p>
    <w:p>
      <w:pPr>
        <w:pStyle w:val="TextBody"/>
        <w:rPr/>
      </w:pPr>
      <w:r>
        <w:rPr/>
        <w:t>        </w:t>
      </w:r>
      <w:r>
        <w:rPr>
          <w:sz w:val="20"/>
        </w:rPr>
        <w:t xml:space="preserve">Third party shippers generally do not have long term contractual commitments to ship crude oil on our pipelines. A decision by a shipper to substantially reduce or cease to ship volumes of crude oil on our pipelines could cause a significant decline in our revenues. For example, we estimate that an average 20,000 barrel per day variance in the Basin Pipeline System within the current operating window, equivalent to an approximate 7% volume variance on that system, would change annualized segment profit by approximately $1.7 million. In addition, we estimate that an average 10,000 barrel per day variance on the Capline Pipeline System, equivalent to an approximate 7% volume variance on that system, would change annualized segment profit by approximately $1.5 million. </w:t>
      </w:r>
    </w:p>
    <w:p>
      <w:pPr>
        <w:pStyle w:val="TextBody"/>
        <w:rPr/>
      </w:pPr>
      <w:r>
        <w:rPr/>
        <w:t>        </w:t>
      </w:r>
      <w:r>
        <w:rPr>
          <w:b/>
          <w:i/>
          <w:sz w:val="20"/>
        </w:rPr>
        <w:t>The success of our business strategy to increase and optimize throughput on our pipeline and gathering assets is dependent upon our securing additional supplies of crude oil.</w:t>
      </w:r>
    </w:p>
    <w:p>
      <w:pPr>
        <w:pStyle w:val="TextBody"/>
        <w:rPr/>
      </w:pPr>
      <w:r>
        <w:rPr/>
        <w:t>        </w:t>
      </w:r>
      <w:r>
        <w:rPr>
          <w:sz w:val="20"/>
        </w:rPr>
        <w:t xml:space="preserve">Our operating results are dependent upon securing additional supplies of crude oil from increased production by oil companies and aggressive lease gathering efforts. The ability of producers to increase production is dependent on the prevailing market price of oil, the exploration and production budgets of the major and independent oil companies, the depletion rate of existing reservoirs, the success of new wells drilled, environmental concerns, regulatory initiatives and other matters beyond our control. There can be no assurance that production of crude oil will rise to sufficient levels to cause an increase in the throughput on our pipeline and gathering assets. </w:t>
      </w:r>
    </w:p>
    <w:p>
      <w:pPr>
        <w:pStyle w:val="TextBody"/>
        <w:rPr/>
      </w:pPr>
      <w:r>
        <w:rPr/>
        <w:t>        </w:t>
      </w:r>
      <w:r>
        <w:rPr>
          <w:b/>
          <w:i/>
          <w:sz w:val="20"/>
        </w:rPr>
        <w:t>Our operations are dependent upon demand for crude oil by refiners in the Midwest and on the Gulf Coast. Any decrease in this demand could adversely affect our business.</w:t>
      </w:r>
    </w:p>
    <w:p>
      <w:pPr>
        <w:pStyle w:val="TextBody"/>
        <w:rPr/>
      </w:pPr>
      <w:r>
        <w:rPr/>
        <w:t>        </w:t>
      </w:r>
      <w:r>
        <w:rPr>
          <w:sz w:val="20"/>
        </w:rPr>
        <w:t xml:space="preserve">Demand for crude oil is dependent upon the impact of future economic conditions, fuel conservation measures, alternative fuel requirements, governmental regulation or technological advances in fuel economy and energy generation devices, all of which could reduce demand. Demand also depends on the ability and willingness of shippers having access to our transportation assets to satisfy their demand by deliveries through those assets, and any decrease in this demand could adversely affect our business. </w:t>
      </w:r>
    </w:p>
    <w:p>
      <w:pPr>
        <w:pStyle w:val="TextBody"/>
        <w:rPr/>
      </w:pPr>
      <w:r>
        <w:rPr/>
        <w:t>        </w:t>
      </w:r>
      <w:r>
        <w:rPr>
          <w:b/>
          <w:i/>
          <w:sz w:val="20"/>
        </w:rPr>
        <w:t>We face intense competition in our gathering, marketing, terminalling and storage activities.</w:t>
      </w:r>
    </w:p>
    <w:p>
      <w:pPr>
        <w:pStyle w:val="TextBody"/>
        <w:rPr/>
      </w:pPr>
      <w:r>
        <w:rPr/>
        <w:t>        </w:t>
      </w:r>
      <w:r>
        <w:rPr>
          <w:sz w:val="20"/>
        </w:rPr>
        <w:t xml:space="preserve">Our competitors include other crude oil pipelines, the major integrated oil companies, their marketing affiliates, and independent gatherers, brokers and marketers of widely varying sizes, financial resources and experience. Some of these competitors have capital resources many times greater than ours and control greater supplies of crude oil. We estimate that a $0.01 variance in the average segment profit per barrel would have an approximate $2.5 million annual effect on segment profit. </w:t>
      </w:r>
    </w:p>
    <w:p>
      <w:pPr>
        <w:pStyle w:val="TextBody"/>
        <w:rPr/>
      </w:pPr>
      <w:r>
        <w:rPr/>
        <w:t>        </w:t>
      </w:r>
      <w:r>
        <w:rPr>
          <w:b/>
          <w:i/>
          <w:sz w:val="20"/>
        </w:rPr>
        <w:t>The profitability of our gathering and marketing activities is generally dependent on the volumes of crude oil we purchase and gather.</w:t>
      </w:r>
    </w:p>
    <w:p>
      <w:pPr>
        <w:pStyle w:val="TextBody"/>
        <w:rPr/>
      </w:pPr>
      <w:r>
        <w:rPr/>
        <w:t>        </w:t>
      </w:r>
      <w:r>
        <w:rPr>
          <w:sz w:val="20"/>
        </w:rPr>
        <w:t xml:space="preserve">To maintain the volumes of crude oil we purchase, we must continue to contract for new supplies of crude oil to offset volumes lost because of natural declines in crude oil production from depleting wells or volumes lost to competitors. Replacement of lost volumes of crude oil is particularly difficult in an environment where production is low and competition to gather available production is intense. Generally, because producers experience inconveniences in switching crude oil purchasers, such as delays in receipt of proceeds while awaiting the preparation of new division orders, producers typically do not change purchasers on the basis of minor variations in price. Thus, we may experience difficulty acquiring crude oil at the wellhead in areas where there are existing relationships between producers and other gatherers and purchasers of crude oil. We estimate that a 15,000 barrel per day decrease in barrels gathered by us would have an approximate $2.8 million per year negative impact on segment profit. This impact is based on a reasonable margin throughout various market conditions. Actual </w:t>
      </w:r>
    </w:p>
    <w:p>
      <w:pPr>
        <w:pStyle w:val="TextBody"/>
        <w:jc w:val="center"/>
        <w:rPr>
          <w:sz w:val="20"/>
        </w:rPr>
      </w:pPr>
      <w:r>
        <w:rPr>
          <w:sz w:val="20"/>
        </w:rPr>
        <w:t>7</w:t>
      </w:r>
    </w:p>
    <w:p>
      <w:pPr>
        <w:pStyle w:val="HorizontalLine"/>
        <w:pBdr>
          <w:bottom w:val="single" w:sz="20" w:space="0" w:color="808080"/>
        </w:pBdr>
        <w:rPr/>
      </w:pPr>
      <w:r>
        <w:rPr/>
      </w:r>
      <w:r>
        <w:br w:type="page"/>
      </w:r>
    </w:p>
    <w:p>
      <w:pPr>
        <w:pStyle w:val="TextBody"/>
        <w:rPr/>
      </w:pPr>
      <w:r>
        <w:rPr/>
      </w:r>
      <w:bookmarkStart w:id="45" w:name="page_de1086_1_8"/>
      <w:bookmarkStart w:id="46" w:name="page_de1086_1_8"/>
      <w:bookmarkEnd w:id="46"/>
    </w:p>
    <w:p>
      <w:pPr>
        <w:pStyle w:val="TextBody"/>
        <w:rPr>
          <w:sz w:val="20"/>
        </w:rPr>
      </w:pPr>
      <w:r>
        <w:rPr>
          <w:sz w:val="20"/>
        </w:rPr>
        <w:t xml:space="preserve">margins vary based on the location of the crude oil, the strength or weakness of the market and the grade or quality of crude oil. </w:t>
      </w:r>
    </w:p>
    <w:p>
      <w:pPr>
        <w:pStyle w:val="TextBody"/>
        <w:rPr/>
      </w:pPr>
      <w:r>
        <w:rPr/>
        <w:t>        </w:t>
      </w:r>
      <w:r>
        <w:rPr>
          <w:b/>
          <w:i/>
          <w:sz w:val="20"/>
        </w:rPr>
        <w:t>Loss of credit rating or the ability to receive open credit could negatively affect our ability to capitalize on a volatile market</w:t>
      </w:r>
    </w:p>
    <w:p>
      <w:pPr>
        <w:pStyle w:val="TextBody"/>
        <w:rPr/>
      </w:pPr>
      <w:r>
        <w:rPr/>
        <w:t>        </w:t>
      </w:r>
      <w:r>
        <w:rPr>
          <w:sz w:val="20"/>
        </w:rPr>
        <w:t xml:space="preserve">We believe that, because of our strategic asset base and complementary business model, we will continue to benefit from swings in market prices and shifts in market structure during periods of volatility in the crude oil market. Our ability to capture that benefit, however, is subject to numerous risks and uncertainties, including our maintaining an attractive credit rating and continuing to receive open credit from our suppliers and trade counter-parties. </w:t>
      </w:r>
    </w:p>
    <w:p>
      <w:pPr>
        <w:pStyle w:val="TextBody"/>
        <w:rPr/>
      </w:pPr>
      <w:r>
        <w:rPr/>
        <w:t>        </w:t>
      </w:r>
      <w:r>
        <w:rPr>
          <w:b/>
          <w:i/>
          <w:sz w:val="20"/>
        </w:rPr>
        <w:t>We are exposed to the credit risk of our customers in the ordinary course of our gathering and marketing activities.</w:t>
      </w:r>
    </w:p>
    <w:p>
      <w:pPr>
        <w:pStyle w:val="TextBody"/>
        <w:rPr/>
      </w:pPr>
      <w:r>
        <w:rPr/>
        <w:t>        </w:t>
      </w:r>
      <w:r>
        <w:rPr>
          <w:sz w:val="20"/>
        </w:rPr>
        <w:t xml:space="preserve">There can be no assurance that we have adequately assessed the credit worthiness of our existing or future counterparties or that there will not be an unanticipated deterioration in their credit worthiness, which could have an adverse impact on us. </w:t>
      </w:r>
    </w:p>
    <w:p>
      <w:pPr>
        <w:pStyle w:val="TextBody"/>
        <w:rPr/>
      </w:pPr>
      <w:r>
        <w:rPr/>
        <w:t>        </w:t>
      </w:r>
      <w:r>
        <w:rPr>
          <w:sz w:val="20"/>
        </w:rPr>
        <w:t xml:space="preserve">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other parties. </w:t>
      </w:r>
    </w:p>
    <w:p>
      <w:pPr>
        <w:pStyle w:val="TextBody"/>
        <w:rPr/>
      </w:pPr>
      <w:r>
        <w:rPr/>
        <w:t>        </w:t>
      </w:r>
      <w:r>
        <w:rPr>
          <w:b/>
          <w:i/>
          <w:sz w:val="20"/>
        </w:rPr>
        <w:t xml:space="preserve">Our pipeline assets are subject to federal, state and provincial regulation. </w:t>
      </w:r>
    </w:p>
    <w:p>
      <w:pPr>
        <w:pStyle w:val="TextBody"/>
        <w:rPr/>
      </w:pPr>
      <w:r>
        <w:rPr/>
        <w:t>        </w:t>
      </w:r>
      <w:r>
        <w:rPr>
          <w:sz w:val="20"/>
        </w:rPr>
        <w:t xml:space="preserve">Our domestic interstate common carrier pipelines are subject to regulation by the Federal Energy Regulatory Commission (FERC) under the Interstate Commerce Act. The Interstate Commerce Act requires that tariff rates for petroleum pipelines be just and reasonable and non-discriminatory. We are also subject to the Pipeline Safety Regulations of the U.S. Department of Transportation. Our intrastate pipeline transportation activities are subject to various state laws and regulations as well as orders of regulatory bodies. </w:t>
      </w:r>
    </w:p>
    <w:p>
      <w:pPr>
        <w:pStyle w:val="TextBody"/>
        <w:rPr/>
      </w:pPr>
      <w:r>
        <w:rPr/>
        <w:t>        </w:t>
      </w:r>
      <w:r>
        <w:rPr>
          <w:sz w:val="20"/>
        </w:rPr>
        <w:t xml:space="preserve">Our Canadian pipeline assets are subject to regulation by the National Energy Board and by provincial agencies. With respect to a pipeline over which it has jurisdiction, each of these Canadian agencies has the power to determine the rates we are allowed to charge for transportation on such pipeline. The extent to which regulatory agencies can override existing transportation contracts has not been fully decided. </w:t>
      </w:r>
    </w:p>
    <w:p>
      <w:pPr>
        <w:pStyle w:val="TextBody"/>
        <w:rPr/>
      </w:pPr>
      <w:r>
        <w:rPr/>
        <w:t>        </w:t>
      </w:r>
      <w:r>
        <w:rPr>
          <w:b/>
          <w:i/>
          <w:sz w:val="20"/>
        </w:rPr>
        <w:t>Our pipeline systems are dependent upon their interconnections with other crude oil pipelines to reach end markets.</w:t>
      </w:r>
    </w:p>
    <w:p>
      <w:pPr>
        <w:pStyle w:val="TextBody"/>
        <w:rPr/>
      </w:pPr>
      <w:r>
        <w:rPr/>
        <w:t>        </w:t>
      </w:r>
      <w:r>
        <w:rPr>
          <w:sz w:val="20"/>
        </w:rPr>
        <w:t xml:space="preserve">Reduced throughput on these interconnecting pipelines as a result of testing, line repair, reduced operating pressures or other causes could result in reduced throughput on our pipeline systems that would adversely affect our profitability. </w:t>
      </w:r>
    </w:p>
    <w:p>
      <w:pPr>
        <w:pStyle w:val="TextBody"/>
        <w:rPr/>
      </w:pPr>
      <w:r>
        <w:rPr/>
        <w:t>        </w:t>
      </w:r>
      <w:r>
        <w:rPr>
          <w:b/>
          <w:i/>
          <w:sz w:val="20"/>
        </w:rPr>
        <w:t xml:space="preserve">Fluctuations in demand can negatively affect our operating results. </w:t>
      </w:r>
    </w:p>
    <w:p>
      <w:pPr>
        <w:pStyle w:val="TextBody"/>
        <w:rPr/>
      </w:pPr>
      <w:r>
        <w:rPr/>
        <w:t>        </w:t>
      </w:r>
      <w:r>
        <w:rPr>
          <w:sz w:val="20"/>
        </w:rPr>
        <w:t xml:space="preserve">Fluctuations in demand for crude oil, such as caused by refinery downtime or shutdown, can have a negative effect on our operating results. Specifically, reduced demand in an area serviced by our transmission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 </w:t>
      </w:r>
    </w:p>
    <w:p>
      <w:pPr>
        <w:pStyle w:val="TextBody"/>
        <w:jc w:val="center"/>
        <w:rPr>
          <w:sz w:val="20"/>
        </w:rPr>
      </w:pPr>
      <w:r>
        <w:rPr>
          <w:sz w:val="20"/>
        </w:rPr>
        <w:t>8</w:t>
      </w:r>
    </w:p>
    <w:p>
      <w:pPr>
        <w:pStyle w:val="HorizontalLine"/>
        <w:pBdr>
          <w:bottom w:val="single" w:sz="20" w:space="0" w:color="808080"/>
        </w:pBdr>
        <w:rPr/>
      </w:pPr>
      <w:r>
        <w:rPr/>
      </w:r>
      <w:r>
        <w:br w:type="page"/>
      </w:r>
    </w:p>
    <w:p>
      <w:pPr>
        <w:pStyle w:val="TextBody"/>
        <w:rPr/>
      </w:pPr>
      <w:r>
        <w:rPr/>
      </w:r>
      <w:bookmarkStart w:id="47" w:name="page_de1086_1_9"/>
      <w:bookmarkStart w:id="48" w:name="page_de1086_1_9"/>
      <w:bookmarkEnd w:id="48"/>
    </w:p>
    <w:p>
      <w:pPr>
        <w:pStyle w:val="TextBody"/>
        <w:rPr/>
      </w:pPr>
      <w:r>
        <w:rPr/>
        <w:t>        </w:t>
      </w:r>
      <w:r>
        <w:rPr>
          <w:b/>
          <w:i/>
          <w:sz w:val="20"/>
        </w:rPr>
        <w:t>The terms of our indebtedness may limit our ability to borrow additional funds or capitalize on business opportunities.</w:t>
      </w:r>
    </w:p>
    <w:p>
      <w:pPr>
        <w:pStyle w:val="TextBody"/>
        <w:rPr/>
      </w:pPr>
      <w:r>
        <w:rPr/>
        <w:t>        </w:t>
      </w:r>
      <w:r>
        <w:rPr>
          <w:sz w:val="20"/>
        </w:rPr>
        <w:t xml:space="preserve">As of March 31, 2005, our total outstanding long-term debt was approximately $930 million. Various limitations in our indebtedness may reduce our ability to incur additional debt, to engage in some transactions and to capitalize on business opportunities. Any subsequent refinancing of our current indebtedness or any new indebtedness could have similar or greater restrictions. </w:t>
      </w:r>
    </w:p>
    <w:p>
      <w:pPr>
        <w:pStyle w:val="TextBody"/>
        <w:rPr/>
      </w:pPr>
      <w:r>
        <w:rPr/>
        <w:t>        </w:t>
      </w:r>
      <w:r>
        <w:rPr>
          <w:b/>
          <w:i/>
          <w:sz w:val="20"/>
        </w:rPr>
        <w:t>Changes in currency exchange rates could adversely affect our operating results.</w:t>
      </w:r>
    </w:p>
    <w:p>
      <w:pPr>
        <w:pStyle w:val="TextBody"/>
        <w:rPr/>
      </w:pPr>
      <w:r>
        <w:rPr/>
        <w:t>        </w:t>
      </w:r>
      <w:r>
        <w:rPr>
          <w:sz w:val="20"/>
        </w:rPr>
        <w:t xml:space="preserve">Because we conduct operations in Canada, we are exposed to currency fluctuations and exchange rate risks that may adversely affect our results of operations. </w:t>
      </w:r>
    </w:p>
    <w:p>
      <w:pPr>
        <w:pStyle w:val="TextBody"/>
        <w:rPr/>
      </w:pPr>
      <w:r>
        <w:rPr/>
        <w:t>        </w:t>
      </w:r>
      <w:r>
        <w:rPr>
          <w:b/>
          <w:i/>
          <w:sz w:val="20"/>
        </w:rPr>
        <w:t>Cash distributions are not guaranteed and may fluctuate with our performance and the establishment of financial reserves.</w:t>
      </w:r>
    </w:p>
    <w:p>
      <w:pPr>
        <w:pStyle w:val="TextBody"/>
        <w:rPr/>
      </w:pPr>
      <w:r>
        <w:rPr/>
        <w:t>        </w:t>
      </w:r>
      <w:r>
        <w:rPr>
          <w:sz w:val="20"/>
        </w:rPr>
        <w:t xml:space="preserve">Because distributions on the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 </w:t>
      </w:r>
    </w:p>
    <w:p>
      <w:pPr>
        <w:pStyle w:val="TextBody"/>
        <w:rPr>
          <w:b/>
          <w:sz w:val="20"/>
        </w:rPr>
      </w:pPr>
      <w:r>
        <w:rPr>
          <w:b/>
          <w:sz w:val="20"/>
        </w:rPr>
        <w:t xml:space="preserve">Risks Inherent in an Investment in Plains All American Pipeline </w:t>
      </w:r>
    </w:p>
    <w:p>
      <w:pPr>
        <w:pStyle w:val="TextBody"/>
        <w:rPr/>
      </w:pPr>
      <w:r>
        <w:rPr/>
        <w:t>        </w:t>
      </w:r>
      <w:r>
        <w:rPr>
          <w:b/>
          <w:i/>
          <w:sz w:val="20"/>
        </w:rPr>
        <w:t>Cost reimbursements due to our general partner may be substantial and will reduce our cash available for distribution to you.</w:t>
      </w:r>
    </w:p>
    <w:p>
      <w:pPr>
        <w:pStyle w:val="TextBody"/>
        <w:rPr/>
      </w:pPr>
      <w:r>
        <w:rPr/>
        <w:t>        </w:t>
      </w:r>
      <w:r>
        <w:rPr>
          <w:sz w:val="20"/>
        </w:rPr>
        <w:t xml:space="preserve">Prior to making any distribution on the common units, we will reimburse our general partner and its affiliates, including officers and directors of the general partner, for all expenses incurred on our behalf. The reimbursement of expenses and the payment of fees could adversely affect our ability to make distributions. The general partner has sole discretion to determine the amount of these expenses. In addition, our general partner and its affiliates may provide us services for which we will be charged reasonable fees as determined by the general partner. </w:t>
      </w:r>
    </w:p>
    <w:p>
      <w:pPr>
        <w:pStyle w:val="TextBody"/>
        <w:rPr/>
      </w:pPr>
      <w:r>
        <w:rPr/>
        <w:t>        </w:t>
      </w:r>
      <w:r>
        <w:rPr>
          <w:b/>
          <w:i/>
          <w:sz w:val="20"/>
        </w:rPr>
        <w:t xml:space="preserve">You may not be able to remove our general partner even if you wish to do so. </w:t>
      </w:r>
    </w:p>
    <w:p>
      <w:pPr>
        <w:pStyle w:val="TextBody"/>
        <w:rPr/>
      </w:pPr>
      <w:r>
        <w:rPr/>
        <w:t>        </w:t>
      </w:r>
      <w:r>
        <w:rPr>
          <w:sz w:val="20"/>
        </w:rPr>
        <w:t xml:space="preserve">Our general partner manages and operates Plains All American Pipeline. Unlike the holders of common stock in a corporation, you will have only limited voting rights on matters affecting our business. You will have no right to elect the general partner or the directors of the general partner on an annual or other continuing basis. </w:t>
      </w:r>
    </w:p>
    <w:p>
      <w:pPr>
        <w:pStyle w:val="TextBody"/>
        <w:rPr/>
      </w:pPr>
      <w:r>
        <w:rPr/>
        <w:t>        </w:t>
      </w:r>
      <w:r>
        <w:rPr>
          <w:sz w:val="20"/>
        </w:rPr>
        <w:t xml:space="preserve">In addition, the following provisions of our partnership agreement may discourage a person or group from attempting to remove our general partner or otherwise change our management: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generally, if a person acquires 20% or more of any class of units then outstanding other than from our general partner or its affiliates, the units owned by such person cannot be voted on any matter;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limitations upon the ability of unitholders to call meetings or to acquire information about our operations, as well as other limitations upon the unitholders' ability to influence the manner or direction of management. </w:t>
      </w:r>
    </w:p>
    <w:p>
      <w:pPr>
        <w:pStyle w:val="TextBody"/>
        <w:rPr/>
      </w:pPr>
      <w:r>
        <w:rPr/>
        <w:t>        </w:t>
      </w:r>
      <w:r>
        <w:rPr>
          <w:sz w:val="20"/>
        </w:rPr>
        <w:t xml:space="preserve">As a result of these provisions, the price at which the common units will trade may be lower because of the absence or reduction of a takeover premium in the trading price. </w:t>
      </w:r>
    </w:p>
    <w:p>
      <w:pPr>
        <w:pStyle w:val="TextBody"/>
        <w:jc w:val="center"/>
        <w:rPr>
          <w:sz w:val="20"/>
        </w:rPr>
      </w:pPr>
      <w:r>
        <w:rPr>
          <w:sz w:val="20"/>
        </w:rPr>
        <w:t>9</w:t>
      </w:r>
    </w:p>
    <w:p>
      <w:pPr>
        <w:pStyle w:val="HorizontalLine"/>
        <w:pBdr>
          <w:bottom w:val="single" w:sz="20" w:space="0" w:color="808080"/>
        </w:pBdr>
        <w:rPr/>
      </w:pPr>
      <w:r>
        <w:rPr/>
      </w:r>
      <w:r>
        <w:br w:type="page"/>
      </w:r>
    </w:p>
    <w:p>
      <w:pPr>
        <w:pStyle w:val="TextBody"/>
        <w:rPr/>
      </w:pPr>
      <w:r>
        <w:rPr/>
      </w:r>
      <w:bookmarkStart w:id="49" w:name="page_de1086_1_10"/>
      <w:bookmarkStart w:id="50" w:name="page_de1086_1_10"/>
      <w:bookmarkEnd w:id="50"/>
    </w:p>
    <w:p>
      <w:pPr>
        <w:pStyle w:val="TextBody"/>
        <w:rPr/>
      </w:pPr>
      <w:r>
        <w:rPr/>
        <w:t>        </w:t>
      </w:r>
      <w:r>
        <w:rPr>
          <w:b/>
          <w:i/>
          <w:sz w:val="20"/>
        </w:rPr>
        <w:t>We may issue additional common units without your approval, which would dilute your existing ownership interests.</w:t>
      </w:r>
    </w:p>
    <w:p>
      <w:pPr>
        <w:pStyle w:val="TextBody"/>
        <w:rPr/>
      </w:pPr>
      <w:r>
        <w:rPr/>
        <w:t>        </w:t>
      </w:r>
      <w:r>
        <w:rPr>
          <w:sz w:val="20"/>
        </w:rPr>
        <w:t xml:space="preserve">Our general partner may cause us to issue an unlimited number of common units, without your approval. We may also issue at any time an unlimited number of equity securities ranking junior or senior to the common units without your approval. The issuance of additional common units or other equity securities of equal or senior rank will have the following effects: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your proportionate ownership interest in Plains All American Pipeline will decrease;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amount of cash available for distribution on each unit may decrease;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relative voting strength of each previously outstanding unit may be diminished;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market price of the common units may decline. </w:t>
      </w:r>
    </w:p>
    <w:p>
      <w:pPr>
        <w:pStyle w:val="TextBody"/>
        <w:rPr/>
      </w:pPr>
      <w:r>
        <w:rPr/>
        <w:t>        </w:t>
      </w:r>
      <w:r>
        <w:rPr>
          <w:b/>
          <w:i/>
          <w:sz w:val="20"/>
        </w:rPr>
        <w:t>Our general partner has a limited call right that may require you to sell your units at an undesirable time or price.</w:t>
      </w:r>
    </w:p>
    <w:p>
      <w:pPr>
        <w:pStyle w:val="TextBody"/>
        <w:rPr/>
      </w:pPr>
      <w:r>
        <w:rPr/>
        <w:t>        </w:t>
      </w:r>
      <w:r>
        <w:rPr>
          <w:sz w:val="20"/>
        </w:rPr>
        <w:t xml:space="preserve">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you may be required to sell your common units at a time when you may not desire to sell them or at a price that is less than the price you would like to receive. You may also incur a tax liability upon a sale of your common units. </w:t>
      </w:r>
    </w:p>
    <w:p>
      <w:pPr>
        <w:pStyle w:val="TextBody"/>
        <w:rPr/>
      </w:pPr>
      <w:r>
        <w:rPr/>
        <w:t>        </w:t>
      </w:r>
      <w:r>
        <w:rPr>
          <w:b/>
          <w:i/>
          <w:sz w:val="20"/>
        </w:rPr>
        <w:t>You may not have limited liability if a court finds that unitholder actions constitute control of our business.</w:t>
      </w:r>
    </w:p>
    <w:p>
      <w:pPr>
        <w:pStyle w:val="TextBody"/>
        <w:rPr/>
      </w:pPr>
      <w:r>
        <w:rPr/>
        <w:t>        </w:t>
      </w:r>
      <w:r>
        <w:rPr>
          <w:sz w:val="20"/>
        </w:rPr>
        <w:t xml:space="preserve">Under Delaware law, you could be held liable for our obligations to the same extent as a general partner if a court determined that the right of unitholders to remove our general partner or to take other action under our partnership agreement constituted participation in the "control" of our business. </w:t>
      </w:r>
    </w:p>
    <w:p>
      <w:pPr>
        <w:pStyle w:val="TextBody"/>
        <w:rPr/>
      </w:pPr>
      <w:r>
        <w:rPr/>
        <w:t>        </w:t>
      </w:r>
      <w:r>
        <w:rPr>
          <w:sz w:val="20"/>
        </w:rPr>
        <w:t xml:space="preserve">Our general partner generally has unlimited liability for our obligations, such as our debts and environmental liabilities, except for those contractual obligations that are expressly made without recourse to our general partner. </w:t>
      </w:r>
    </w:p>
    <w:p>
      <w:pPr>
        <w:pStyle w:val="TextBody"/>
        <w:rPr/>
      </w:pPr>
      <w:r>
        <w:rPr/>
        <w:t>        </w:t>
      </w:r>
      <w:r>
        <w:rPr>
          <w:sz w:val="20"/>
        </w:rPr>
        <w:t xml:space="preserve">In addition, Section 17-607 of the Delaware Revised Uniform Limited Partnership Act provides that under some circumstances, a unitholder may be liable to us for the amount of a distribution for a period of three years from the date of the distribution. </w:t>
      </w:r>
    </w:p>
    <w:p>
      <w:pPr>
        <w:pStyle w:val="TextBody"/>
        <w:rPr/>
      </w:pPr>
      <w:r>
        <w:rPr/>
        <w:t>        </w:t>
      </w:r>
      <w:r>
        <w:rPr>
          <w:b/>
          <w:i/>
          <w:sz w:val="20"/>
        </w:rPr>
        <w:t>Conflicts of interest could arise among our general partner and us or the unitholders.</w:t>
      </w:r>
    </w:p>
    <w:p>
      <w:pPr>
        <w:pStyle w:val="TextBody"/>
        <w:rPr/>
      </w:pPr>
      <w:r>
        <w:rPr/>
        <w:t>        </w:t>
      </w:r>
      <w:r>
        <w:rPr>
          <w:sz w:val="20"/>
        </w:rPr>
        <w:t xml:space="preserve">These conflicts may include the following: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we do not have any employees and we rely solely on employees of the general partner or, in the case of Plains Marketing Canada, employees of PMC (Nova Scotia) Company;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under our partnership agreement, we reimburse the general partner for the costs of managing and for operating the partnership;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amount of cash expenditures, borrowings and reserves in any quarter may affect available cash to pay quarterly distributions to unitholders;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general partner tries to avoid being liable for partnership obligations. The general partner is permitted to protect its assets in this manner by our partnership agreement. Under our partnership agreement the general partner would not breach its fiduciary duty by avoiding </w:t>
      </w:r>
    </w:p>
    <w:p>
      <w:pPr>
        <w:pStyle w:val="TextBody"/>
        <w:jc w:val="center"/>
        <w:rPr>
          <w:sz w:val="20"/>
        </w:rPr>
      </w:pPr>
      <w:r>
        <w:rPr>
          <w:sz w:val="20"/>
        </w:rPr>
        <w:t>10</w:t>
      </w:r>
    </w:p>
    <w:p>
      <w:pPr>
        <w:pStyle w:val="HorizontalLine"/>
        <w:pBdr>
          <w:bottom w:val="single" w:sz="20" w:space="0" w:color="808080"/>
        </w:pBdr>
        <w:rPr/>
      </w:pPr>
      <w:r>
        <w:rPr/>
      </w:r>
      <w:r>
        <w:br w:type="page"/>
      </w:r>
    </w:p>
    <w:p>
      <w:pPr>
        <w:pStyle w:val="TextBody"/>
        <w:numPr>
          <w:ilvl w:val="0"/>
          <w:numId w:val="0"/>
        </w:numPr>
        <w:ind w:left="1414" w:hanging="0"/>
        <w:rPr>
          <w:sz w:val="20"/>
        </w:rPr>
      </w:pPr>
      <w:bookmarkStart w:id="51" w:name="page_de1086_1_11"/>
      <w:bookmarkEnd w:id="51"/>
      <w:r>
        <w:rPr>
          <w:sz w:val="20"/>
        </w:rPr>
        <w:t xml:space="preserve">liability for partnership obligations even if we can obtain more favorable terms without limiting the general partner's liability;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the result of arms length negotiations;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general partner would not breach our partnership agreement by exercising its call rights to purchase limited partnership interests or by assigning its call rights to one of its affiliates or to us. </w:t>
      </w:r>
    </w:p>
    <w:p>
      <w:pPr>
        <w:pStyle w:val="TextBody"/>
        <w:rPr>
          <w:b/>
          <w:sz w:val="20"/>
        </w:rPr>
      </w:pPr>
      <w:r>
        <w:rPr>
          <w:b/>
          <w:sz w:val="20"/>
        </w:rPr>
        <w:t xml:space="preserve">Risks Related to the Debt Securities </w:t>
      </w:r>
    </w:p>
    <w:p>
      <w:pPr>
        <w:pStyle w:val="TextBody"/>
        <w:rPr/>
      </w:pPr>
      <w:r>
        <w:rPr/>
        <w:t>        </w:t>
      </w:r>
      <w:r>
        <w:rPr>
          <w:b/>
          <w:i/>
          <w:sz w:val="20"/>
        </w:rPr>
        <w:t>We have a holding company structure in which our subsidiaries conduct our operations and own our operating assets.</w:t>
      </w:r>
    </w:p>
    <w:p>
      <w:pPr>
        <w:pStyle w:val="TextBody"/>
        <w:rPr/>
      </w:pPr>
      <w:r>
        <w:rPr/>
        <w:t>        </w:t>
      </w:r>
      <w:r>
        <w:rPr>
          <w:sz w:val="20"/>
        </w:rPr>
        <w:t xml:space="preserve">We have a holding company structure, and our subsidiaries conduct all of our operations and own all of our operating assets. We have no significant assets other than the ownership interests in our subsidiaries. As a result, our ability to make required payments on the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the credit facilities, we may be required to establish cash reserves for the future payment of principal and interest on the amounts outstanding under the credit facilities. If we are unable to obtain the funds necessary to pay the principal amount at maturity of the debt securities, or to repurchase the debt securities upon the occurrence of a change of control, we may be required to adopt one or more alternatives, such as a refinancing of the debt securities. We cannot assure you that we would be able to refinance the debt securities. </w:t>
      </w:r>
    </w:p>
    <w:p>
      <w:pPr>
        <w:pStyle w:val="TextBody"/>
        <w:rPr/>
      </w:pPr>
      <w:r>
        <w:rPr/>
        <w:t>        </w:t>
      </w:r>
      <w:r>
        <w:rPr>
          <w:b/>
          <w:i/>
          <w:sz w:val="20"/>
        </w:rPr>
        <w:t>We do not have the same flexibility as other types of organizations to accumulate cash, which may limit cash available to service the debt securities or to repay them at maturity.</w:t>
      </w:r>
    </w:p>
    <w:p>
      <w:pPr>
        <w:pStyle w:val="TextBody"/>
        <w:rPr/>
      </w:pPr>
      <w:r>
        <w:rPr/>
        <w:t>        </w:t>
      </w:r>
      <w:r>
        <w:rPr>
          <w:sz w:val="20"/>
        </w:rPr>
        <w:t xml:space="preserve">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provide for the proper conduct of our business and the businesses of our operating partnerships (including reserves for future capital expenditures and for our anticipated future credit needs),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provide funds for distributions to our unitholders and the general partner for any one or more of the next four calendar quarters,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comply with applicable law or any of our loan or other agreements. </w:t>
      </w:r>
    </w:p>
    <w:p>
      <w:pPr>
        <w:pStyle w:val="TextBody"/>
        <w:rPr/>
      </w:pPr>
      <w:r>
        <w:rPr/>
        <w:t>        </w:t>
      </w:r>
      <w:r>
        <w:rPr>
          <w:sz w:val="20"/>
        </w:rPr>
        <w:t xml:space="preserve">Although our payment obligations to our unitholders are subordinate to our payment obligations to debtholders, the value of our units will decrease in direct correlation with decreases in the amount we distribute per unit. Accordingly, if we experience a liquidity problem in the future, we may not be able to issue equity to recapitalize. </w:t>
      </w:r>
    </w:p>
    <w:p>
      <w:pPr>
        <w:pStyle w:val="TextBody"/>
        <w:jc w:val="center"/>
        <w:rPr>
          <w:sz w:val="20"/>
        </w:rPr>
      </w:pPr>
      <w:r>
        <w:rPr>
          <w:sz w:val="20"/>
        </w:rPr>
        <w:t>11</w:t>
      </w:r>
    </w:p>
    <w:p>
      <w:pPr>
        <w:pStyle w:val="HorizontalLine"/>
        <w:pBdr>
          <w:bottom w:val="single" w:sz="20" w:space="0" w:color="808080"/>
        </w:pBdr>
        <w:rPr/>
      </w:pPr>
      <w:r>
        <w:rPr/>
      </w:r>
      <w:r>
        <w:br w:type="page"/>
      </w:r>
    </w:p>
    <w:p>
      <w:pPr>
        <w:pStyle w:val="TextBody"/>
        <w:rPr/>
      </w:pPr>
      <w:r>
        <w:rPr/>
      </w:r>
      <w:bookmarkStart w:id="52" w:name="page_de1086_1_12"/>
      <w:bookmarkStart w:id="53" w:name="page_de1086_1_12"/>
      <w:bookmarkEnd w:id="53"/>
    </w:p>
    <w:p>
      <w:pPr>
        <w:pStyle w:val="TextBody"/>
        <w:rPr>
          <w:b/>
          <w:sz w:val="20"/>
        </w:rPr>
      </w:pPr>
      <w:r>
        <w:rPr>
          <w:b/>
          <w:sz w:val="20"/>
        </w:rPr>
        <w:t xml:space="preserve">Tax Risks to Common Unitholders </w:t>
      </w:r>
    </w:p>
    <w:p>
      <w:pPr>
        <w:pStyle w:val="TextBody"/>
        <w:rPr/>
      </w:pPr>
      <w:r>
        <w:rPr/>
        <w:t>        </w:t>
      </w:r>
      <w:r>
        <w:rPr>
          <w:sz w:val="20"/>
        </w:rPr>
        <w:t xml:space="preserve">You should read "Tax Considerations" for a more complete discussion of the following expected material federal income tax consequences of owning and disposing of common units. </w:t>
      </w:r>
    </w:p>
    <w:p>
      <w:pPr>
        <w:pStyle w:val="TextBody"/>
        <w:rPr/>
      </w:pPr>
      <w:r>
        <w:rPr/>
        <w:t>        </w:t>
      </w:r>
      <w:r>
        <w:rPr>
          <w:b/>
          <w:i/>
          <w:sz w:val="20"/>
        </w:rPr>
        <w:t>The IRS could treat us as a corporation for tax purposes, which would substantially reduce the cash available for distribution to you.</w:t>
      </w:r>
    </w:p>
    <w:p>
      <w:pPr>
        <w:pStyle w:val="TextBody"/>
        <w:rPr/>
      </w:pPr>
      <w:r>
        <w:rPr/>
        <w:t>        </w:t>
      </w:r>
      <w:r>
        <w:rPr>
          <w:sz w:val="20"/>
        </w:rPr>
        <w:t xml:space="preserve">The anticipated after-tax benefit of an investment in the common units depends largely on our being treated as a partnership for federal income tax purposes. We have not requested, and do not plan to request, a ruling from the IRS on this or any other matter affecting us. </w:t>
      </w:r>
    </w:p>
    <w:p>
      <w:pPr>
        <w:pStyle w:val="TextBody"/>
        <w:rPr/>
      </w:pPr>
      <w:r>
        <w:rPr/>
        <w:t>        </w:t>
      </w:r>
      <w:r>
        <w:rPr>
          <w:sz w:val="20"/>
        </w:rPr>
        <w:t xml:space="preserve">If we were classified as a corporation for federal income tax purposes, we would pay federal income tax on our income at the corporate tax rate, which is currently a maximum of 35%. Distributions to you would generally be taxed again to you as corporate distributions, and no income, gains, losses, deductions or credits would flow through to you. Because a tax would be imposed upon us as a corporation, the cash available for distribution to you would be substantially reduced. Treatment of us as a corporation would result in a material reduction in the after-tax return to the unitholders, likely causing a substantial reduction in the value of the common units. </w:t>
      </w:r>
    </w:p>
    <w:p>
      <w:pPr>
        <w:pStyle w:val="TextBody"/>
        <w:rPr/>
      </w:pPr>
      <w:r>
        <w:rPr/>
        <w:t>        </w:t>
      </w:r>
      <w:r>
        <w:rPr>
          <w:sz w:val="20"/>
        </w:rPr>
        <w:t xml:space="preserve">Current law may change so as to cause us to be taxed as a corporation for federal income tax purposes or otherwise subject us to entity-level taxation. In addition, because of widespread state budget deficits, several states are evaluating ways to subject partnerships to entity-level taxation through the imposition of state income, franchise or other forms of taxation. If any state were to impose a tax upon us as an entity, the cash available for distribution to you would be reduced. Our partnership agreement provides that, if a law is enacted or existing law is modified or interpreted in a manner that subjects us to taxation as a corporation or otherwise subjects us to entity-level taxation for federal, state or local income tax purposes, then the minimum quarterly distribution and the target distribution levels will be decreased to reflect that impact on us. </w:t>
      </w:r>
    </w:p>
    <w:p>
      <w:pPr>
        <w:pStyle w:val="TextBody"/>
        <w:rPr/>
      </w:pPr>
      <w:r>
        <w:rPr/>
        <w:t>        </w:t>
      </w:r>
      <w:r>
        <w:rPr>
          <w:b/>
          <w:i/>
          <w:sz w:val="20"/>
        </w:rPr>
        <w:t>A successful IRS contest of the federal income tax positions we take may adversely impact the market for common units.</w:t>
      </w:r>
    </w:p>
    <w:p>
      <w:pPr>
        <w:pStyle w:val="TextBody"/>
        <w:rPr/>
      </w:pPr>
      <w:r>
        <w:rPr/>
        <w:t>        </w:t>
      </w:r>
      <w:r>
        <w:rPr>
          <w:sz w:val="20"/>
        </w:rPr>
        <w:t xml:space="preserve">We have not requested a ruling from the IRS with respect to any matter affecting us. The IRS may adopt positions that differ from the conclusions of our counsel expressed in this registration statement or from the positions we take. It may be necessary to resort to administrative or court proceedings to sustain our counsel's conclusions or the positions we take. A court may not concur with our counsel's conclusions or the positions we take. Any contest with the IRS may materially and adversely impact the market for common units and the price at which they trade. In addition, the costs of any contest with the IRS, principally legal, accounting and related fees, will be borne by us and directly or indirectly by the unitholders and the general partner. </w:t>
      </w:r>
    </w:p>
    <w:p>
      <w:pPr>
        <w:pStyle w:val="TextBody"/>
        <w:rPr/>
      </w:pPr>
      <w:r>
        <w:rPr/>
        <w:t>        </w:t>
      </w:r>
      <w:r>
        <w:rPr>
          <w:b/>
          <w:i/>
          <w:sz w:val="20"/>
        </w:rPr>
        <w:t>You may be required to pay taxes even if you do not receive any cash distributions.</w:t>
      </w:r>
    </w:p>
    <w:p>
      <w:pPr>
        <w:pStyle w:val="TextBody"/>
        <w:rPr/>
      </w:pPr>
      <w:r>
        <w:rPr/>
        <w:t>        </w:t>
      </w:r>
      <w:r>
        <w:rPr>
          <w:sz w:val="20"/>
        </w:rPr>
        <w:t xml:space="preserve">You will be required to pay federal income taxes and, in some cases, state and local income taxes on your share of our taxable income even if you do not receive any cash distributions from us. You may not receive cash distributions from us equal to your share of our taxable income or even equal to the actual tax liability that results from your share of our taxable income. </w:t>
      </w:r>
    </w:p>
    <w:p>
      <w:pPr>
        <w:pStyle w:val="TextBody"/>
        <w:rPr/>
      </w:pPr>
      <w:r>
        <w:rPr/>
        <w:t>        </w:t>
      </w:r>
      <w:r>
        <w:rPr>
          <w:b/>
          <w:i/>
          <w:sz w:val="20"/>
        </w:rPr>
        <w:t>Tax gain or loss on disposition of common units could be different than expected.</w:t>
      </w:r>
    </w:p>
    <w:p>
      <w:pPr>
        <w:pStyle w:val="TextBody"/>
        <w:rPr/>
      </w:pPr>
      <w:r>
        <w:rPr/>
        <w:t>        </w:t>
      </w:r>
      <w:r>
        <w:rPr>
          <w:sz w:val="20"/>
        </w:rPr>
        <w:t xml:space="preserve">If you sell your common units, you will recognize gain or loss equal to the difference between the amount realized and your tax basis in those common units. Prior distributions in excess of the total net taxable income you were allocated for a common unit, which decreased your tax basis in that common unit, will, in effect, become taxable income to you if the common unit is sold at a price greater than your tax basis in that common unit, even if the price you receive is less than your original cost. A </w:t>
      </w:r>
    </w:p>
    <w:p>
      <w:pPr>
        <w:pStyle w:val="TextBody"/>
        <w:jc w:val="center"/>
        <w:rPr>
          <w:sz w:val="20"/>
        </w:rPr>
      </w:pPr>
      <w:r>
        <w:rPr>
          <w:sz w:val="20"/>
        </w:rPr>
        <w:t>12</w:t>
      </w:r>
    </w:p>
    <w:p>
      <w:pPr>
        <w:pStyle w:val="HorizontalLine"/>
        <w:pBdr>
          <w:bottom w:val="single" w:sz="20" w:space="0" w:color="808080"/>
        </w:pBdr>
        <w:rPr/>
      </w:pPr>
      <w:r>
        <w:rPr/>
      </w:r>
      <w:r>
        <w:br w:type="page"/>
      </w:r>
    </w:p>
    <w:p>
      <w:pPr>
        <w:pStyle w:val="TextBody"/>
        <w:rPr/>
      </w:pPr>
      <w:r>
        <w:rPr/>
      </w:r>
      <w:bookmarkStart w:id="54" w:name="page_de1086_1_13"/>
      <w:bookmarkStart w:id="55" w:name="page_de1086_1_13"/>
      <w:bookmarkEnd w:id="55"/>
    </w:p>
    <w:p>
      <w:pPr>
        <w:pStyle w:val="TextBody"/>
        <w:rPr>
          <w:sz w:val="20"/>
        </w:rPr>
      </w:pPr>
      <w:r>
        <w:rPr>
          <w:sz w:val="20"/>
        </w:rPr>
        <w:t xml:space="preserve">substantial portion of the amount realized, whether or not representing gain, may be ordinary income to you. Should the IRS successfully contest some positions we take, you could recognize more gain on the sale of units than would be the case under those positions, without the benefit of decreased income in prior years. Also, if you sell your units, you may incur a tax liability in excess of the amount of cash you receive from the sale. </w:t>
      </w:r>
    </w:p>
    <w:p>
      <w:pPr>
        <w:pStyle w:val="TextBody"/>
        <w:rPr/>
      </w:pPr>
      <w:r>
        <w:rPr/>
        <w:t>        </w:t>
      </w:r>
      <w:r>
        <w:rPr>
          <w:b/>
          <w:i/>
          <w:sz w:val="20"/>
        </w:rPr>
        <w:t>If you are a tax-exempt entity, a regulated investment company or an individual not residing in the United States, you may have adverse tax consequences from owning common units.</w:t>
      </w:r>
    </w:p>
    <w:p>
      <w:pPr>
        <w:pStyle w:val="TextBody"/>
        <w:rPr/>
      </w:pPr>
      <w:r>
        <w:rPr/>
        <w:t>        </w:t>
      </w:r>
      <w:r>
        <w:rPr>
          <w:sz w:val="20"/>
        </w:rPr>
        <w:t xml:space="preserve">Investment in common units by tax-exempt entities, regulated investment companies or mutual funds and foreign persons raises issues unique to them. For example, virtually all of our income allocated to organizations exempt from federal income tax, including individual retirement accounts and other retirement plans, will be unrelated business taxable income and will be taxable to them. Recent legislation treats net income derived from the ownership of certain publicly traded partnerships (including us) as qualifying income to a regulated investment company. However, this legislation is only effective for taxable years beginning after October 22, 2004, the date of enactment. For taxable years beginning on or before the date of enactment, very little of our income will be qualifying income to a regulated investment company. Distributions to foreign persons will be reduced by withholding taxes at the highest effective U.S. federal income tax rate for individuals, and foreign persons will be required to file federal income tax returns and pay tax on their share of our taxable income. </w:t>
      </w:r>
    </w:p>
    <w:p>
      <w:pPr>
        <w:pStyle w:val="TextBody"/>
        <w:rPr/>
      </w:pPr>
      <w:r>
        <w:rPr/>
        <w:t>        </w:t>
      </w:r>
      <w:r>
        <w:rPr>
          <w:b/>
          <w:i/>
          <w:sz w:val="20"/>
        </w:rPr>
        <w:t>We treat a purchaser of units as having the same tax benefits without regard to the units purchased. The IRS may challenge this treatment, which could adversely affect the value of the units.</w:t>
      </w:r>
    </w:p>
    <w:p>
      <w:pPr>
        <w:pStyle w:val="TextBody"/>
        <w:rPr/>
      </w:pPr>
      <w:r>
        <w:rPr/>
        <w:t>        </w:t>
      </w:r>
      <w:r>
        <w:rPr>
          <w:sz w:val="20"/>
        </w:rPr>
        <w:t xml:space="preserve">Because we cannot match transferors and transferees of common units, we have adopted depreciation and amortization positions that do not conform with all aspects of the Treasury regulations. A successful IRS challenge to those positions could adversely affect the amount of tax benefits available to you. It also could affect the timing of these tax benefits or the amount of gain from your sale of common units and could have a negative impact on the value of the common units or result in audit adjustments to your tax returns. Please read "Tax ConsiderationsUniformity of Units" in this prospectus for further discussion of the effect of the depreciation and amortization positions we have adopted. </w:t>
      </w:r>
    </w:p>
    <w:p>
      <w:pPr>
        <w:pStyle w:val="TextBody"/>
        <w:rPr/>
      </w:pPr>
      <w:r>
        <w:rPr/>
        <w:t>        </w:t>
      </w:r>
      <w:r>
        <w:rPr>
          <w:b/>
          <w:i/>
          <w:sz w:val="20"/>
        </w:rPr>
        <w:t>You will likely be subject to foreign, state and local taxes in jurisdictions where you do not live as a result of an investment in units.</w:t>
      </w:r>
    </w:p>
    <w:p>
      <w:pPr>
        <w:pStyle w:val="TextBody"/>
        <w:rPr/>
      </w:pPr>
      <w:r>
        <w:rPr/>
        <w:t>        </w:t>
      </w:r>
      <w:r>
        <w:rPr>
          <w:sz w:val="20"/>
        </w:rPr>
        <w:t xml:space="preserve">In addition to federal income taxes, you will likely be subject to other taxes, including foreign taxes, state and local taxes, unincorporated business taxes and estate, inheritance or intangible taxes that are imposed by the various jurisdictions in which we do business or own property and in which you do not reside. We own property and conduct business in Canada and in most states in the United States. You may be required to file Canadian federal income tax returns and to pay Canadian federal and provincial income taxes and to file state and local income tax returns and pay state and local income taxes in many or all of the jurisdictions in which we do business or own property. Further, you may be subject to penalties for failure to comply with those requirements. It is your responsibility to file all federal, state, local and foreign tax returns. Our counsel has not rendered an opinion on the foreign, state or local tax consequences of an investment in the common units. </w:t>
      </w:r>
    </w:p>
    <w:p>
      <w:pPr>
        <w:pStyle w:val="TextBody"/>
        <w:jc w:val="center"/>
        <w:rPr>
          <w:sz w:val="20"/>
        </w:rPr>
      </w:pPr>
      <w:r>
        <w:rPr>
          <w:sz w:val="20"/>
        </w:rPr>
        <w:t>13</w:t>
      </w:r>
    </w:p>
    <w:p>
      <w:pPr>
        <w:pStyle w:val="HorizontalLine"/>
        <w:pBdr>
          <w:bottom w:val="single" w:sz="20" w:space="0" w:color="808080"/>
        </w:pBdr>
        <w:rPr/>
      </w:pPr>
      <w:r>
        <w:rPr/>
      </w:r>
      <w:r>
        <w:br w:type="page"/>
      </w:r>
    </w:p>
    <w:p>
      <w:pPr>
        <w:pStyle w:val="TextBody"/>
        <w:jc w:val="center"/>
        <w:rPr/>
      </w:pPr>
      <w:bookmarkStart w:id="56" w:name="toc_dg1086_1"/>
      <w:bookmarkStart w:id="57" w:name="dg1086_use_of_proceeds"/>
      <w:bookmarkStart w:id="58" w:name="page_dg1086_1_14"/>
      <w:bookmarkEnd w:id="56"/>
      <w:bookmarkEnd w:id="57"/>
      <w:bookmarkEnd w:id="58"/>
      <w:r>
        <w:rPr>
          <w:sz w:val="20"/>
        </w:rPr>
        <w:br/>
      </w:r>
      <w:r>
        <w:rPr>
          <w:b/>
          <w:sz w:val="20"/>
        </w:rPr>
        <w:t xml:space="preserve">USE OF PROCEEDS </w:t>
      </w:r>
    </w:p>
    <w:p>
      <w:pPr>
        <w:pStyle w:val="TextBody"/>
        <w:rPr/>
      </w:pPr>
      <w:r>
        <w:rPr/>
        <w:t>        </w:t>
      </w:r>
      <w:r>
        <w:rPr>
          <w:sz w:val="20"/>
        </w:rPr>
        <w:t xml:space="preserve">Unless otherwise indicated to the contrary in an accompanying prospectus supplement, we will use the net proceeds from the sale of securities covered by this prospectus for general partnership purposes, which may include repayment of indebtedness, the acquisition of businesses and other capital expenditures and additions to working capital. </w:t>
      </w:r>
    </w:p>
    <w:p>
      <w:pPr>
        <w:pStyle w:val="TextBody"/>
        <w:jc w:val="center"/>
        <w:rPr/>
      </w:pPr>
      <w:bookmarkStart w:id="59" w:name="toc_dg1086_2"/>
      <w:bookmarkStart w:id="60" w:name="dg1086_ratio_of_earnings_to_fixed_charge"/>
      <w:bookmarkEnd w:id="59"/>
      <w:bookmarkEnd w:id="60"/>
      <w:r>
        <w:rPr>
          <w:sz w:val="20"/>
        </w:rPr>
        <w:br/>
      </w:r>
      <w:r>
        <w:rPr>
          <w:b/>
          <w:sz w:val="20"/>
        </w:rPr>
        <w:t xml:space="preserve">RATIO OF EARNINGS TO FIXED CHARGES </w:t>
      </w:r>
    </w:p>
    <w:tbl>
      <w:tblPr>
        <w:tblW w:w="4450" w:type="pct"/>
        <w:jc w:val="left"/>
        <w:tblInd w:w="0" w:type="dxa"/>
        <w:tblCellMar>
          <w:top w:w="0" w:type="dxa"/>
          <w:left w:w="0" w:type="dxa"/>
          <w:bottom w:w="0" w:type="dxa"/>
          <w:right w:w="0" w:type="dxa"/>
        </w:tblCellMar>
      </w:tblPr>
      <w:tblGrid>
        <w:gridCol w:w="4311"/>
        <w:gridCol w:w="187"/>
        <w:gridCol w:w="1311"/>
        <w:gridCol w:w="187"/>
        <w:gridCol w:w="468"/>
        <w:gridCol w:w="186"/>
        <w:gridCol w:w="468"/>
        <w:gridCol w:w="187"/>
        <w:gridCol w:w="468"/>
        <w:gridCol w:w="186"/>
        <w:gridCol w:w="468"/>
        <w:gridCol w:w="187"/>
        <w:gridCol w:w="468"/>
      </w:tblGrid>
      <w:tr>
        <w:trPr/>
        <w:tc>
          <w:tcPr>
            <w:tcW w:w="4311" w:type="dxa"/>
            <w:tcBorders/>
            <w:shd w:fill="auto" w:val="clear"/>
            <w:vAlign w:val="bottom"/>
          </w:tcPr>
          <w:p>
            <w:pPr>
              <w:pStyle w:val="TableHeading"/>
              <w:spacing w:before="0" w:after="283"/>
              <w:jc w:val="left"/>
              <w:rPr/>
            </w:pPr>
            <w:r>
              <w:rPr/>
              <w:t> </w:t>
            </w:r>
          </w:p>
        </w:tc>
        <w:tc>
          <w:tcPr>
            <w:tcW w:w="187" w:type="dxa"/>
            <w:vMerge w:val="restart"/>
            <w:tcBorders/>
            <w:shd w:fill="auto" w:val="clear"/>
            <w:vAlign w:val="bottom"/>
          </w:tcPr>
          <w:p>
            <w:pPr>
              <w:pStyle w:val="TableHeading"/>
              <w:suppressLineNumbers/>
              <w:spacing w:before="0" w:after="283"/>
              <w:jc w:val="center"/>
              <w:rPr/>
            </w:pPr>
            <w:r>
              <w:rPr/>
              <w:t> </w:t>
            </w:r>
          </w:p>
        </w:tc>
        <w:tc>
          <w:tcPr>
            <w:tcW w:w="1311" w:type="dxa"/>
            <w:vMerge w:val="restart"/>
            <w:tcBorders/>
            <w:shd w:fill="auto" w:val="clear"/>
            <w:vAlign w:val="bottom"/>
          </w:tcPr>
          <w:p>
            <w:pPr>
              <w:pStyle w:val="TableHeading"/>
              <w:spacing w:before="0" w:after="0"/>
              <w:jc w:val="center"/>
              <w:rPr>
                <w:b/>
                <w:sz w:val="14"/>
              </w:rPr>
            </w:pPr>
            <w:r>
              <w:rPr>
                <w:b/>
                <w:sz w:val="14"/>
              </w:rPr>
              <w:t>Three Months</w:t>
              <w:br/>
              <w:t>Ended</w:t>
              <w:br/>
              <w:t>March 31,</w:t>
              <w:br/>
              <w:t>2005</w:t>
            </w:r>
          </w:p>
          <w:p>
            <w:pPr>
              <w:pStyle w:val="HorizontalLine"/>
              <w:pBdr>
                <w:bottom w:val="single" w:sz="20" w:space="0" w:color="808080"/>
              </w:pBdr>
              <w:spacing w:before="0" w:after="283"/>
              <w:rPr/>
            </w:pPr>
            <w:r>
              <w:rPr/>
            </w:r>
          </w:p>
        </w:tc>
        <w:tc>
          <w:tcPr>
            <w:tcW w:w="187" w:type="dxa"/>
            <w:tcBorders/>
            <w:shd w:fill="auto" w:val="clear"/>
            <w:vAlign w:val="bottom"/>
          </w:tcPr>
          <w:p>
            <w:pPr>
              <w:pStyle w:val="TableHeading"/>
              <w:suppressLineNumbers/>
              <w:spacing w:before="0" w:after="283"/>
              <w:jc w:val="center"/>
              <w:rPr/>
            </w:pPr>
            <w:r>
              <w:rPr/>
              <w:t> </w:t>
            </w:r>
          </w:p>
        </w:tc>
        <w:tc>
          <w:tcPr>
            <w:tcW w:w="3086" w:type="dxa"/>
            <w:gridSpan w:val="9"/>
            <w:tcBorders/>
            <w:shd w:fill="auto" w:val="clear"/>
            <w:vAlign w:val="bottom"/>
          </w:tcPr>
          <w:p>
            <w:pPr>
              <w:pStyle w:val="TableHeading"/>
              <w:spacing w:before="0" w:after="0"/>
              <w:jc w:val="center"/>
              <w:rPr>
                <w:b/>
                <w:sz w:val="14"/>
              </w:rPr>
            </w:pPr>
            <w:r>
              <w:rPr>
                <w:b/>
                <w:sz w:val="14"/>
              </w:rPr>
              <w:t>Year Ended December 31,</w:t>
            </w:r>
          </w:p>
          <w:p>
            <w:pPr>
              <w:pStyle w:val="HorizontalLine"/>
              <w:pBdr>
                <w:bottom w:val="single" w:sz="20" w:space="0" w:color="808080"/>
              </w:pBdr>
              <w:spacing w:before="0" w:after="283"/>
              <w:rPr/>
            </w:pPr>
            <w:r>
              <w:rPr/>
            </w:r>
          </w:p>
        </w:tc>
      </w:tr>
      <w:tr>
        <w:trPr/>
        <w:tc>
          <w:tcPr>
            <w:tcW w:w="4311" w:type="dxa"/>
            <w:tcBorders/>
            <w:shd w:fill="auto" w:val="clear"/>
            <w:vAlign w:val="bottom"/>
          </w:tcPr>
          <w:p>
            <w:pPr>
              <w:pStyle w:val="TableHeading"/>
              <w:spacing w:before="0" w:after="283"/>
              <w:jc w:val="left"/>
              <w:rPr/>
            </w:pPr>
            <w:r>
              <w:rPr/>
              <w:t> </w:t>
            </w:r>
          </w:p>
        </w:tc>
        <w:tc>
          <w:tcPr>
            <w:tcW w:w="187" w:type="dxa"/>
            <w:vMerge w:val="continue"/>
            <w:tcBorders/>
            <w:shd w:fill="auto" w:val="clear"/>
            <w:vAlign w:val="bottom"/>
          </w:tcPr>
          <w:p>
            <w:pPr>
              <w:pStyle w:val="Normal"/>
              <w:rPr/>
            </w:pPr>
            <w:r>
              <w:rPr/>
            </w:r>
          </w:p>
        </w:tc>
        <w:tc>
          <w:tcPr>
            <w:tcW w:w="1311" w:type="dxa"/>
            <w:vMerge w:val="continue"/>
            <w:tcBorders/>
            <w:shd w:fill="auto" w:val="clear"/>
            <w:vAlign w:val="bottom"/>
          </w:tcPr>
          <w:p>
            <w:pPr>
              <w:pStyle w:val="Normal"/>
              <w:rPr/>
            </w:pPr>
            <w:r>
              <w:rPr/>
            </w:r>
          </w:p>
        </w:tc>
        <w:tc>
          <w:tcPr>
            <w:tcW w:w="187" w:type="dxa"/>
            <w:tcBorders/>
            <w:shd w:fill="auto" w:val="clear"/>
            <w:vAlign w:val="bottom"/>
          </w:tcPr>
          <w:p>
            <w:pPr>
              <w:pStyle w:val="TableHeading"/>
              <w:suppressLineNumbers/>
              <w:spacing w:before="0" w:after="283"/>
              <w:jc w:val="center"/>
              <w:rPr/>
            </w:pPr>
            <w:r>
              <w:rPr/>
              <w:t> </w:t>
            </w:r>
          </w:p>
        </w:tc>
        <w:tc>
          <w:tcPr>
            <w:tcW w:w="468" w:type="dxa"/>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c>
          <w:tcPr>
            <w:tcW w:w="186" w:type="dxa"/>
            <w:tcBorders/>
            <w:shd w:fill="auto" w:val="clear"/>
            <w:vAlign w:val="bottom"/>
          </w:tcPr>
          <w:p>
            <w:pPr>
              <w:pStyle w:val="TableHeading"/>
              <w:suppressLineNumbers/>
              <w:spacing w:before="0" w:after="283"/>
              <w:jc w:val="center"/>
              <w:rPr/>
            </w:pPr>
            <w:r>
              <w:rPr/>
              <w:t> </w:t>
            </w:r>
          </w:p>
        </w:tc>
        <w:tc>
          <w:tcPr>
            <w:tcW w:w="468" w:type="dxa"/>
            <w:tcBorders/>
            <w:shd w:fill="auto" w:val="clear"/>
            <w:vAlign w:val="bottom"/>
          </w:tcPr>
          <w:p>
            <w:pPr>
              <w:pStyle w:val="TableHeading"/>
              <w:spacing w:before="0" w:after="0"/>
              <w:jc w:val="center"/>
              <w:rPr>
                <w:b/>
                <w:sz w:val="14"/>
              </w:rPr>
            </w:pPr>
            <w:r>
              <w:rPr>
                <w:b/>
                <w:sz w:val="14"/>
              </w:rPr>
              <w:t>2003</w:t>
            </w:r>
          </w:p>
          <w:p>
            <w:pPr>
              <w:pStyle w:val="HorizontalLine"/>
              <w:pBdr>
                <w:bottom w:val="single" w:sz="20" w:space="0" w:color="808080"/>
              </w:pBdr>
              <w:spacing w:before="0" w:after="283"/>
              <w:rPr/>
            </w:pPr>
            <w:r>
              <w:rPr/>
            </w:r>
          </w:p>
        </w:tc>
        <w:tc>
          <w:tcPr>
            <w:tcW w:w="187" w:type="dxa"/>
            <w:tcBorders/>
            <w:shd w:fill="auto" w:val="clear"/>
            <w:vAlign w:val="bottom"/>
          </w:tcPr>
          <w:p>
            <w:pPr>
              <w:pStyle w:val="TableHeading"/>
              <w:suppressLineNumbers/>
              <w:spacing w:before="0" w:after="283"/>
              <w:jc w:val="center"/>
              <w:rPr/>
            </w:pPr>
            <w:r>
              <w:rPr/>
              <w:t> </w:t>
            </w:r>
          </w:p>
        </w:tc>
        <w:tc>
          <w:tcPr>
            <w:tcW w:w="468" w:type="dxa"/>
            <w:tcBorders/>
            <w:shd w:fill="auto" w:val="clear"/>
            <w:vAlign w:val="bottom"/>
          </w:tcPr>
          <w:p>
            <w:pPr>
              <w:pStyle w:val="TableHeading"/>
              <w:spacing w:before="0" w:after="0"/>
              <w:jc w:val="center"/>
              <w:rPr>
                <w:b/>
                <w:sz w:val="14"/>
              </w:rPr>
            </w:pPr>
            <w:r>
              <w:rPr>
                <w:b/>
                <w:sz w:val="14"/>
              </w:rPr>
              <w:t>2002</w:t>
            </w:r>
          </w:p>
          <w:p>
            <w:pPr>
              <w:pStyle w:val="HorizontalLine"/>
              <w:pBdr>
                <w:bottom w:val="single" w:sz="20" w:space="0" w:color="808080"/>
              </w:pBdr>
              <w:spacing w:before="0" w:after="283"/>
              <w:rPr/>
            </w:pPr>
            <w:r>
              <w:rPr/>
            </w:r>
          </w:p>
        </w:tc>
        <w:tc>
          <w:tcPr>
            <w:tcW w:w="186" w:type="dxa"/>
            <w:tcBorders/>
            <w:shd w:fill="auto" w:val="clear"/>
            <w:vAlign w:val="bottom"/>
          </w:tcPr>
          <w:p>
            <w:pPr>
              <w:pStyle w:val="TableHeading"/>
              <w:suppressLineNumbers/>
              <w:spacing w:before="0" w:after="283"/>
              <w:jc w:val="center"/>
              <w:rPr/>
            </w:pPr>
            <w:r>
              <w:rPr/>
              <w:t> </w:t>
            </w:r>
          </w:p>
        </w:tc>
        <w:tc>
          <w:tcPr>
            <w:tcW w:w="468" w:type="dxa"/>
            <w:tcBorders/>
            <w:shd w:fill="auto" w:val="clear"/>
            <w:vAlign w:val="bottom"/>
          </w:tcPr>
          <w:p>
            <w:pPr>
              <w:pStyle w:val="TableHeading"/>
              <w:spacing w:before="0" w:after="0"/>
              <w:jc w:val="center"/>
              <w:rPr>
                <w:b/>
                <w:sz w:val="14"/>
              </w:rPr>
            </w:pPr>
            <w:r>
              <w:rPr>
                <w:b/>
                <w:sz w:val="14"/>
              </w:rPr>
              <w:t>2001</w:t>
            </w:r>
          </w:p>
          <w:p>
            <w:pPr>
              <w:pStyle w:val="HorizontalLine"/>
              <w:pBdr>
                <w:bottom w:val="single" w:sz="20" w:space="0" w:color="808080"/>
              </w:pBdr>
              <w:spacing w:before="0" w:after="283"/>
              <w:rPr/>
            </w:pPr>
            <w:r>
              <w:rPr/>
            </w:r>
          </w:p>
        </w:tc>
        <w:tc>
          <w:tcPr>
            <w:tcW w:w="187" w:type="dxa"/>
            <w:tcBorders/>
            <w:shd w:fill="auto" w:val="clear"/>
            <w:vAlign w:val="bottom"/>
          </w:tcPr>
          <w:p>
            <w:pPr>
              <w:pStyle w:val="TableHeading"/>
              <w:suppressLineNumbers/>
              <w:spacing w:before="0" w:after="283"/>
              <w:jc w:val="center"/>
              <w:rPr/>
            </w:pPr>
            <w:r>
              <w:rPr/>
              <w:t> </w:t>
            </w:r>
          </w:p>
        </w:tc>
        <w:tc>
          <w:tcPr>
            <w:tcW w:w="468" w:type="dxa"/>
            <w:tcBorders/>
            <w:shd w:fill="auto" w:val="clear"/>
            <w:vAlign w:val="bottom"/>
          </w:tcPr>
          <w:p>
            <w:pPr>
              <w:pStyle w:val="TableHeading"/>
              <w:spacing w:before="0" w:after="0"/>
              <w:jc w:val="center"/>
              <w:rPr>
                <w:b/>
                <w:sz w:val="14"/>
              </w:rPr>
            </w:pPr>
            <w:r>
              <w:rPr>
                <w:b/>
                <w:sz w:val="14"/>
              </w:rPr>
              <w:t>2000</w:t>
            </w:r>
          </w:p>
          <w:p>
            <w:pPr>
              <w:pStyle w:val="HorizontalLine"/>
              <w:pBdr>
                <w:bottom w:val="single" w:sz="20" w:space="0" w:color="808080"/>
              </w:pBdr>
              <w:spacing w:before="0" w:after="283"/>
              <w:rPr/>
            </w:pPr>
            <w:r>
              <w:rPr/>
            </w:r>
          </w:p>
        </w:tc>
      </w:tr>
      <w:tr>
        <w:trPr/>
        <w:tc>
          <w:tcPr>
            <w:tcW w:w="4311" w:type="dxa"/>
            <w:tcBorders/>
            <w:shd w:fill="CCEEFF" w:val="clear"/>
          </w:tcPr>
          <w:p>
            <w:pPr>
              <w:pStyle w:val="TableContents"/>
              <w:spacing w:before="0" w:after="283"/>
              <w:rPr>
                <w:sz w:val="20"/>
              </w:rPr>
            </w:pPr>
            <w:r>
              <w:rPr>
                <w:sz w:val="20"/>
              </w:rPr>
              <w:t>Ratio of Earnings to Fixed Charges</w:t>
            </w:r>
          </w:p>
        </w:tc>
        <w:tc>
          <w:tcPr>
            <w:tcW w:w="187" w:type="dxa"/>
            <w:tcBorders/>
            <w:shd w:fill="CCEEFF" w:val="clear"/>
          </w:tcPr>
          <w:p>
            <w:pPr>
              <w:pStyle w:val="TableContents"/>
              <w:spacing w:before="0" w:after="283"/>
              <w:rPr/>
            </w:pPr>
            <w:r>
              <w:rPr/>
              <w:t> </w:t>
            </w:r>
          </w:p>
        </w:tc>
        <w:tc>
          <w:tcPr>
            <w:tcW w:w="1311" w:type="dxa"/>
            <w:tcBorders/>
            <w:shd w:fill="CCEEFF" w:val="clear"/>
          </w:tcPr>
          <w:p>
            <w:pPr>
              <w:pStyle w:val="TableContents"/>
              <w:spacing w:before="0" w:after="283"/>
              <w:jc w:val="right"/>
              <w:rPr>
                <w:sz w:val="20"/>
              </w:rPr>
            </w:pPr>
            <w:r>
              <w:rPr>
                <w:sz w:val="20"/>
              </w:rPr>
              <w:t>2.93</w:t>
            </w:r>
          </w:p>
        </w:tc>
        <w:tc>
          <w:tcPr>
            <w:tcW w:w="187" w:type="dxa"/>
            <w:tcBorders/>
            <w:shd w:fill="CCEEFF" w:val="clear"/>
          </w:tcPr>
          <w:p>
            <w:pPr>
              <w:pStyle w:val="TableContents"/>
              <w:spacing w:before="0" w:after="283"/>
              <w:rPr/>
            </w:pPr>
            <w:r>
              <w:rPr/>
              <w:t> </w:t>
            </w:r>
          </w:p>
        </w:tc>
        <w:tc>
          <w:tcPr>
            <w:tcW w:w="468" w:type="dxa"/>
            <w:tcBorders/>
            <w:shd w:fill="CCEEFF" w:val="clear"/>
          </w:tcPr>
          <w:p>
            <w:pPr>
              <w:pStyle w:val="TableContents"/>
              <w:spacing w:before="0" w:after="283"/>
              <w:jc w:val="right"/>
              <w:rPr>
                <w:sz w:val="20"/>
              </w:rPr>
            </w:pPr>
            <w:r>
              <w:rPr>
                <w:sz w:val="20"/>
              </w:rPr>
              <w:t>3.46</w:t>
            </w:r>
          </w:p>
        </w:tc>
        <w:tc>
          <w:tcPr>
            <w:tcW w:w="186" w:type="dxa"/>
            <w:tcBorders/>
            <w:shd w:fill="CCEEFF" w:val="clear"/>
          </w:tcPr>
          <w:p>
            <w:pPr>
              <w:pStyle w:val="TableContents"/>
              <w:spacing w:before="0" w:after="283"/>
              <w:rPr/>
            </w:pPr>
            <w:r>
              <w:rPr/>
              <w:t> </w:t>
            </w:r>
          </w:p>
        </w:tc>
        <w:tc>
          <w:tcPr>
            <w:tcW w:w="468" w:type="dxa"/>
            <w:tcBorders/>
            <w:shd w:fill="CCEEFF" w:val="clear"/>
          </w:tcPr>
          <w:p>
            <w:pPr>
              <w:pStyle w:val="TableContents"/>
              <w:spacing w:before="0" w:after="283"/>
              <w:jc w:val="right"/>
              <w:rPr>
                <w:sz w:val="20"/>
              </w:rPr>
            </w:pPr>
            <w:r>
              <w:rPr>
                <w:sz w:val="20"/>
              </w:rPr>
              <w:t>2.39</w:t>
            </w:r>
          </w:p>
        </w:tc>
        <w:tc>
          <w:tcPr>
            <w:tcW w:w="187" w:type="dxa"/>
            <w:tcBorders/>
            <w:shd w:fill="CCEEFF" w:val="clear"/>
          </w:tcPr>
          <w:p>
            <w:pPr>
              <w:pStyle w:val="TableContents"/>
              <w:spacing w:before="0" w:after="283"/>
              <w:rPr/>
            </w:pPr>
            <w:r>
              <w:rPr/>
              <w:t> </w:t>
            </w:r>
          </w:p>
        </w:tc>
        <w:tc>
          <w:tcPr>
            <w:tcW w:w="468" w:type="dxa"/>
            <w:tcBorders/>
            <w:shd w:fill="CCEEFF" w:val="clear"/>
          </w:tcPr>
          <w:p>
            <w:pPr>
              <w:pStyle w:val="TableContents"/>
              <w:spacing w:before="0" w:after="283"/>
              <w:jc w:val="right"/>
              <w:rPr>
                <w:sz w:val="20"/>
              </w:rPr>
            </w:pPr>
            <w:r>
              <w:rPr>
                <w:sz w:val="20"/>
              </w:rPr>
              <w:t>2.77</w:t>
            </w:r>
          </w:p>
        </w:tc>
        <w:tc>
          <w:tcPr>
            <w:tcW w:w="186" w:type="dxa"/>
            <w:tcBorders/>
            <w:shd w:fill="CCEEFF" w:val="clear"/>
          </w:tcPr>
          <w:p>
            <w:pPr>
              <w:pStyle w:val="TableContents"/>
              <w:spacing w:before="0" w:after="283"/>
              <w:rPr/>
            </w:pPr>
            <w:r>
              <w:rPr/>
              <w:t> </w:t>
            </w:r>
          </w:p>
        </w:tc>
        <w:tc>
          <w:tcPr>
            <w:tcW w:w="468" w:type="dxa"/>
            <w:tcBorders/>
            <w:shd w:fill="CCEEFF" w:val="clear"/>
          </w:tcPr>
          <w:p>
            <w:pPr>
              <w:pStyle w:val="TableContents"/>
              <w:spacing w:before="0" w:after="283"/>
              <w:jc w:val="right"/>
              <w:rPr>
                <w:sz w:val="20"/>
              </w:rPr>
            </w:pPr>
            <w:r>
              <w:rPr>
                <w:sz w:val="20"/>
              </w:rPr>
              <w:t>2.26</w:t>
            </w:r>
          </w:p>
        </w:tc>
        <w:tc>
          <w:tcPr>
            <w:tcW w:w="187" w:type="dxa"/>
            <w:tcBorders/>
            <w:shd w:fill="CCEEFF" w:val="clear"/>
          </w:tcPr>
          <w:p>
            <w:pPr>
              <w:pStyle w:val="TableContents"/>
              <w:spacing w:before="0" w:after="283"/>
              <w:rPr/>
            </w:pPr>
            <w:r>
              <w:rPr/>
              <w:t> </w:t>
            </w:r>
          </w:p>
        </w:tc>
        <w:tc>
          <w:tcPr>
            <w:tcW w:w="468" w:type="dxa"/>
            <w:tcBorders/>
            <w:shd w:fill="CCEEFF" w:val="clear"/>
          </w:tcPr>
          <w:p>
            <w:pPr>
              <w:pStyle w:val="TableContents"/>
              <w:spacing w:before="0" w:after="283"/>
              <w:jc w:val="right"/>
              <w:rPr>
                <w:sz w:val="20"/>
              </w:rPr>
            </w:pPr>
            <w:r>
              <w:rPr>
                <w:sz w:val="20"/>
              </w:rPr>
              <w:t>3.33</w:t>
            </w:r>
          </w:p>
        </w:tc>
      </w:tr>
      <w:tr>
        <w:trPr/>
        <w:tc>
          <w:tcPr>
            <w:tcW w:w="4311"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1311" w:type="dxa"/>
            <w:tcBorders/>
            <w:shd w:fill="auto" w:val="clear"/>
          </w:tcPr>
          <w:p>
            <w:pPr>
              <w:pStyle w:val="HorizontalLine"/>
              <w:pBdr>
                <w:bottom w:val="single" w:sz="24" w:space="0" w:color="808080"/>
              </w:pBdr>
              <w:spacing w:before="0" w:after="283"/>
              <w:rPr/>
            </w:pPr>
            <w:r>
              <w:rPr/>
            </w:r>
          </w:p>
        </w:tc>
        <w:tc>
          <w:tcPr>
            <w:tcW w:w="187" w:type="dxa"/>
            <w:tcBorders/>
            <w:shd w:fill="auto" w:val="clear"/>
          </w:tcPr>
          <w:p>
            <w:pPr>
              <w:pStyle w:val="TableContents"/>
              <w:spacing w:before="0" w:after="283"/>
              <w:rPr/>
            </w:pPr>
            <w:r>
              <w:rPr/>
              <w:t> </w:t>
            </w:r>
          </w:p>
        </w:tc>
        <w:tc>
          <w:tcPr>
            <w:tcW w:w="468" w:type="dxa"/>
            <w:tcBorders/>
            <w:shd w:fill="auto" w:val="clear"/>
          </w:tcPr>
          <w:p>
            <w:pPr>
              <w:pStyle w:val="HorizontalLine"/>
              <w:pBdr>
                <w:bottom w:val="single" w:sz="24" w:space="0" w:color="808080"/>
              </w:pBdr>
              <w:spacing w:before="0" w:after="283"/>
              <w:rPr/>
            </w:pPr>
            <w:r>
              <w:rPr/>
            </w:r>
          </w:p>
        </w:tc>
        <w:tc>
          <w:tcPr>
            <w:tcW w:w="186" w:type="dxa"/>
            <w:tcBorders/>
            <w:shd w:fill="auto" w:val="clear"/>
          </w:tcPr>
          <w:p>
            <w:pPr>
              <w:pStyle w:val="TableContents"/>
              <w:spacing w:before="0" w:after="283"/>
              <w:rPr/>
            </w:pPr>
            <w:r>
              <w:rPr/>
              <w:t> </w:t>
            </w:r>
          </w:p>
        </w:tc>
        <w:tc>
          <w:tcPr>
            <w:tcW w:w="468" w:type="dxa"/>
            <w:tcBorders/>
            <w:shd w:fill="auto" w:val="clear"/>
          </w:tcPr>
          <w:p>
            <w:pPr>
              <w:pStyle w:val="HorizontalLine"/>
              <w:pBdr>
                <w:bottom w:val="single" w:sz="24" w:space="0" w:color="808080"/>
              </w:pBdr>
              <w:spacing w:before="0" w:after="283"/>
              <w:rPr/>
            </w:pPr>
            <w:r>
              <w:rPr/>
            </w:r>
          </w:p>
        </w:tc>
        <w:tc>
          <w:tcPr>
            <w:tcW w:w="187" w:type="dxa"/>
            <w:tcBorders/>
            <w:shd w:fill="auto" w:val="clear"/>
          </w:tcPr>
          <w:p>
            <w:pPr>
              <w:pStyle w:val="TableContents"/>
              <w:spacing w:before="0" w:after="283"/>
              <w:rPr/>
            </w:pPr>
            <w:r>
              <w:rPr/>
              <w:t> </w:t>
            </w:r>
          </w:p>
        </w:tc>
        <w:tc>
          <w:tcPr>
            <w:tcW w:w="468" w:type="dxa"/>
            <w:tcBorders/>
            <w:shd w:fill="auto" w:val="clear"/>
          </w:tcPr>
          <w:p>
            <w:pPr>
              <w:pStyle w:val="HorizontalLine"/>
              <w:pBdr>
                <w:bottom w:val="single" w:sz="24" w:space="0" w:color="808080"/>
              </w:pBdr>
              <w:spacing w:before="0" w:after="283"/>
              <w:rPr/>
            </w:pPr>
            <w:r>
              <w:rPr/>
            </w:r>
          </w:p>
        </w:tc>
        <w:tc>
          <w:tcPr>
            <w:tcW w:w="186" w:type="dxa"/>
            <w:tcBorders/>
            <w:shd w:fill="auto" w:val="clear"/>
          </w:tcPr>
          <w:p>
            <w:pPr>
              <w:pStyle w:val="TableContents"/>
              <w:spacing w:before="0" w:after="283"/>
              <w:rPr/>
            </w:pPr>
            <w:r>
              <w:rPr/>
              <w:t> </w:t>
            </w:r>
          </w:p>
        </w:tc>
        <w:tc>
          <w:tcPr>
            <w:tcW w:w="468" w:type="dxa"/>
            <w:tcBorders/>
            <w:shd w:fill="auto" w:val="clear"/>
          </w:tcPr>
          <w:p>
            <w:pPr>
              <w:pStyle w:val="HorizontalLine"/>
              <w:pBdr>
                <w:bottom w:val="single" w:sz="24" w:space="0" w:color="808080"/>
              </w:pBdr>
              <w:spacing w:before="0" w:after="283"/>
              <w:rPr/>
            </w:pPr>
            <w:r>
              <w:rPr/>
            </w:r>
          </w:p>
        </w:tc>
        <w:tc>
          <w:tcPr>
            <w:tcW w:w="187" w:type="dxa"/>
            <w:tcBorders/>
            <w:shd w:fill="auto" w:val="clear"/>
          </w:tcPr>
          <w:p>
            <w:pPr>
              <w:pStyle w:val="TableContents"/>
              <w:spacing w:before="0" w:after="283"/>
              <w:rPr/>
            </w:pPr>
            <w:r>
              <w:rPr/>
              <w:t> </w:t>
            </w:r>
          </w:p>
        </w:tc>
        <w:tc>
          <w:tcPr>
            <w:tcW w:w="468" w:type="dxa"/>
            <w:tcBorders/>
            <w:shd w:fill="auto" w:val="clear"/>
          </w:tcPr>
          <w:p>
            <w:pPr>
              <w:pStyle w:val="HorizontalLine"/>
              <w:pBdr>
                <w:bottom w:val="single" w:sz="24" w:space="0" w:color="808080"/>
              </w:pBdr>
              <w:spacing w:before="0" w:after="283"/>
              <w:rPr/>
            </w:pPr>
            <w:r>
              <w:rPr/>
            </w:r>
          </w:p>
        </w:tc>
      </w:tr>
    </w:tbl>
    <w:p>
      <w:pPr>
        <w:pStyle w:val="TextBody"/>
        <w:jc w:val="center"/>
        <w:rPr>
          <w:sz w:val="20"/>
        </w:rPr>
      </w:pPr>
      <w:r>
        <w:rPr>
          <w:sz w:val="20"/>
        </w:rPr>
        <w:t>14</w:t>
      </w:r>
    </w:p>
    <w:p>
      <w:pPr>
        <w:pStyle w:val="HorizontalLine"/>
        <w:pBdr>
          <w:bottom w:val="single" w:sz="20" w:space="0" w:color="808080"/>
        </w:pBdr>
        <w:rPr/>
      </w:pPr>
      <w:r>
        <w:rPr/>
      </w:r>
      <w:r>
        <w:br w:type="page"/>
      </w:r>
    </w:p>
    <w:p>
      <w:pPr>
        <w:pStyle w:val="TextBody"/>
        <w:jc w:val="center"/>
        <w:rPr/>
      </w:pPr>
      <w:bookmarkStart w:id="61" w:name="toc_dg1086_3"/>
      <w:bookmarkStart w:id="62" w:name="dg1086_description_of_our_debt_securitie"/>
      <w:bookmarkStart w:id="63" w:name="page_dg1086_1_15"/>
      <w:bookmarkEnd w:id="61"/>
      <w:bookmarkEnd w:id="62"/>
      <w:bookmarkEnd w:id="63"/>
      <w:r>
        <w:rPr>
          <w:sz w:val="20"/>
        </w:rPr>
        <w:br/>
      </w:r>
      <w:r>
        <w:rPr>
          <w:b/>
          <w:sz w:val="20"/>
        </w:rPr>
        <w:t xml:space="preserve">DESCRIPTION OF OUR DEBT SECURITIES </w:t>
      </w:r>
    </w:p>
    <w:p>
      <w:pPr>
        <w:pStyle w:val="TextBody"/>
        <w:rPr>
          <w:b/>
          <w:sz w:val="20"/>
        </w:rPr>
      </w:pPr>
      <w:r>
        <w:rPr>
          <w:b/>
          <w:sz w:val="20"/>
        </w:rPr>
        <w:t xml:space="preserve">General </w:t>
      </w:r>
    </w:p>
    <w:p>
      <w:pPr>
        <w:pStyle w:val="TextBody"/>
        <w:rPr/>
      </w:pPr>
      <w:r>
        <w:rPr/>
        <w:t>        </w:t>
      </w:r>
      <w:r>
        <w:rPr>
          <w:sz w:val="20"/>
        </w:rPr>
        <w:t xml:space="preserve">The debt securities will be: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our direct general obligations;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either senior debt securities or subordinated debt securities;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issued under separate indentures (which may be existing indentures) among us and Wachovia Bank, N.A., as Trustee. </w:t>
      </w:r>
    </w:p>
    <w:p>
      <w:pPr>
        <w:pStyle w:val="TextBody"/>
        <w:rPr/>
      </w:pPr>
      <w:r>
        <w:rPr/>
        <w:t>        </w:t>
      </w:r>
      <w:r>
        <w:rPr>
          <w:sz w:val="20"/>
        </w:rPr>
        <w:t xml:space="preserve">Plains All American Pipeline may issue debt securities in one or more series, and PAA Finance may be a co-issuer of one or more series of debt securities. PAA Finance was incorporated under the laws of the State of Delaware in February 2001, is indirectly wholly owned by Plains All American Pipeline, and has no material assets or any liabilities other than as a co-issuer of debt securities. Its activities will be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 </w:t>
      </w:r>
    </w:p>
    <w:p>
      <w:pPr>
        <w:pStyle w:val="TextBody"/>
        <w:rPr/>
      </w:pPr>
      <w:r>
        <w:rPr/>
        <w:t>        </w:t>
      </w:r>
      <w:r>
        <w:rPr>
          <w:sz w:val="20"/>
        </w:rPr>
        <w:t xml:space="preserve">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 </w:t>
      </w:r>
    </w:p>
    <w:p>
      <w:pPr>
        <w:pStyle w:val="TextBody"/>
        <w:rPr>
          <w:b/>
          <w:sz w:val="20"/>
        </w:rPr>
      </w:pPr>
      <w:r>
        <w:rPr>
          <w:b/>
          <w:sz w:val="20"/>
        </w:rPr>
        <w:t xml:space="preserve">Specific Terms of Each Series of Debt Securities in the Prospectus Supplement </w:t>
      </w:r>
    </w:p>
    <w:p>
      <w:pPr>
        <w:pStyle w:val="TextBody"/>
        <w:rPr/>
      </w:pPr>
      <w:r>
        <w:rPr/>
        <w:t>        </w:t>
      </w:r>
      <w:r>
        <w:rPr>
          <w:sz w:val="20"/>
        </w:rPr>
        <w:t xml:space="preserve">A prospectus supplement and a supplemental indenture or authorizing resolutions relating to any series of debt securities being offered will include specific terms relating to the offering. These terms will include some or all of the following: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whether PAA Finance will be a co-issuer of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guarantors of the debt securities, if any;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whether the debt securities are senior or subordinated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title of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total principal amount of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assets, if any, that are pledged as security for the payment of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whether we will issue the debt securities in individual certificates to each holder in registered form, or in the form of temporary or permanent global securities held by a depository on behalf of holders;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prices at which we will issue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portion of the principal amount that will be payable if the maturity of the debt securities is accelerated;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currency or currency unit in which the debt securities will be payable, if not U.S. dollars;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dates on which the principal of the debt securities will be payable; </w:t>
      </w:r>
    </w:p>
    <w:p>
      <w:pPr>
        <w:pStyle w:val="TextBody"/>
        <w:jc w:val="center"/>
        <w:rPr>
          <w:sz w:val="20"/>
        </w:rPr>
      </w:pPr>
      <w:r>
        <w:rPr>
          <w:sz w:val="20"/>
        </w:rPr>
        <w:t>15</w:t>
      </w:r>
    </w:p>
    <w:p>
      <w:pPr>
        <w:pStyle w:val="HorizontalLine"/>
        <w:pBdr>
          <w:bottom w:val="single" w:sz="20" w:space="0" w:color="808080"/>
        </w:pBdr>
        <w:rPr/>
      </w:pPr>
      <w:r>
        <w:rPr/>
      </w:r>
      <w:r>
        <w:br w:type="page"/>
      </w:r>
    </w:p>
    <w:p>
      <w:pPr>
        <w:pStyle w:val="ListHeading"/>
        <w:numPr>
          <w:ilvl w:val="0"/>
          <w:numId w:val="0"/>
        </w:numPr>
        <w:spacing w:before="0" w:after="0"/>
        <w:ind w:left="707" w:right="0" w:hanging="0"/>
        <w:rPr>
          <w:sz w:val="20"/>
        </w:rPr>
      </w:pPr>
      <w:bookmarkStart w:id="64" w:name="page_dg1086_1_16"/>
      <w:bookmarkEnd w:id="64"/>
      <w:r>
        <w:rPr>
          <w:sz w:val="20"/>
        </w:rPr>
        <w:t></w:t>
      </w:r>
    </w:p>
    <w:p>
      <w:pPr>
        <w:pStyle w:val="ListContents"/>
        <w:numPr>
          <w:ilvl w:val="0"/>
          <w:numId w:val="0"/>
        </w:numPr>
        <w:spacing w:before="0" w:after="283"/>
        <w:ind w:left="1274" w:right="0" w:hanging="0"/>
        <w:rPr>
          <w:sz w:val="20"/>
        </w:rPr>
      </w:pPr>
      <w:r>
        <w:rPr>
          <w:sz w:val="20"/>
        </w:rPr>
        <w:t xml:space="preserve">the interest rate that the debt securities will bear and the interest payment dates for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conversion or exchange provisions;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optional redemption provisions;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sinking fund or other provisions that would obligate us to repurchase or otherwise redeem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changes to or additional events of default or covenants;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other terms of the debt securities. </w:t>
      </w:r>
    </w:p>
    <w:p>
      <w:pPr>
        <w:pStyle w:val="TextBody"/>
        <w:rPr/>
      </w:pPr>
      <w:r>
        <w:rPr/>
        <w:t>        </w:t>
      </w:r>
      <w:r>
        <w:rPr>
          <w:sz w:val="20"/>
        </w:rPr>
        <w:t xml:space="preserve">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 </w:t>
      </w:r>
    </w:p>
    <w:p>
      <w:pPr>
        <w:pStyle w:val="TextBody"/>
        <w:rPr>
          <w:b/>
          <w:sz w:val="20"/>
        </w:rPr>
      </w:pPr>
      <w:r>
        <w:rPr>
          <w:b/>
          <w:sz w:val="20"/>
        </w:rPr>
        <w:t xml:space="preserve">Guarantees </w:t>
      </w:r>
    </w:p>
    <w:p>
      <w:pPr>
        <w:pStyle w:val="TextBody"/>
        <w:rPr/>
      </w:pPr>
      <w:r>
        <w:rPr/>
        <w:t>        </w:t>
      </w:r>
      <w:r>
        <w:rPr>
          <w:sz w:val="20"/>
        </w:rPr>
        <w:t xml:space="preserve">If specified in the prospectus supplement respecting a series of debt securities, the subsidiaries of Plains All American Pipeline specified in the prospectus supplement will unconditionally guarantee to each holder and the Trustee, on a joint and several basis, the full and prompt payment of principal of, premium, if any, and interest on the debt securities of that series when and as the same become due and payable, whether at maturity, upon redemption or repurchase, by declaration of acceleration or otherwise. If a series of debt securities is guaranteed, such series will be guaranteed by all subsidiaries other than "minor" subsidiaries as such term is interpreted in securities regulation governing financial reporting for guarantors. The prospectus supplement will describe any limitation on the maximum amount of any particular guarantee and the conditions under which guarantees may be released. </w:t>
      </w:r>
    </w:p>
    <w:p>
      <w:pPr>
        <w:pStyle w:val="TextBody"/>
        <w:rPr/>
      </w:pPr>
      <w:r>
        <w:rPr/>
        <w:t>        </w:t>
      </w:r>
      <w:r>
        <w:rPr>
          <w:sz w:val="20"/>
        </w:rPr>
        <w:t xml:space="preserve">The guarantees will be general obligations of the guarantors. Guarantees of subordinated debt securities will be subordinated to the Senior Indebtedness of the guarantors on the same basis as the subordinated debt securities are subordinated to the Senior Indebtedness of Plains All American Pipeline. </w:t>
      </w:r>
    </w:p>
    <w:p>
      <w:pPr>
        <w:pStyle w:val="TextBody"/>
        <w:rPr>
          <w:b/>
          <w:sz w:val="20"/>
        </w:rPr>
      </w:pPr>
      <w:r>
        <w:rPr>
          <w:b/>
          <w:sz w:val="20"/>
        </w:rPr>
        <w:t xml:space="preserve">Consolidation, Merger or Asset Sale </w:t>
      </w:r>
    </w:p>
    <w:p>
      <w:pPr>
        <w:pStyle w:val="TextBody"/>
        <w:rPr/>
      </w:pPr>
      <w:r>
        <w:rPr/>
        <w:t>        </w:t>
      </w:r>
      <w:r>
        <w:rPr>
          <w:sz w:val="20"/>
        </w:rPr>
        <w:t xml:space="preserve">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 </w:t>
      </w:r>
    </w:p>
    <w:p>
      <w:pPr>
        <w:pStyle w:val="TextBody"/>
        <w:rPr/>
      </w:pPr>
      <w:r>
        <w:rPr/>
        <w:t>        </w:t>
      </w:r>
      <w:r>
        <w:rPr>
          <w:sz w:val="20"/>
        </w:rPr>
        <w:t xml:space="preserve">However, each indenture will impose certain requirements with respect to any consolidation or merger with or into an entity, or any sale, lease, transfer or other disposition of all or substantially all of an issuer's assets, including: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remaining or acquiring entity must assume the issuer's obligations under the indenture;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immediately after giving effect to the transaction, no Default or Event of Default (as defined under "Events of Default and Remedies" below) may exist. </w:t>
      </w:r>
    </w:p>
    <w:p>
      <w:pPr>
        <w:pStyle w:val="TextBody"/>
        <w:jc w:val="center"/>
        <w:rPr>
          <w:sz w:val="20"/>
        </w:rPr>
      </w:pPr>
      <w:r>
        <w:rPr>
          <w:sz w:val="20"/>
        </w:rPr>
        <w:t>16</w:t>
      </w:r>
    </w:p>
    <w:p>
      <w:pPr>
        <w:pStyle w:val="HorizontalLine"/>
        <w:pBdr>
          <w:bottom w:val="single" w:sz="20" w:space="0" w:color="808080"/>
        </w:pBdr>
        <w:rPr/>
      </w:pPr>
      <w:r>
        <w:rPr/>
      </w:r>
      <w:r>
        <w:br w:type="page"/>
      </w:r>
    </w:p>
    <w:p>
      <w:pPr>
        <w:pStyle w:val="TextBody"/>
        <w:rPr/>
      </w:pPr>
      <w:bookmarkStart w:id="65" w:name="page_dg1086_1_17"/>
      <w:bookmarkEnd w:id="65"/>
      <w:r>
        <w:rPr/>
        <w:t>        </w:t>
      </w:r>
      <w:r>
        <w:rPr>
          <w:sz w:val="20"/>
        </w:rPr>
        <w:t xml:space="preserve">The remaining or acquiring entity will be substituted for the issuer in the indenture with the same effect as if it had been an original party to the indenture, and the issuer will be relieved from any further obligations under the indenture. </w:t>
      </w:r>
    </w:p>
    <w:p>
      <w:pPr>
        <w:pStyle w:val="TextBody"/>
        <w:rPr>
          <w:b/>
          <w:sz w:val="20"/>
        </w:rPr>
      </w:pPr>
      <w:r>
        <w:rPr>
          <w:b/>
          <w:sz w:val="20"/>
        </w:rPr>
        <w:t xml:space="preserve">No Protection in the Event of a Change of Control </w:t>
      </w:r>
    </w:p>
    <w:p>
      <w:pPr>
        <w:pStyle w:val="TextBody"/>
        <w:rPr/>
      </w:pPr>
      <w:r>
        <w:rPr/>
        <w:t>        </w:t>
      </w:r>
      <w:r>
        <w:rPr>
          <w:sz w:val="20"/>
        </w:rPr>
        <w:t xml:space="preserve">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 </w:t>
      </w:r>
    </w:p>
    <w:p>
      <w:pPr>
        <w:pStyle w:val="TextBody"/>
        <w:rPr>
          <w:b/>
          <w:sz w:val="20"/>
        </w:rPr>
      </w:pPr>
      <w:r>
        <w:rPr>
          <w:b/>
          <w:sz w:val="20"/>
        </w:rPr>
        <w:t xml:space="preserve">Modification of Indentures </w:t>
      </w:r>
    </w:p>
    <w:p>
      <w:pPr>
        <w:pStyle w:val="TextBody"/>
        <w:rPr/>
      </w:pPr>
      <w:r>
        <w:rPr/>
        <w:t>        </w:t>
      </w:r>
      <w:r>
        <w:rPr>
          <w:sz w:val="20"/>
        </w:rPr>
        <w:t xml:space="preserve">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reduce the principal amount of debt securities whose holders must consent to an amendment, supplement or waiver;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reduce the principal of or change the fixed maturity of any debt security;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reduce or waive the premium payable upon redemption or alter or waive the provisions with respect to the redemption of the debt securities (except as may be permitted in the case of a particular series of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reduce the rate of or change the time for payment of interest on any debt security;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except as otherwise permitted under the indenture, release any security that may have been granted with respect to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make any debt security payable in currency other than that stated in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 the case of any subordinated debt security, make any change in the subordination provisions that adversely affects the rights of any holder under those provisions;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make any change in the provisions of the indenture relating to waivers of past Defaults or the rights of holders of debt securities to receive payments of principal of or premium, if any, or interest on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waive a redemption payment with respect to any debt security (except as may be permitted in the case of a particular series of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except as otherwise permitted in the indenture, release any guarantor from its obligations under its guarantee or the indenture or change any guarantee in any manner that would adversely affect the rights of holders; or </w:t>
      </w:r>
    </w:p>
    <w:p>
      <w:pPr>
        <w:pStyle w:val="TextBody"/>
        <w:jc w:val="center"/>
        <w:rPr>
          <w:sz w:val="20"/>
        </w:rPr>
      </w:pPr>
      <w:r>
        <w:rPr>
          <w:sz w:val="20"/>
        </w:rPr>
        <w:t>17</w:t>
      </w:r>
    </w:p>
    <w:p>
      <w:pPr>
        <w:pStyle w:val="HorizontalLine"/>
        <w:pBdr>
          <w:bottom w:val="single" w:sz="20" w:space="0" w:color="808080"/>
        </w:pBdr>
        <w:rPr/>
      </w:pPr>
      <w:r>
        <w:rPr/>
      </w:r>
      <w:r>
        <w:br w:type="page"/>
      </w:r>
    </w:p>
    <w:p>
      <w:pPr>
        <w:pStyle w:val="ListHeading"/>
        <w:numPr>
          <w:ilvl w:val="0"/>
          <w:numId w:val="0"/>
        </w:numPr>
        <w:spacing w:before="0" w:after="0"/>
        <w:ind w:left="707" w:right="0" w:hanging="0"/>
        <w:rPr>
          <w:sz w:val="20"/>
        </w:rPr>
      </w:pPr>
      <w:bookmarkStart w:id="66" w:name="page_dg1086_1_18"/>
      <w:bookmarkEnd w:id="66"/>
      <w:r>
        <w:rPr>
          <w:sz w:val="20"/>
        </w:rPr>
        <w:t></w:t>
      </w:r>
    </w:p>
    <w:p>
      <w:pPr>
        <w:pStyle w:val="ListContents"/>
        <w:numPr>
          <w:ilvl w:val="0"/>
          <w:numId w:val="0"/>
        </w:numPr>
        <w:spacing w:before="0" w:after="283"/>
        <w:ind w:left="1274" w:right="0" w:hanging="0"/>
        <w:rPr>
          <w:sz w:val="20"/>
        </w:rPr>
      </w:pPr>
      <w:r>
        <w:rPr>
          <w:sz w:val="20"/>
        </w:rPr>
        <w:t xml:space="preserve">make any change in the preceding amendment, supplement and waiver provisions (except to increase any percentage set forth therein). </w:t>
      </w:r>
    </w:p>
    <w:p>
      <w:pPr>
        <w:pStyle w:val="TextBody"/>
        <w:rPr/>
      </w:pPr>
      <w:r>
        <w:rPr/>
        <w:t>        </w:t>
      </w:r>
      <w:r>
        <w:rPr>
          <w:sz w:val="20"/>
        </w:rPr>
        <w:t xml:space="preserve">We may supplement or amend an indenture without the consent of any holders of the debt securities in certain circumstances, including: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establish the form of terms of any series of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cure any ambiguity, defect or inconsistency;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provide for uncertificated notes in addition to or in place of certified notes;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provide for the assumption of an issuer's or guarantor's obligations to holders of debt securities in the case of a merger or consolidation or disposition of all or substantially all of such issuer's or guarantor's assets;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 the case of any subordinated debt security, to make any change in the subordination provisions that limits or terminates the benefits applicable to any holder of Senior Indebtedness of Plains All American Pipeline;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add or release guarantors pursuant to the terms of the indenture;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make any changes that would provide any additional rights or benefits to the holders of debt securities or that do not, taken as a whole, adversely affect the rights under the indenture of any holder of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comply with requirements of the SEC in order to effect or maintain the qualification of the Indenture under the Trust Indenture Act;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evidence or provide for the acceptance of appointment under the indenture of a successor Trustee;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add any additional Events of Default;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secure the debt securities and/or the guarantees. </w:t>
      </w:r>
    </w:p>
    <w:p>
      <w:pPr>
        <w:pStyle w:val="TextBody"/>
        <w:rPr>
          <w:b/>
          <w:sz w:val="20"/>
        </w:rPr>
      </w:pPr>
      <w:r>
        <w:rPr>
          <w:b/>
          <w:sz w:val="20"/>
        </w:rPr>
        <w:t xml:space="preserve">Events of Default and Remedies </w:t>
      </w:r>
    </w:p>
    <w:p>
      <w:pPr>
        <w:pStyle w:val="TextBody"/>
        <w:rPr/>
      </w:pPr>
      <w:r>
        <w:rPr/>
        <w:t>        </w:t>
      </w:r>
      <w:r>
        <w:rPr>
          <w:sz w:val="20"/>
        </w:rPr>
        <w:t xml:space="preserve">"Event of Default," when used in an indenture, will mean any of the following with respect to the debt securities of any series: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failure to pay when due the principal of or any premium on any debt security of that series;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failure to pay, within 60 days of the due date, interest on any debt security of that series;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failure to pay when due any sinking fund payment with respect to any debt securities of that series;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failure on the part of the issuers to comply with the covenant described under "Consolidation, Merger or Asset Sale";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failure to perform any other covenant in the indenture that continues for 30 days after written notice is given to the issuers;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certain events of bankruptcy, insolvency or reorganization of an issuer;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other Event of Default provided under the terms of the debt securities of that series. </w:t>
      </w:r>
    </w:p>
    <w:p>
      <w:pPr>
        <w:pStyle w:val="TextBody"/>
        <w:rPr/>
      </w:pPr>
      <w:r>
        <w:rPr/>
      </w:r>
    </w:p>
    <w:p>
      <w:pPr>
        <w:pStyle w:val="TextBody"/>
        <w:rPr/>
      </w:pPr>
      <w:r>
        <w:rPr/>
        <w:t>        </w:t>
      </w:r>
      <w:r>
        <w:rPr>
          <w:sz w:val="20"/>
        </w:rPr>
        <w:t xml:space="preserve">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w:t>
      </w:r>
    </w:p>
    <w:p>
      <w:pPr>
        <w:pStyle w:val="TextBody"/>
        <w:jc w:val="center"/>
        <w:rPr>
          <w:sz w:val="20"/>
        </w:rPr>
      </w:pPr>
      <w:r>
        <w:rPr>
          <w:sz w:val="20"/>
        </w:rPr>
        <w:t>18</w:t>
      </w:r>
    </w:p>
    <w:p>
      <w:pPr>
        <w:pStyle w:val="HorizontalLine"/>
        <w:pBdr>
          <w:bottom w:val="single" w:sz="20" w:space="0" w:color="808080"/>
        </w:pBdr>
        <w:rPr/>
      </w:pPr>
      <w:r>
        <w:rPr/>
      </w:r>
      <w:r>
        <w:br w:type="page"/>
      </w:r>
    </w:p>
    <w:p>
      <w:pPr>
        <w:pStyle w:val="TextBody"/>
        <w:rPr>
          <w:sz w:val="20"/>
        </w:rPr>
      </w:pPr>
      <w:bookmarkStart w:id="67" w:name="page_dg1086_1_19"/>
      <w:bookmarkEnd w:id="67"/>
      <w:r>
        <w:rPr>
          <w:sz w:val="20"/>
        </w:rPr>
        <w:t xml:space="preserve">premium, if any, or interest) if it considers such withholding of notice to be in the best interests of the holders. </w:t>
      </w:r>
    </w:p>
    <w:p>
      <w:pPr>
        <w:pStyle w:val="TextBody"/>
        <w:rPr/>
      </w:pPr>
      <w:r>
        <w:rPr/>
        <w:t>        </w:t>
      </w:r>
      <w:r>
        <w:rPr>
          <w:sz w:val="20"/>
        </w:rPr>
        <w:t xml:space="preserve">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 </w:t>
      </w:r>
    </w:p>
    <w:p>
      <w:pPr>
        <w:pStyle w:val="TextBody"/>
        <w:rPr/>
      </w:pPr>
      <w:r>
        <w:rPr/>
        <w:t>        </w:t>
      </w:r>
      <w:r>
        <w:rPr>
          <w:sz w:val="20"/>
        </w:rPr>
        <w:t xml:space="preserve">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 </w:t>
      </w:r>
    </w:p>
    <w:p>
      <w:pPr>
        <w:pStyle w:val="TextBody"/>
        <w:rPr>
          <w:b/>
          <w:sz w:val="20"/>
        </w:rPr>
      </w:pPr>
      <w:r>
        <w:rPr>
          <w:b/>
          <w:sz w:val="20"/>
        </w:rPr>
        <w:t xml:space="preserve">No Limit on Amount of Debt Securities </w:t>
      </w:r>
    </w:p>
    <w:p>
      <w:pPr>
        <w:pStyle w:val="TextBody"/>
        <w:rPr/>
      </w:pPr>
      <w:r>
        <w:rPr/>
        <w:t>        </w:t>
      </w:r>
      <w:r>
        <w:rPr>
          <w:sz w:val="20"/>
        </w:rPr>
        <w:t xml:space="preserve">The indenture will not limit the amount of debt securities that we may issue, unless we indicate otherwise in a prospectus supplement. The indenture will allow us to issue debt securities of any series up to the aggregate principal amount that we authorize. </w:t>
      </w:r>
    </w:p>
    <w:p>
      <w:pPr>
        <w:pStyle w:val="TextBody"/>
        <w:rPr>
          <w:b/>
          <w:sz w:val="20"/>
        </w:rPr>
      </w:pPr>
      <w:r>
        <w:rPr>
          <w:b/>
          <w:sz w:val="20"/>
        </w:rPr>
        <w:t xml:space="preserve">Registration of Notes </w:t>
      </w:r>
    </w:p>
    <w:p>
      <w:pPr>
        <w:pStyle w:val="TextBody"/>
        <w:rPr/>
      </w:pPr>
      <w:r>
        <w:rPr/>
        <w:t>        </w:t>
      </w:r>
      <w:r>
        <w:rPr>
          <w:sz w:val="20"/>
        </w:rPr>
        <w:t xml:space="preserve">We will issue debt securities of a series only in registered form, without coupons, unless otherwise indicated in the prospectus supplement. </w:t>
      </w:r>
    </w:p>
    <w:p>
      <w:pPr>
        <w:pStyle w:val="TextBody"/>
        <w:rPr>
          <w:b/>
          <w:sz w:val="20"/>
        </w:rPr>
      </w:pPr>
      <w:r>
        <w:rPr>
          <w:b/>
          <w:sz w:val="20"/>
        </w:rPr>
        <w:t xml:space="preserve">Minimum Denominations </w:t>
      </w:r>
    </w:p>
    <w:p>
      <w:pPr>
        <w:pStyle w:val="TextBody"/>
        <w:rPr/>
      </w:pPr>
      <w:r>
        <w:rPr/>
        <w:t>        </w:t>
      </w:r>
      <w:r>
        <w:rPr>
          <w:sz w:val="20"/>
        </w:rPr>
        <w:t xml:space="preserve">Unless the prospectus supplement states otherwise, the debt securities will be issued only in principal amounts of $1,000 each or integral multiples of $1,000. </w:t>
      </w:r>
    </w:p>
    <w:p>
      <w:pPr>
        <w:pStyle w:val="TextBody"/>
        <w:rPr>
          <w:b/>
          <w:sz w:val="20"/>
        </w:rPr>
      </w:pPr>
      <w:r>
        <w:rPr>
          <w:b/>
          <w:sz w:val="20"/>
        </w:rPr>
        <w:t xml:space="preserve">No Personal Liability </w:t>
      </w:r>
    </w:p>
    <w:p>
      <w:pPr>
        <w:pStyle w:val="TextBody"/>
        <w:rPr/>
      </w:pPr>
      <w:r>
        <w:rPr/>
        <w:t>        </w:t>
      </w:r>
      <w:r>
        <w:rPr>
          <w:sz w:val="20"/>
        </w:rPr>
        <w:t xml:space="preserve">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the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 </w:t>
      </w:r>
    </w:p>
    <w:p>
      <w:pPr>
        <w:pStyle w:val="TextBody"/>
        <w:rPr>
          <w:b/>
          <w:sz w:val="20"/>
        </w:rPr>
      </w:pPr>
      <w:r>
        <w:rPr>
          <w:b/>
          <w:sz w:val="20"/>
        </w:rPr>
        <w:t xml:space="preserve">Payment and Transfer </w:t>
      </w:r>
    </w:p>
    <w:p>
      <w:pPr>
        <w:pStyle w:val="TextBody"/>
        <w:rPr/>
      </w:pPr>
      <w:r>
        <w:rPr/>
        <w:t>        </w:t>
      </w:r>
      <w:r>
        <w:rPr>
          <w:sz w:val="20"/>
        </w:rPr>
        <w:t xml:space="preserve">The Trustee will initially act as paying agent and registrar under each indenture. The issuers may change the paying agent or registrar without prior notice to the holders of debt securities, and the issuers or any of their subsidiaries may act as paying agent or registrar. </w:t>
      </w:r>
    </w:p>
    <w:p>
      <w:pPr>
        <w:pStyle w:val="TextBody"/>
        <w:rPr/>
      </w:pPr>
      <w:r>
        <w:rPr/>
        <w:t>        </w:t>
      </w:r>
      <w:r>
        <w:rPr>
          <w:sz w:val="20"/>
        </w:rPr>
        <w:t xml:space="preserve">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 </w:t>
      </w:r>
    </w:p>
    <w:p>
      <w:pPr>
        <w:pStyle w:val="TextBody"/>
        <w:jc w:val="center"/>
        <w:rPr>
          <w:sz w:val="20"/>
        </w:rPr>
      </w:pPr>
      <w:r>
        <w:rPr>
          <w:sz w:val="20"/>
        </w:rPr>
        <w:t>19</w:t>
      </w:r>
    </w:p>
    <w:p>
      <w:pPr>
        <w:pStyle w:val="HorizontalLine"/>
        <w:pBdr>
          <w:bottom w:val="single" w:sz="20" w:space="0" w:color="808080"/>
        </w:pBdr>
        <w:rPr/>
      </w:pPr>
      <w:r>
        <w:rPr/>
      </w:r>
      <w:r>
        <w:br w:type="page"/>
      </w:r>
    </w:p>
    <w:p>
      <w:pPr>
        <w:pStyle w:val="TextBody"/>
        <w:rPr/>
      </w:pPr>
      <w:r>
        <w:rPr/>
      </w:r>
      <w:bookmarkStart w:id="68" w:name="page_dg1086_1_20"/>
      <w:bookmarkStart w:id="69" w:name="page_dg1086_1_20"/>
      <w:bookmarkEnd w:id="69"/>
    </w:p>
    <w:p>
      <w:pPr>
        <w:pStyle w:val="TextBody"/>
        <w:rPr/>
      </w:pPr>
      <w:r>
        <w:rPr/>
        <w:t>        </w:t>
      </w:r>
      <w:r>
        <w:rPr>
          <w:sz w:val="20"/>
        </w:rPr>
        <w:t xml:space="preserve">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 </w:t>
      </w:r>
    </w:p>
    <w:p>
      <w:pPr>
        <w:pStyle w:val="TextBody"/>
        <w:rPr>
          <w:b/>
          <w:sz w:val="20"/>
        </w:rPr>
      </w:pPr>
      <w:r>
        <w:rPr>
          <w:b/>
          <w:sz w:val="20"/>
        </w:rPr>
        <w:t xml:space="preserve">Exchange, Registration and Transfer </w:t>
      </w:r>
    </w:p>
    <w:p>
      <w:pPr>
        <w:pStyle w:val="TextBody"/>
        <w:rPr/>
      </w:pPr>
      <w:r>
        <w:rPr/>
        <w:t>        </w:t>
      </w:r>
      <w:r>
        <w:rPr>
          <w:sz w:val="20"/>
        </w:rPr>
        <w:t xml:space="preserve">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 </w:t>
      </w:r>
    </w:p>
    <w:p>
      <w:pPr>
        <w:pStyle w:val="TextBody"/>
        <w:rPr/>
      </w:pPr>
      <w:r>
        <w:rPr/>
        <w:t>        </w:t>
      </w:r>
      <w:r>
        <w:rPr>
          <w:sz w:val="20"/>
        </w:rPr>
        <w:t xml:space="preserve">We will not be required: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register the transfer of or exchange any debt security called for redemption or repurchase, except the unredeemed portion of any debt security we are redeeming or repurchasing in part. </w:t>
      </w:r>
    </w:p>
    <w:p>
      <w:pPr>
        <w:pStyle w:val="TextBody"/>
        <w:rPr>
          <w:b/>
          <w:sz w:val="20"/>
        </w:rPr>
      </w:pPr>
      <w:r>
        <w:rPr>
          <w:b/>
          <w:sz w:val="20"/>
        </w:rPr>
        <w:t xml:space="preserve">Provisions Relating only to the Senior Debt Securities </w:t>
      </w:r>
    </w:p>
    <w:p>
      <w:pPr>
        <w:pStyle w:val="TextBody"/>
        <w:rPr/>
      </w:pPr>
      <w:r>
        <w:rPr/>
        <w:t>        </w:t>
      </w:r>
      <w:r>
        <w:rPr>
          <w:sz w:val="20"/>
        </w:rPr>
        <w:t xml:space="preserve">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 </w:t>
      </w:r>
    </w:p>
    <w:p>
      <w:pPr>
        <w:pStyle w:val="TextBody"/>
        <w:rPr>
          <w:b/>
          <w:sz w:val="20"/>
        </w:rPr>
      </w:pPr>
      <w:r>
        <w:rPr>
          <w:b/>
          <w:sz w:val="20"/>
        </w:rPr>
        <w:t xml:space="preserve">Provisions Relating only to the Subordinated Debt Securities </w:t>
      </w:r>
    </w:p>
    <w:p>
      <w:pPr>
        <w:pStyle w:val="TextBody"/>
        <w:numPr>
          <w:ilvl w:val="0"/>
          <w:numId w:val="0"/>
        </w:numPr>
        <w:ind w:left="707" w:hanging="0"/>
        <w:rPr>
          <w:i/>
          <w:sz w:val="20"/>
        </w:rPr>
      </w:pPr>
      <w:r>
        <w:rPr>
          <w:i/>
          <w:sz w:val="20"/>
        </w:rPr>
        <w:t xml:space="preserve">Subordinated Debt Securities Subordinated to Senior Indebtedness </w:t>
      </w:r>
    </w:p>
    <w:p>
      <w:pPr>
        <w:pStyle w:val="TextBody"/>
        <w:rPr/>
      </w:pPr>
      <w:r>
        <w:rPr/>
        <w:t>        </w:t>
      </w:r>
      <w:r>
        <w:rPr>
          <w:sz w:val="20"/>
        </w:rPr>
        <w:t xml:space="preserve">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 </w:t>
      </w:r>
    </w:p>
    <w:p>
      <w:pPr>
        <w:pStyle w:val="TextBody"/>
        <w:numPr>
          <w:ilvl w:val="0"/>
          <w:numId w:val="0"/>
        </w:numPr>
        <w:ind w:left="707" w:hanging="0"/>
        <w:rPr>
          <w:i/>
          <w:sz w:val="20"/>
        </w:rPr>
      </w:pPr>
      <w:r>
        <w:rPr>
          <w:i/>
          <w:sz w:val="20"/>
        </w:rPr>
        <w:t xml:space="preserve">Payment Blockages </w:t>
      </w:r>
    </w:p>
    <w:p>
      <w:pPr>
        <w:pStyle w:val="TextBody"/>
        <w:rPr/>
      </w:pPr>
      <w:r>
        <w:rPr/>
        <w:t>        </w:t>
      </w:r>
      <w:r>
        <w:rPr>
          <w:sz w:val="20"/>
        </w:rPr>
        <w:t xml:space="preserve">The subordinated indenture will provide that no payment of principal, interest and any premium on the subordinated debt securities may be made in the event: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we or our property is involved in any voluntary or involuntary liquidation or bankruptcy;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other default on any Senior Indebtedness of Plains All American Pipeline occurs that permits immediate acceleration of its maturity, in which case a payment blockage on the subordinated debt securities will be imposed for a maximum of 179 days at any one time. </w:t>
      </w:r>
    </w:p>
    <w:p>
      <w:pPr>
        <w:pStyle w:val="TextBody"/>
        <w:jc w:val="center"/>
        <w:rPr>
          <w:sz w:val="20"/>
        </w:rPr>
      </w:pPr>
      <w:r>
        <w:rPr>
          <w:sz w:val="20"/>
        </w:rPr>
        <w:t>20</w:t>
      </w:r>
    </w:p>
    <w:p>
      <w:pPr>
        <w:pStyle w:val="HorizontalLine"/>
        <w:pBdr>
          <w:bottom w:val="single" w:sz="20" w:space="0" w:color="808080"/>
        </w:pBdr>
        <w:rPr/>
      </w:pPr>
      <w:r>
        <w:rPr/>
      </w:r>
      <w:r>
        <w:br w:type="page"/>
      </w:r>
    </w:p>
    <w:p>
      <w:pPr>
        <w:pStyle w:val="TextBody"/>
        <w:numPr>
          <w:ilvl w:val="0"/>
          <w:numId w:val="0"/>
        </w:numPr>
        <w:ind w:left="707" w:hanging="0"/>
        <w:rPr>
          <w:i/>
          <w:sz w:val="20"/>
        </w:rPr>
      </w:pPr>
      <w:bookmarkStart w:id="70" w:name="page_dg1086_1_21"/>
      <w:bookmarkEnd w:id="70"/>
      <w:r>
        <w:rPr>
          <w:i/>
          <w:sz w:val="20"/>
        </w:rPr>
        <w:t xml:space="preserve">No Limitation on Amount of Senior Debt </w:t>
      </w:r>
    </w:p>
    <w:p>
      <w:pPr>
        <w:pStyle w:val="TextBody"/>
        <w:rPr/>
      </w:pPr>
      <w:r>
        <w:rPr/>
        <w:t>        </w:t>
      </w:r>
      <w:r>
        <w:rPr>
          <w:sz w:val="20"/>
        </w:rPr>
        <w:t xml:space="preserve">The subordinated indenture will not limit the amount of Senior Indebtedness that Plains All American Pipeline may incur, unless otherwise indicated in the prospectus supplement. </w:t>
      </w:r>
    </w:p>
    <w:p>
      <w:pPr>
        <w:pStyle w:val="TextBody"/>
        <w:rPr>
          <w:b/>
          <w:sz w:val="20"/>
        </w:rPr>
      </w:pPr>
      <w:r>
        <w:rPr>
          <w:b/>
          <w:sz w:val="20"/>
        </w:rPr>
        <w:t xml:space="preserve">Book Entry, Delivery and Form </w:t>
      </w:r>
    </w:p>
    <w:p>
      <w:pPr>
        <w:pStyle w:val="TextBody"/>
        <w:rPr/>
      </w:pPr>
      <w:r>
        <w:rPr/>
        <w:t>        </w:t>
      </w:r>
      <w:r>
        <w:rPr>
          <w:sz w:val="20"/>
        </w:rPr>
        <w:t xml:space="preserve">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 </w:t>
      </w:r>
    </w:p>
    <w:p>
      <w:pPr>
        <w:pStyle w:val="TextBody"/>
        <w:rPr/>
      </w:pPr>
      <w:r>
        <w:rPr/>
        <w:t>        </w:t>
      </w:r>
      <w:r>
        <w:rPr>
          <w:sz w:val="20"/>
        </w:rPr>
        <w:t xml:space="preserve">Beneficial interests in global debt securities will be shown on, and transfers of global debt securities will be made only through, records maintained by DTC and its participants. </w:t>
      </w:r>
    </w:p>
    <w:p>
      <w:pPr>
        <w:pStyle w:val="TextBody"/>
        <w:rPr/>
      </w:pPr>
      <w:r>
        <w:rPr/>
        <w:t>        </w:t>
      </w:r>
      <w:r>
        <w:rPr>
          <w:sz w:val="20"/>
        </w:rPr>
        <w:t xml:space="preserve">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 </w:t>
      </w:r>
    </w:p>
    <w:p>
      <w:pPr>
        <w:pStyle w:val="TextBody"/>
        <w:rPr/>
      </w:pPr>
      <w:r>
        <w:rPr/>
        <w:t>        </w:t>
      </w:r>
      <w:r>
        <w:rPr>
          <w:sz w:val="20"/>
        </w:rPr>
        <w:t xml:space="preserve">DTC's book-entry system is also used by other organizations such as securities brokers and dealers, banks and trust companies that work through a Direct Participant. The rules that apply to DTC and its participants are on file with the SEC. </w:t>
      </w:r>
    </w:p>
    <w:p>
      <w:pPr>
        <w:pStyle w:val="TextBody"/>
        <w:rPr/>
      </w:pPr>
      <w:r>
        <w:rPr/>
        <w:t>        </w:t>
      </w:r>
      <w:r>
        <w:rPr>
          <w:sz w:val="20"/>
        </w:rPr>
        <w:t xml:space="preserve">DTC is owned by a number of its Direct Participants and by the New York Stock Exchange, Inc., The American Stock Exchange, Inc. and the National Association of Securities Dealers, Inc. </w:t>
      </w:r>
    </w:p>
    <w:p>
      <w:pPr>
        <w:pStyle w:val="TextBody"/>
        <w:rPr/>
      </w:pPr>
      <w:r>
        <w:rPr/>
        <w:t>        </w:t>
      </w:r>
      <w:r>
        <w:rPr>
          <w:sz w:val="20"/>
        </w:rPr>
        <w:t xml:space="preserve">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 </w:t>
      </w:r>
    </w:p>
    <w:p>
      <w:pPr>
        <w:pStyle w:val="TextBody"/>
        <w:rPr/>
      </w:pPr>
      <w:r>
        <w:rPr/>
        <w:t>        </w:t>
      </w:r>
      <w:r>
        <w:rPr>
          <w:sz w:val="20"/>
        </w:rPr>
        <w:t xml:space="preserve">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 </w:t>
      </w:r>
    </w:p>
    <w:p>
      <w:pPr>
        <w:pStyle w:val="TextBody"/>
        <w:jc w:val="center"/>
        <w:rPr>
          <w:sz w:val="20"/>
        </w:rPr>
      </w:pPr>
      <w:r>
        <w:rPr>
          <w:sz w:val="20"/>
        </w:rPr>
        <w:t>21</w:t>
      </w:r>
    </w:p>
    <w:p>
      <w:pPr>
        <w:pStyle w:val="HorizontalLine"/>
        <w:pBdr>
          <w:bottom w:val="single" w:sz="20" w:space="0" w:color="808080"/>
        </w:pBdr>
        <w:rPr/>
      </w:pPr>
      <w:r>
        <w:rPr/>
      </w:r>
      <w:r>
        <w:br w:type="page"/>
      </w:r>
    </w:p>
    <w:p>
      <w:pPr>
        <w:pStyle w:val="TextBody"/>
        <w:rPr/>
      </w:pPr>
      <w:r>
        <w:rPr/>
      </w:r>
      <w:bookmarkStart w:id="71" w:name="page_dg1086_1_22"/>
      <w:bookmarkStart w:id="72" w:name="page_dg1086_1_22"/>
      <w:bookmarkEnd w:id="72"/>
    </w:p>
    <w:p>
      <w:pPr>
        <w:pStyle w:val="TextBody"/>
        <w:rPr/>
      </w:pPr>
      <w:r>
        <w:rPr/>
        <w:t>        </w:t>
      </w:r>
      <w:r>
        <w:rPr>
          <w:sz w:val="20"/>
        </w:rPr>
        <w:t xml:space="preserve">Debt securities represented by a global debt security will be exchangeable for certificated debt securities with the same terms in authorized denominations only if: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DTC notifies us that it is unwilling or unable to continue as depositary or if DTC ceases to be a clearing agency registered under applicable law and in either event a successor depositary is not appointed by us within 90 days;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we determine not to require all of the debt securities of a series to be represented by a global debt security. </w:t>
      </w:r>
    </w:p>
    <w:p>
      <w:pPr>
        <w:pStyle w:val="TextBody"/>
        <w:rPr>
          <w:b/>
          <w:sz w:val="20"/>
        </w:rPr>
      </w:pPr>
      <w:r>
        <w:rPr>
          <w:b/>
          <w:sz w:val="20"/>
        </w:rPr>
        <w:t xml:space="preserve">Satisfaction and Discharge; Defeasance </w:t>
      </w:r>
    </w:p>
    <w:p>
      <w:pPr>
        <w:pStyle w:val="TextBody"/>
        <w:rPr/>
      </w:pPr>
      <w:r>
        <w:rPr/>
        <w:t>        </w:t>
      </w:r>
      <w:r>
        <w:rPr>
          <w:sz w:val="20"/>
        </w:rPr>
        <w:t xml:space="preserve">Each indenture will be discharged and will cease to be of further effect as to all outstanding debt securities of any series issued thereunder, when: </w:t>
      </w:r>
    </w:p>
    <w:p>
      <w:pPr>
        <w:pStyle w:val="TextBody"/>
        <w:numPr>
          <w:ilvl w:val="0"/>
          <w:numId w:val="0"/>
        </w:numPr>
        <w:ind w:left="707" w:hanging="0"/>
        <w:rPr/>
      </w:pPr>
      <w:r>
        <w:rPr/>
        <w:t>        </w:t>
      </w:r>
      <w:r>
        <w:rPr>
          <w:sz w:val="20"/>
        </w:rPr>
        <w:t xml:space="preserve">(a)   either: </w:t>
      </w:r>
    </w:p>
    <w:p>
      <w:pPr>
        <w:pStyle w:val="TextBody"/>
        <w:numPr>
          <w:ilvl w:val="0"/>
          <w:numId w:val="0"/>
        </w:numPr>
        <w:ind w:left="1414" w:hanging="0"/>
        <w:rPr/>
      </w:pPr>
      <w:r>
        <w:rPr/>
        <w:t>        </w:t>
      </w:r>
      <w:r>
        <w:rPr>
          <w:sz w:val="20"/>
        </w:rPr>
        <w:t xml:space="preserve">(1)   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p>
    <w:p>
      <w:pPr>
        <w:pStyle w:val="TextBody"/>
        <w:numPr>
          <w:ilvl w:val="0"/>
          <w:numId w:val="0"/>
        </w:numPr>
        <w:ind w:left="1414" w:hanging="0"/>
        <w:rPr/>
      </w:pPr>
      <w:r>
        <w:rPr/>
        <w:t>        </w:t>
      </w:r>
      <w:r>
        <w:rPr>
          <w:sz w:val="20"/>
        </w:rPr>
        <w:t xml:space="preserve">(2)   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 </w:t>
      </w:r>
    </w:p>
    <w:p>
      <w:pPr>
        <w:pStyle w:val="TextBody"/>
        <w:numPr>
          <w:ilvl w:val="0"/>
          <w:numId w:val="0"/>
        </w:numPr>
        <w:ind w:left="707" w:hanging="0"/>
        <w:rPr/>
      </w:pPr>
      <w:r>
        <w:rPr/>
        <w:t>        </w:t>
      </w:r>
      <w:r>
        <w:rPr>
          <w:sz w:val="20"/>
        </w:rPr>
        <w:t xml:space="preserve">(b)   we have paid or caused to be paid all other sums payable by us under the indenture; and </w:t>
      </w:r>
    </w:p>
    <w:p>
      <w:pPr>
        <w:pStyle w:val="TextBody"/>
        <w:numPr>
          <w:ilvl w:val="0"/>
          <w:numId w:val="0"/>
        </w:numPr>
        <w:ind w:left="707" w:hanging="0"/>
        <w:rPr/>
      </w:pPr>
      <w:r>
        <w:rPr/>
        <w:t>        </w:t>
      </w:r>
      <w:r>
        <w:rPr>
          <w:sz w:val="20"/>
        </w:rPr>
        <w:t xml:space="preserve">(c)   we have delivered an officers' certificate and an opinion of counsel to the Trustee stating that all conditions precedent to satisfaction and discharge have been satisfied. </w:t>
      </w:r>
    </w:p>
    <w:p>
      <w:pPr>
        <w:pStyle w:val="TextBody"/>
        <w:rPr/>
      </w:pPr>
      <w:r>
        <w:rPr/>
        <w:t>        </w:t>
      </w:r>
      <w:r>
        <w:rPr>
          <w:sz w:val="20"/>
        </w:rPr>
        <w:t xml:space="preserve">The debt securities of a particular series will be subject to legal or covenant defeasance to the extent, and upon the terms and conditions, set forth in the prospectus supplement. </w:t>
      </w:r>
    </w:p>
    <w:p>
      <w:pPr>
        <w:pStyle w:val="TextBody"/>
        <w:rPr>
          <w:b/>
          <w:sz w:val="20"/>
        </w:rPr>
      </w:pPr>
      <w:r>
        <w:rPr>
          <w:b/>
          <w:sz w:val="20"/>
        </w:rPr>
        <w:t xml:space="preserve">The Trustee </w:t>
      </w:r>
    </w:p>
    <w:p>
      <w:pPr>
        <w:pStyle w:val="TextBody"/>
        <w:rPr/>
      </w:pPr>
      <w:r>
        <w:rPr/>
        <w:t>        </w:t>
      </w:r>
      <w:r>
        <w:rPr>
          <w:sz w:val="20"/>
        </w:rPr>
        <w:t xml:space="preserve">Wachovia Bank N.A. will be the initial Trustee under each indenture. We maintain a banking relation in the ordinary course of business with Wachovia Bank N.A. and some of its affiliates. </w:t>
      </w:r>
    </w:p>
    <w:p>
      <w:pPr>
        <w:pStyle w:val="TextBody"/>
        <w:numPr>
          <w:ilvl w:val="0"/>
          <w:numId w:val="0"/>
        </w:numPr>
        <w:ind w:left="707" w:hanging="0"/>
        <w:rPr>
          <w:i/>
          <w:sz w:val="20"/>
        </w:rPr>
      </w:pPr>
      <w:r>
        <w:rPr>
          <w:i/>
          <w:sz w:val="20"/>
        </w:rPr>
        <w:t xml:space="preserve">Limitations on Trustee if it is a Creditor </w:t>
      </w:r>
    </w:p>
    <w:p>
      <w:pPr>
        <w:pStyle w:val="TextBody"/>
        <w:rPr/>
      </w:pPr>
      <w:r>
        <w:rPr/>
        <w:t>        </w:t>
      </w:r>
      <w:r>
        <w:rPr>
          <w:sz w:val="20"/>
        </w:rPr>
        <w:t xml:space="preserve">Each indenture will limit the right of the Trustee thereunder, in the event that it becomes a creditor of an issuer or guarantor, to obtain payment of claims in certain cases, or to realize on certain property received in respect of any such claim as security or otherwise. </w:t>
      </w:r>
    </w:p>
    <w:p>
      <w:pPr>
        <w:pStyle w:val="TextBody"/>
        <w:numPr>
          <w:ilvl w:val="0"/>
          <w:numId w:val="0"/>
        </w:numPr>
        <w:ind w:left="707" w:hanging="0"/>
        <w:rPr>
          <w:i/>
          <w:sz w:val="20"/>
        </w:rPr>
      </w:pPr>
      <w:r>
        <w:rPr>
          <w:i/>
          <w:sz w:val="20"/>
        </w:rPr>
        <w:t xml:space="preserve">Certificates and Opinions to be Furnished to Trustee </w:t>
      </w:r>
    </w:p>
    <w:p>
      <w:pPr>
        <w:pStyle w:val="TextBody"/>
        <w:rPr/>
      </w:pPr>
      <w:r>
        <w:rPr/>
        <w:t>        </w:t>
      </w:r>
      <w:r>
        <w:rPr>
          <w:sz w:val="20"/>
        </w:rPr>
        <w:t xml:space="preserve">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 </w:t>
      </w:r>
    </w:p>
    <w:p>
      <w:pPr>
        <w:pStyle w:val="TextBody"/>
        <w:rPr>
          <w:b/>
          <w:sz w:val="20"/>
        </w:rPr>
      </w:pPr>
      <w:r>
        <w:rPr>
          <w:b/>
          <w:sz w:val="20"/>
        </w:rPr>
        <w:t xml:space="preserve">Governing Law </w:t>
      </w:r>
    </w:p>
    <w:p>
      <w:pPr>
        <w:pStyle w:val="TextBody"/>
        <w:rPr/>
      </w:pPr>
      <w:r>
        <w:rPr/>
        <w:t>        </w:t>
      </w:r>
      <w:r>
        <w:rPr>
          <w:sz w:val="20"/>
        </w:rPr>
        <w:t xml:space="preserve">Each indenture and all of the debt securities will be governed by the laws of the State of New York. </w:t>
      </w:r>
    </w:p>
    <w:p>
      <w:pPr>
        <w:pStyle w:val="TextBody"/>
        <w:jc w:val="center"/>
        <w:rPr>
          <w:sz w:val="20"/>
        </w:rPr>
      </w:pPr>
      <w:r>
        <w:rPr>
          <w:sz w:val="20"/>
        </w:rPr>
        <w:t>22</w:t>
      </w:r>
    </w:p>
    <w:p>
      <w:pPr>
        <w:pStyle w:val="HorizontalLine"/>
        <w:pBdr>
          <w:bottom w:val="single" w:sz="20" w:space="0" w:color="808080"/>
        </w:pBdr>
        <w:rPr/>
      </w:pPr>
      <w:r>
        <w:rPr/>
      </w:r>
      <w:r>
        <w:br w:type="page"/>
      </w:r>
    </w:p>
    <w:p>
      <w:pPr>
        <w:pStyle w:val="TextBody"/>
        <w:jc w:val="center"/>
        <w:rPr/>
      </w:pPr>
      <w:bookmarkStart w:id="73" w:name="toc_di1086_1"/>
      <w:bookmarkStart w:id="74" w:name="di1086_description_of_our_common_units"/>
      <w:bookmarkStart w:id="75" w:name="page_di1086_1_23"/>
      <w:bookmarkEnd w:id="73"/>
      <w:bookmarkEnd w:id="74"/>
      <w:bookmarkEnd w:id="75"/>
      <w:r>
        <w:rPr>
          <w:sz w:val="20"/>
        </w:rPr>
        <w:br/>
      </w:r>
      <w:r>
        <w:rPr>
          <w:b/>
          <w:sz w:val="20"/>
        </w:rPr>
        <w:t xml:space="preserve">DESCRIPTION OF OUR COMMON UNITS </w:t>
      </w:r>
    </w:p>
    <w:p>
      <w:pPr>
        <w:pStyle w:val="TextBody"/>
        <w:rPr/>
      </w:pPr>
      <w:r>
        <w:rPr/>
        <w:t>        </w:t>
      </w:r>
      <w:r>
        <w:rPr>
          <w:sz w:val="20"/>
        </w:rPr>
        <w:t xml:space="preserve">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 </w:t>
      </w:r>
    </w:p>
    <w:p>
      <w:pPr>
        <w:pStyle w:val="TextBody"/>
        <w:rPr/>
      </w:pPr>
      <w:r>
        <w:rPr/>
        <w:t>        </w:t>
      </w:r>
      <w:r>
        <w:rPr>
          <w:sz w:val="20"/>
        </w:rPr>
        <w:t xml:space="preserve">Our outstanding common units are listed on the NYSE under the symbol "PAA." Any additional common units we issue will also be listed on the NYSE. </w:t>
      </w:r>
    </w:p>
    <w:p>
      <w:pPr>
        <w:pStyle w:val="TextBody"/>
        <w:rPr/>
      </w:pPr>
      <w:r>
        <w:rPr/>
        <w:t>        </w:t>
      </w:r>
      <w:r>
        <w:rPr>
          <w:sz w:val="20"/>
        </w:rPr>
        <w:t xml:space="preserve">The transfer agent and registrar for our common units is American Stock Transfer &amp; Trust Company. </w:t>
      </w:r>
    </w:p>
    <w:p>
      <w:pPr>
        <w:pStyle w:val="TextBody"/>
        <w:rPr>
          <w:b/>
          <w:sz w:val="20"/>
        </w:rPr>
      </w:pPr>
      <w:r>
        <w:rPr>
          <w:b/>
          <w:sz w:val="20"/>
        </w:rPr>
        <w:t xml:space="preserve">Meetings/Voting </w:t>
      </w:r>
    </w:p>
    <w:p>
      <w:pPr>
        <w:pStyle w:val="TextBody"/>
        <w:rPr/>
      </w:pPr>
      <w:r>
        <w:rPr/>
        <w:t>        </w:t>
      </w:r>
      <w:r>
        <w:rPr>
          <w:sz w:val="20"/>
        </w:rPr>
        <w:t xml:space="preserve">Each holder of common units is entitled to one vote for each common unit on all matters submitted to a vote of the unitholders. </w:t>
      </w:r>
    </w:p>
    <w:p>
      <w:pPr>
        <w:pStyle w:val="TextBody"/>
        <w:rPr>
          <w:b/>
          <w:sz w:val="20"/>
        </w:rPr>
      </w:pPr>
      <w:r>
        <w:rPr>
          <w:b/>
          <w:sz w:val="20"/>
        </w:rPr>
        <w:t xml:space="preserve">Status as Limited Partner or Assignee </w:t>
      </w:r>
    </w:p>
    <w:p>
      <w:pPr>
        <w:pStyle w:val="TextBody"/>
        <w:rPr/>
      </w:pPr>
      <w:r>
        <w:rPr/>
        <w:t>        </w:t>
      </w:r>
      <w:r>
        <w:rPr>
          <w:sz w:val="20"/>
        </w:rPr>
        <w:t xml:space="preserve">Except as described below under "Limited Liability," the common units will be fully paid, and unitholders will not be required to make additional capital contributions to us. </w:t>
      </w:r>
    </w:p>
    <w:p>
      <w:pPr>
        <w:pStyle w:val="TextBody"/>
        <w:rPr/>
      </w:pPr>
      <w:r>
        <w:rPr/>
        <w:t>        </w:t>
      </w:r>
      <w:r>
        <w:rPr>
          <w:sz w:val="20"/>
        </w:rPr>
        <w:t xml:space="preserve">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 </w:t>
      </w:r>
    </w:p>
    <w:p>
      <w:pPr>
        <w:pStyle w:val="TextBody"/>
        <w:rPr/>
      </w:pPr>
      <w:r>
        <w:rPr/>
        <w:t>        </w:t>
      </w:r>
      <w:r>
        <w:rPr>
          <w:sz w:val="20"/>
        </w:rPr>
        <w:t xml:space="preserve">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rPr>
          <w:b/>
          <w:sz w:val="20"/>
        </w:rPr>
      </w:pPr>
      <w:r>
        <w:rPr>
          <w:b/>
          <w:sz w:val="20"/>
        </w:rPr>
        <w:t xml:space="preserve">Limited Liability </w:t>
      </w:r>
    </w:p>
    <w:p>
      <w:pPr>
        <w:pStyle w:val="TextBody"/>
        <w:rPr/>
      </w:pPr>
      <w:r>
        <w:rPr/>
        <w:t>        </w:t>
      </w:r>
      <w:r>
        <w:rPr>
          <w:sz w:val="20"/>
        </w:rPr>
        <w:t xml:space="preserve">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 </w:t>
      </w:r>
    </w:p>
    <w:p>
      <w:pPr>
        <w:pStyle w:val="TextBody"/>
        <w:rPr/>
      </w:pPr>
      <w:r>
        <w:rPr/>
        <w:t>        </w:t>
      </w:r>
      <w:r>
        <w:rPr>
          <w:sz w:val="20"/>
        </w:rPr>
        <w:t xml:space="preserve">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w:t>
      </w:r>
    </w:p>
    <w:p>
      <w:pPr>
        <w:pStyle w:val="TextBody"/>
        <w:jc w:val="center"/>
        <w:rPr>
          <w:sz w:val="20"/>
        </w:rPr>
      </w:pPr>
      <w:r>
        <w:rPr>
          <w:sz w:val="20"/>
        </w:rPr>
        <w:t>23</w:t>
      </w:r>
    </w:p>
    <w:p>
      <w:pPr>
        <w:pStyle w:val="HorizontalLine"/>
        <w:pBdr>
          <w:bottom w:val="single" w:sz="20" w:space="0" w:color="808080"/>
        </w:pBdr>
        <w:rPr/>
      </w:pPr>
      <w:r>
        <w:rPr/>
      </w:r>
      <w:r>
        <w:br w:type="page"/>
      </w:r>
    </w:p>
    <w:p>
      <w:pPr>
        <w:pStyle w:val="TextBody"/>
        <w:rPr/>
      </w:pPr>
      <w:r>
        <w:rPr/>
      </w:r>
      <w:bookmarkStart w:id="76" w:name="page_di1086_1_24"/>
      <w:bookmarkStart w:id="77" w:name="page_di1086_1_24"/>
      <w:bookmarkEnd w:id="77"/>
    </w:p>
    <w:p>
      <w:pPr>
        <w:pStyle w:val="TextBody"/>
        <w:rPr>
          <w:sz w:val="20"/>
        </w:rPr>
      </w:pPr>
      <w:r>
        <w:rPr>
          <w:sz w:val="20"/>
        </w:rPr>
        <w:t xml:space="preserve">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 </w:t>
      </w:r>
    </w:p>
    <w:p>
      <w:pPr>
        <w:pStyle w:val="TextBody"/>
        <w:rPr>
          <w:b/>
          <w:sz w:val="20"/>
        </w:rPr>
      </w:pPr>
      <w:r>
        <w:rPr>
          <w:b/>
          <w:sz w:val="20"/>
        </w:rPr>
        <w:t xml:space="preserve">Reports and Records </w:t>
      </w:r>
    </w:p>
    <w:p>
      <w:pPr>
        <w:pStyle w:val="TextBody"/>
        <w:rPr/>
      </w:pPr>
      <w:r>
        <w:rPr/>
        <w:t>        </w:t>
      </w:r>
      <w:r>
        <w:rPr>
          <w:sz w:val="20"/>
        </w:rPr>
        <w:t xml:space="preserve">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 </w:t>
      </w:r>
    </w:p>
    <w:p>
      <w:pPr>
        <w:pStyle w:val="TextBody"/>
        <w:rPr/>
      </w:pPr>
      <w:r>
        <w:rPr/>
        <w:t>        </w:t>
      </w:r>
      <w:r>
        <w:rPr>
          <w:sz w:val="20"/>
        </w:rPr>
        <w:t xml:space="preserve">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 </w:t>
      </w:r>
    </w:p>
    <w:p>
      <w:pPr>
        <w:pStyle w:val="TextBody"/>
        <w:rPr/>
      </w:pPr>
      <w:r>
        <w:rPr/>
        <w:t>        </w:t>
      </w:r>
      <w:r>
        <w:rPr>
          <w:sz w:val="20"/>
        </w:rPr>
        <w:t xml:space="preserve">A limited partner can, for a purpose reasonably related to the limited partner's interest as a limited partner, upon reasonable demand and at his own expense, have furnished to him: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current list of the name and last known address of each partner;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copy of our tax returns;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information as to the amount of cash and a description and statement of the agreed value of any other property or services, contributed or to be contributed by each partner and the date on which each became a partner;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copies of our partnership agreement, our certificate of limited partnership, amendments to either of them and powers of attorney which have been executed under our partnership agreement;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information regarding the status of our business and financial condition;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other information regarding our affairs as is just and reasonable. </w:t>
      </w:r>
    </w:p>
    <w:p>
      <w:pPr>
        <w:pStyle w:val="TextBody"/>
        <w:rPr/>
      </w:pPr>
      <w:r>
        <w:rPr/>
      </w:r>
    </w:p>
    <w:p>
      <w:pPr>
        <w:pStyle w:val="TextBody"/>
        <w:rPr/>
      </w:pPr>
      <w:r>
        <w:rPr/>
        <w:t>        </w:t>
      </w:r>
      <w:r>
        <w:rPr>
          <w:sz w:val="20"/>
        </w:rPr>
        <w:t xml:space="preserve">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 </w:t>
      </w:r>
    </w:p>
    <w:p>
      <w:pPr>
        <w:pStyle w:val="TextBody"/>
        <w:jc w:val="center"/>
        <w:rPr>
          <w:sz w:val="20"/>
        </w:rPr>
      </w:pPr>
      <w:r>
        <w:rPr>
          <w:sz w:val="20"/>
        </w:rPr>
        <w:t>24</w:t>
      </w:r>
    </w:p>
    <w:p>
      <w:pPr>
        <w:pStyle w:val="HorizontalLine"/>
        <w:pBdr>
          <w:bottom w:val="single" w:sz="20" w:space="0" w:color="808080"/>
        </w:pBdr>
        <w:rPr/>
      </w:pPr>
      <w:r>
        <w:rPr/>
      </w:r>
      <w:r>
        <w:br w:type="page"/>
      </w:r>
    </w:p>
    <w:p>
      <w:pPr>
        <w:pStyle w:val="TextBody"/>
        <w:jc w:val="center"/>
        <w:rPr/>
      </w:pPr>
      <w:bookmarkStart w:id="78" w:name="toc_di1086_2"/>
      <w:bookmarkStart w:id="79" w:name="di1086_cash_distribution_policy"/>
      <w:bookmarkStart w:id="80" w:name="page_di1086_1_25"/>
      <w:bookmarkEnd w:id="78"/>
      <w:bookmarkEnd w:id="79"/>
      <w:bookmarkEnd w:id="80"/>
      <w:r>
        <w:rPr>
          <w:sz w:val="20"/>
        </w:rPr>
        <w:br/>
      </w:r>
      <w:r>
        <w:rPr>
          <w:b/>
          <w:sz w:val="20"/>
        </w:rPr>
        <w:t xml:space="preserve">CASH DISTRIBUTION POLICY </w:t>
      </w:r>
    </w:p>
    <w:p>
      <w:pPr>
        <w:pStyle w:val="TextBody"/>
        <w:rPr>
          <w:b/>
          <w:sz w:val="20"/>
        </w:rPr>
      </w:pPr>
      <w:r>
        <w:rPr>
          <w:b/>
          <w:sz w:val="20"/>
        </w:rPr>
        <w:t xml:space="preserve">Distributions of Available Cash </w:t>
      </w:r>
    </w:p>
    <w:p>
      <w:pPr>
        <w:pStyle w:val="TextBody"/>
        <w:rPr/>
      </w:pPr>
      <w:r>
        <w:rPr/>
        <w:t>        </w:t>
      </w:r>
      <w:r>
        <w:rPr>
          <w:i/>
          <w:sz w:val="20"/>
        </w:rPr>
        <w:t>General.</w:t>
      </w:r>
      <w:r>
        <w:rPr/>
        <w:t>    </w:t>
      </w:r>
      <w:r>
        <w:rPr>
          <w:sz w:val="20"/>
        </w:rPr>
        <w:t xml:space="preserve">We will distribute to our unitholders, on a quarterly basis, all of our available cash in the manner described below. </w:t>
      </w:r>
    </w:p>
    <w:p>
      <w:pPr>
        <w:pStyle w:val="TextBody"/>
        <w:rPr/>
      </w:pPr>
      <w:r>
        <w:rPr/>
        <w:t>        </w:t>
      </w:r>
      <w:r>
        <w:rPr>
          <w:i/>
          <w:sz w:val="20"/>
        </w:rPr>
        <w:t>Definition of Available Cash.</w:t>
      </w:r>
      <w:r>
        <w:rPr/>
        <w:t>    </w:t>
      </w:r>
      <w:r>
        <w:rPr>
          <w:sz w:val="20"/>
        </w:rPr>
        <w:t xml:space="preserve">Available cash generally means, for any quarter ending prior to liquidation, all cash on hand at the end of that quarter less the amount of cash reserves that are necessary or appropriate in the reasonable discretion of the general partner to: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provide for the proper conduct of our business;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comply with applicable law or any partnership debt instrument or other agreement;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provide funds for distributions to unitholders and the general partner in respect of any one or more of the next four quarters. </w:t>
      </w:r>
    </w:p>
    <w:p>
      <w:pPr>
        <w:pStyle w:val="TextBody"/>
        <w:rPr>
          <w:b/>
          <w:sz w:val="20"/>
        </w:rPr>
      </w:pPr>
      <w:r>
        <w:rPr>
          <w:b/>
          <w:sz w:val="20"/>
        </w:rPr>
        <w:t xml:space="preserve">Operating Surplus and Capital Surplus </w:t>
      </w:r>
    </w:p>
    <w:p>
      <w:pPr>
        <w:pStyle w:val="TextBody"/>
        <w:rPr/>
      </w:pPr>
      <w:r>
        <w:rPr/>
        <w:t>        </w:t>
      </w:r>
      <w:r>
        <w:rPr>
          <w:i/>
          <w:sz w:val="20"/>
        </w:rPr>
        <w:t>General.</w:t>
      </w:r>
      <w:r>
        <w:rPr/>
        <w:t>    </w:t>
      </w:r>
      <w:r>
        <w:rPr>
          <w:sz w:val="20"/>
        </w:rPr>
        <w:t xml:space="preserve">Cash distributions to our unitholders will be characterized as either operating surplus or capital surplus. We distribute available cash from operating surplus differently than available cash from capital surplus. See "Quarterly Distributions of Available Cash." </w:t>
      </w:r>
    </w:p>
    <w:p>
      <w:pPr>
        <w:pStyle w:val="TextBody"/>
        <w:rPr/>
      </w:pPr>
      <w:r>
        <w:rPr/>
        <w:t>        </w:t>
      </w:r>
      <w:r>
        <w:rPr>
          <w:i/>
          <w:sz w:val="20"/>
        </w:rPr>
        <w:t>Definition of Operating Surplus.</w:t>
      </w:r>
      <w:r>
        <w:rPr/>
        <w:t>    </w:t>
      </w:r>
      <w:r>
        <w:rPr>
          <w:sz w:val="20"/>
        </w:rPr>
        <w:t xml:space="preserve">Operating surplus refers generally to: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our cash balances on the closing date of our initial public offering; plus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$25 million; plus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all of our cash receipts from operations, excluding cash that is capital surplus; less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all of our operating expenses, debt service payments, but not including payments required with the sale of assets or any refinancing with the proceeds of new indebtedness or an equity offering, maintenance capital expenditures and reserves established for future operations. </w:t>
      </w:r>
    </w:p>
    <w:p>
      <w:pPr>
        <w:pStyle w:val="TextBody"/>
        <w:rPr/>
      </w:pPr>
      <w:r>
        <w:rPr/>
        <w:t>        </w:t>
      </w:r>
      <w:r>
        <w:rPr>
          <w:i/>
          <w:sz w:val="20"/>
        </w:rPr>
        <w:t>Definition of Capital Surplus.</w:t>
      </w:r>
      <w:r>
        <w:rPr/>
        <w:t>    </w:t>
      </w:r>
      <w:r>
        <w:rPr>
          <w:sz w:val="20"/>
        </w:rPr>
        <w:t xml:space="preserve">Capital surplus will generally be generated only by: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borrowings other than working capital borrowings;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sales of debt and equity securities;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sales or other dispositions of assets for cash, other than inventory, accounts receivable and other assets in the ordinary course of business. </w:t>
      </w:r>
    </w:p>
    <w:p>
      <w:pPr>
        <w:pStyle w:val="TextBody"/>
        <w:rPr/>
      </w:pPr>
      <w:r>
        <w:rPr/>
        <w:t>        </w:t>
      </w:r>
      <w:r>
        <w:rPr>
          <w:sz w:val="20"/>
        </w:rPr>
        <w:t xml:space="preserve">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 </w:t>
      </w:r>
    </w:p>
    <w:p>
      <w:pPr>
        <w:pStyle w:val="TextBody"/>
        <w:rPr/>
      </w:pPr>
      <w:r>
        <w:rPr/>
        <w:t>        </w:t>
      </w:r>
      <w:r>
        <w:rPr>
          <w:sz w:val="20"/>
        </w:rPr>
        <w:t xml:space="preserve">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 </w:t>
      </w:r>
    </w:p>
    <w:p>
      <w:pPr>
        <w:pStyle w:val="TextBody"/>
        <w:rPr>
          <w:b/>
          <w:sz w:val="20"/>
        </w:rPr>
      </w:pPr>
      <w:r>
        <w:rPr>
          <w:b/>
          <w:sz w:val="20"/>
        </w:rPr>
        <w:t xml:space="preserve">Incentive Distribution Rights </w:t>
      </w:r>
    </w:p>
    <w:p>
      <w:pPr>
        <w:pStyle w:val="TextBody"/>
        <w:rPr/>
      </w:pPr>
      <w:r>
        <w:rPr/>
        <w:t>        </w:t>
      </w:r>
      <w:r>
        <w:rPr>
          <w:sz w:val="20"/>
        </w:rPr>
        <w:t xml:space="preserve">The 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 </w:t>
      </w:r>
    </w:p>
    <w:p>
      <w:pPr>
        <w:pStyle w:val="TextBody"/>
        <w:jc w:val="center"/>
        <w:rPr>
          <w:sz w:val="20"/>
        </w:rPr>
      </w:pPr>
      <w:r>
        <w:rPr>
          <w:sz w:val="20"/>
        </w:rPr>
        <w:t>25</w:t>
      </w:r>
    </w:p>
    <w:p>
      <w:pPr>
        <w:pStyle w:val="HorizontalLine"/>
        <w:pBdr>
          <w:bottom w:val="single" w:sz="20" w:space="0" w:color="808080"/>
        </w:pBdr>
        <w:rPr/>
      </w:pPr>
      <w:r>
        <w:rPr/>
      </w:r>
      <w:r>
        <w:br w:type="page"/>
      </w:r>
    </w:p>
    <w:p>
      <w:pPr>
        <w:pStyle w:val="TextBody"/>
        <w:rPr/>
      </w:pPr>
      <w:r>
        <w:rPr/>
      </w:r>
      <w:bookmarkStart w:id="81" w:name="page_di1086_1_26"/>
      <w:bookmarkStart w:id="82" w:name="page_di1086_1_26"/>
      <w:bookmarkEnd w:id="82"/>
    </w:p>
    <w:p>
      <w:pPr>
        <w:pStyle w:val="TextBody"/>
        <w:rPr>
          <w:sz w:val="20"/>
        </w:rPr>
      </w:pPr>
      <w:r>
        <w:rPr>
          <w:sz w:val="20"/>
        </w:rPr>
        <w:t xml:space="preserve">amounts of available cash from operating surplus distributed above the payments made under the minimum quarterly distribution, if any, and the related 2% distribution to the general partner. </w:t>
      </w:r>
    </w:p>
    <w:p>
      <w:pPr>
        <w:pStyle w:val="TextBody"/>
        <w:rPr>
          <w:b/>
          <w:sz w:val="20"/>
        </w:rPr>
      </w:pPr>
      <w:r>
        <w:rPr>
          <w:b/>
          <w:sz w:val="20"/>
        </w:rPr>
        <w:t xml:space="preserve">Effect of Issuance of Additional Units </w:t>
      </w:r>
    </w:p>
    <w:p>
      <w:pPr>
        <w:pStyle w:val="TextBody"/>
        <w:rPr/>
      </w:pPr>
      <w:r>
        <w:rPr/>
        <w:t>        </w:t>
      </w:r>
      <w:r>
        <w:rPr>
          <w:sz w:val="20"/>
        </w:rPr>
        <w:t xml:space="preserve">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 </w:t>
      </w:r>
    </w:p>
    <w:p>
      <w:pPr>
        <w:pStyle w:val="TextBody"/>
        <w:rPr/>
      </w:pPr>
      <w:r>
        <w:rPr/>
        <w:t>        </w:t>
      </w:r>
      <w:r>
        <w:rPr>
          <w:sz w:val="20"/>
        </w:rPr>
        <w:t xml:space="preserve">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 </w:t>
      </w:r>
    </w:p>
    <w:p>
      <w:pPr>
        <w:pStyle w:val="TextBody"/>
        <w:rPr>
          <w:b/>
          <w:sz w:val="20"/>
        </w:rPr>
      </w:pPr>
      <w:r>
        <w:rPr>
          <w:b/>
          <w:sz w:val="20"/>
        </w:rPr>
        <w:t xml:space="preserve">Quarterly Distributions of Available Cash </w:t>
      </w:r>
    </w:p>
    <w:p>
      <w:pPr>
        <w:pStyle w:val="TextBody"/>
        <w:rPr/>
      </w:pPr>
      <w:r>
        <w:rPr/>
        <w:t>        </w:t>
      </w:r>
      <w:r>
        <w:rPr>
          <w:sz w:val="20"/>
        </w:rPr>
        <w:t xml:space="preserve">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"Distributions from Capital Surplus" and "Adjustment to the Minimum Quarterly Distribution and Target Distribution Levels." </w:t>
      </w:r>
    </w:p>
    <w:p>
      <w:pPr>
        <w:pStyle w:val="TextBody"/>
        <w:rPr>
          <w:b/>
          <w:sz w:val="20"/>
        </w:rPr>
      </w:pPr>
      <w:r>
        <w:rPr>
          <w:b/>
          <w:sz w:val="20"/>
        </w:rPr>
        <w:t xml:space="preserve">Distributions From Operating Surplus </w:t>
      </w:r>
    </w:p>
    <w:p>
      <w:pPr>
        <w:pStyle w:val="TextBody"/>
        <w:rPr/>
      </w:pPr>
      <w:r>
        <w:rPr/>
        <w:t>        </w:t>
      </w:r>
      <w:r>
        <w:rPr>
          <w:sz w:val="20"/>
        </w:rPr>
        <w:t xml:space="preserve">We will make distributions of available cash from operating surplus in the following manner: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First, 98% to all unitholders, pro rata, and 2% to the general partner, until we distribute for each unit an amount equal to the minimum quarterly distribution for that quarter;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Thereafter, in the manner described in "Incentive Distributions" below. </w:t>
      </w:r>
    </w:p>
    <w:p>
      <w:pPr>
        <w:pStyle w:val="TextBody"/>
        <w:rPr>
          <w:b/>
          <w:sz w:val="20"/>
        </w:rPr>
      </w:pPr>
      <w:r>
        <w:rPr>
          <w:b/>
          <w:sz w:val="20"/>
        </w:rPr>
        <w:t xml:space="preserve">Incentive Distribution Rights </w:t>
      </w:r>
    </w:p>
    <w:p>
      <w:pPr>
        <w:pStyle w:val="TextBody"/>
        <w:rPr/>
      </w:pPr>
      <w:r>
        <w:rPr/>
        <w:t>        </w:t>
      </w:r>
      <w:r>
        <w:rPr>
          <w:sz w:val="20"/>
        </w:rPr>
        <w:t xml:space="preserve">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First, 85% to all unitholders, pro rata, and 15% to the general partner, until each unitholder receives a total of $0.495 for that quarter for each outstanding unit (the "first target distribution");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Second, 75% to all unitholders, pro rata, and 25% to the general partner, until each unitholder receives a total of $0.675 for that quarter for each outstanding unit (the "second target distribution");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Thereafter, 50% to all unitholders, pro rata, and 50% to the general partner. </w:t>
      </w:r>
    </w:p>
    <w:p>
      <w:pPr>
        <w:pStyle w:val="TextBody"/>
        <w:rPr/>
      </w:pPr>
      <w:r>
        <w:rPr/>
        <w:t>        </w:t>
      </w:r>
      <w:r>
        <w:rPr>
          <w:sz w:val="20"/>
        </w:rPr>
        <w:t xml:space="preserve">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 </w:t>
      </w:r>
    </w:p>
    <w:p>
      <w:pPr>
        <w:pStyle w:val="TextBody"/>
        <w:jc w:val="center"/>
        <w:rPr>
          <w:sz w:val="20"/>
        </w:rPr>
      </w:pPr>
      <w:r>
        <w:rPr>
          <w:sz w:val="20"/>
        </w:rPr>
        <w:t>26</w:t>
      </w:r>
    </w:p>
    <w:p>
      <w:pPr>
        <w:pStyle w:val="HorizontalLine"/>
        <w:pBdr>
          <w:bottom w:val="single" w:sz="20" w:space="0" w:color="808080"/>
        </w:pBdr>
        <w:rPr/>
      </w:pPr>
      <w:r>
        <w:rPr/>
      </w:r>
      <w:r>
        <w:br w:type="page"/>
      </w:r>
    </w:p>
    <w:p>
      <w:pPr>
        <w:pStyle w:val="TextBody"/>
        <w:rPr/>
      </w:pPr>
      <w:r>
        <w:rPr/>
      </w:r>
      <w:bookmarkStart w:id="83" w:name="page_di1086_1_27"/>
      <w:bookmarkStart w:id="84" w:name="page_di1086_1_27"/>
      <w:bookmarkEnd w:id="84"/>
    </w:p>
    <w:p>
      <w:pPr>
        <w:pStyle w:val="TextBody"/>
        <w:rPr>
          <w:b/>
          <w:sz w:val="20"/>
        </w:rPr>
      </w:pPr>
      <w:r>
        <w:rPr>
          <w:b/>
          <w:sz w:val="20"/>
        </w:rPr>
        <w:t xml:space="preserve">Distributions from Capital Surplus </w:t>
      </w:r>
    </w:p>
    <w:p>
      <w:pPr>
        <w:pStyle w:val="TextBody"/>
        <w:rPr/>
      </w:pPr>
      <w:r>
        <w:rPr/>
        <w:t>        </w:t>
      </w:r>
      <w:r>
        <w:rPr>
          <w:i/>
          <w:sz w:val="20"/>
        </w:rPr>
        <w:t>How Distributions from Capital Surplus Will Be Made.</w:t>
      </w:r>
      <w:r>
        <w:rPr/>
        <w:t>    </w:t>
      </w:r>
      <w:r>
        <w:rPr>
          <w:sz w:val="20"/>
        </w:rPr>
        <w:t xml:space="preserve">We will make distributions of available cash from capital surplus in the following manner: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First, 98% to all unitholders, pro rata, and 2% to the general partner, until we distribute, for each common unit issued in this offering, available cash from capital surplus in an aggregate amount per common unit equal to the initial public offering price;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Thereafter, we will make all distributions of available cash from capital surplus as if they were from operating surplus. </w:t>
      </w:r>
    </w:p>
    <w:p>
      <w:pPr>
        <w:pStyle w:val="TextBody"/>
        <w:rPr/>
      </w:pPr>
      <w:r>
        <w:rPr/>
        <w:t>        </w:t>
      </w:r>
      <w:r>
        <w:rPr>
          <w:i/>
          <w:sz w:val="20"/>
        </w:rPr>
        <w:t>Effect of a Distribution from Capital Surplus.</w:t>
      </w:r>
      <w:r>
        <w:rPr/>
        <w:t>    </w:t>
      </w:r>
      <w:r>
        <w:rPr>
          <w:sz w:val="20"/>
        </w:rPr>
        <w:t xml:space="preserve">Our partnership agreement treats a distribution of available cash from capital surplus 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 </w:t>
      </w:r>
    </w:p>
    <w:p>
      <w:pPr>
        <w:pStyle w:val="TextBody"/>
        <w:rPr/>
      </w:pPr>
      <w:r>
        <w:rPr/>
        <w:t>        </w:t>
      </w:r>
      <w:r>
        <w:rPr>
          <w:i/>
          <w:sz w:val="20"/>
        </w:rPr>
        <w:t>When Payback Occurs.</w:t>
      </w:r>
      <w:r>
        <w:rPr/>
        <w:t>    </w:t>
      </w:r>
      <w:r>
        <w:rPr>
          <w:sz w:val="20"/>
        </w:rPr>
        <w:t xml:space="preserve">When "payback" of the reduced initial unit price has occurred, i.e., when the unrecovered capital of the common units is zero, then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minimum quarterly distribution and the target distribution levels will be reduced to zero for subsequent quarters;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all distributions of available cash will be treated as operating surplus;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general partner will be entitled to receive 50% of distributions of available cash in its capacities as general partner and as holder of the incentive distribution rights. </w:t>
      </w:r>
    </w:p>
    <w:p>
      <w:pPr>
        <w:pStyle w:val="TextBody"/>
        <w:rPr/>
      </w:pPr>
      <w:r>
        <w:rPr/>
        <w:t>        </w:t>
      </w:r>
      <w:r>
        <w:rPr>
          <w:sz w:val="20"/>
        </w:rPr>
        <w:t xml:space="preserve">Distributions of available cash from capital surplus will not reduce the minimum quarterly distribution or target distribution levels for the quarter in which they are distributed. </w:t>
      </w:r>
    </w:p>
    <w:p>
      <w:pPr>
        <w:pStyle w:val="TextBody"/>
        <w:rPr>
          <w:b/>
          <w:sz w:val="20"/>
        </w:rPr>
      </w:pPr>
      <w:r>
        <w:rPr>
          <w:b/>
          <w:sz w:val="20"/>
        </w:rPr>
        <w:t xml:space="preserve">Adjustment to the Minimum Quarterly Distribution and Target Distribution Levels </w:t>
      </w:r>
    </w:p>
    <w:p>
      <w:pPr>
        <w:pStyle w:val="TextBody"/>
        <w:rPr/>
      </w:pPr>
      <w:r>
        <w:rPr/>
        <w:t>        </w:t>
      </w:r>
      <w:r>
        <w:rPr>
          <w:i/>
          <w:sz w:val="20"/>
        </w:rPr>
        <w:t>How We Adjust the Minimum Quarterly Distribution and Target Distribution Levels.</w:t>
      </w:r>
      <w:r>
        <w:rPr/>
        <w:t>    </w:t>
      </w:r>
      <w:r>
        <w:rPr>
          <w:sz w:val="20"/>
        </w:rPr>
        <w:t xml:space="preserve">In addition to adjusting the minimum 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minimum quarterly distribution;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target distribution levels;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unrecovered capital;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other amounts calculated on a per unit basis. </w:t>
      </w:r>
    </w:p>
    <w:p>
      <w:pPr>
        <w:pStyle w:val="TextBody"/>
        <w:rPr/>
      </w:pPr>
      <w:r>
        <w:rPr/>
        <w:t>        </w:t>
      </w:r>
      <w:r>
        <w:rPr>
          <w:sz w:val="20"/>
        </w:rPr>
        <w:t xml:space="preserve">For example, in the event of a two-for-one split of the common units (assuming no prior adjustments), the minimum quarterly distribution, each of the target distribution levels and the unrecovered capital of the common units would each be reduced to 50% of its initial level. </w:t>
      </w:r>
    </w:p>
    <w:p>
      <w:pPr>
        <w:pStyle w:val="TextBody"/>
        <w:rPr/>
      </w:pPr>
      <w:r>
        <w:rPr/>
        <w:t>        </w:t>
      </w:r>
      <w:r>
        <w:rPr>
          <w:i/>
          <w:sz w:val="20"/>
        </w:rPr>
        <w:t>If We Became Subject to Taxation.</w:t>
      </w:r>
      <w:r>
        <w:rPr/>
        <w:t>    </w:t>
      </w:r>
      <w:r>
        <w:rPr>
          <w:sz w:val="20"/>
        </w:rPr>
        <w:t xml:space="preserve">If legislation is enacted or if existing law is modified or interpreted by the relevant governmental authority so that we become taxable as a corporation or otherwise subject to taxation as an entity for federal, state or local income tax purposes, we will adjust </w:t>
      </w:r>
    </w:p>
    <w:p>
      <w:pPr>
        <w:pStyle w:val="TextBody"/>
        <w:jc w:val="center"/>
        <w:rPr>
          <w:sz w:val="20"/>
        </w:rPr>
      </w:pPr>
      <w:r>
        <w:rPr>
          <w:sz w:val="20"/>
        </w:rPr>
        <w:t>27</w:t>
      </w:r>
    </w:p>
    <w:p>
      <w:pPr>
        <w:pStyle w:val="HorizontalLine"/>
        <w:pBdr>
          <w:bottom w:val="single" w:sz="20" w:space="0" w:color="808080"/>
        </w:pBdr>
        <w:rPr/>
      </w:pPr>
      <w:r>
        <w:rPr/>
      </w:r>
      <w:r>
        <w:br w:type="page"/>
      </w:r>
    </w:p>
    <w:p>
      <w:pPr>
        <w:pStyle w:val="TextBody"/>
        <w:rPr/>
      </w:pPr>
      <w:r>
        <w:rPr/>
      </w:r>
      <w:bookmarkStart w:id="85" w:name="page_di1086_1_28"/>
      <w:bookmarkStart w:id="86" w:name="page_di1086_1_28"/>
      <w:bookmarkEnd w:id="86"/>
    </w:p>
    <w:p>
      <w:pPr>
        <w:pStyle w:val="TextBody"/>
        <w:rPr>
          <w:sz w:val="20"/>
        </w:rPr>
      </w:pPr>
      <w:r>
        <w:rPr>
          <w:sz w:val="20"/>
        </w:rPr>
        <w:t xml:space="preserve">the minimum quarterly distribution and each of the target distribution levels, respectively, to equal the product obtained by multiplying the amount thereof by: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 </w:t>
      </w:r>
    </w:p>
    <w:p>
      <w:pPr>
        <w:pStyle w:val="TextBody"/>
        <w:rPr/>
      </w:pPr>
      <w:r>
        <w:rPr/>
      </w:r>
    </w:p>
    <w:p>
      <w:pPr>
        <w:pStyle w:val="TextBody"/>
        <w:rPr/>
      </w:pPr>
      <w:r>
        <w:rPr/>
        <w:t>        </w:t>
      </w:r>
      <w:r>
        <w:rPr>
          <w:sz w:val="20"/>
        </w:rPr>
        <w:t xml:space="preserve">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 </w:t>
      </w:r>
    </w:p>
    <w:p>
      <w:pPr>
        <w:pStyle w:val="TextBody"/>
        <w:rPr>
          <w:b/>
          <w:sz w:val="20"/>
        </w:rPr>
      </w:pPr>
      <w:r>
        <w:rPr>
          <w:b/>
          <w:sz w:val="20"/>
        </w:rPr>
        <w:t xml:space="preserve">Distribution of Cash Upon Liquidation </w:t>
      </w:r>
    </w:p>
    <w:p>
      <w:pPr>
        <w:pStyle w:val="TextBody"/>
        <w:rPr/>
      </w:pPr>
      <w:r>
        <w:rPr/>
        <w:t>        </w:t>
      </w:r>
      <w:r>
        <w:rPr>
          <w:i/>
          <w:sz w:val="20"/>
        </w:rPr>
        <w:t>General.</w:t>
      </w:r>
      <w:r>
        <w:rPr/>
        <w:t>    </w:t>
      </w:r>
      <w:r>
        <w:rPr>
          <w:sz w:val="20"/>
        </w:rPr>
        <w:t xml:space="preserve">If we dissolve and liquidate, we will sell our assets or otherwise dispose of our assets and we will adjust the partners' capital account balances to 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 </w:t>
      </w:r>
    </w:p>
    <w:p>
      <w:pPr>
        <w:pStyle w:val="TextBody"/>
        <w:rPr/>
      </w:pPr>
      <w:r>
        <w:rPr/>
        <w:t>        </w:t>
      </w:r>
      <w:r>
        <w:rPr>
          <w:i/>
          <w:sz w:val="20"/>
        </w:rPr>
        <w:t>Manner of Adjustment.</w:t>
      </w:r>
      <w:r>
        <w:rPr/>
        <w:t>    </w:t>
      </w:r>
      <w:r>
        <w:rPr>
          <w:sz w:val="20"/>
        </w:rPr>
        <w:t xml:space="preserve">If we liquidate, we would allocate any loss to the general partner and each unitholder as follows: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First, 98% to the holders of common units who have positive balances in their capital accounts in proportion to those positive balances and 2% to the general partner, until the capital accounts of the common unitholders have been reduced to zero;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Thereafter, 100% to the general partner. </w:t>
      </w:r>
    </w:p>
    <w:p>
      <w:pPr>
        <w:pStyle w:val="TextBody"/>
        <w:rPr/>
      </w:pPr>
      <w:r>
        <w:rPr/>
        <w:t>        </w:t>
      </w:r>
      <w:r>
        <w:rPr>
          <w:i/>
          <w:sz w:val="20"/>
        </w:rPr>
        <w:t>Interim Adjustments to Capital Accounts.</w:t>
      </w:r>
      <w:r>
        <w:rPr/>
        <w:t>    </w:t>
      </w:r>
      <w:r>
        <w:rPr>
          <w:sz w:val="20"/>
        </w:rPr>
        <w:t xml:space="preserve">If we issued additional security interests or made distributions of property, interim 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 </w:t>
      </w:r>
    </w:p>
    <w:p>
      <w:pPr>
        <w:pStyle w:val="TextBody"/>
        <w:jc w:val="center"/>
        <w:rPr>
          <w:sz w:val="20"/>
        </w:rPr>
      </w:pPr>
      <w:r>
        <w:rPr>
          <w:sz w:val="20"/>
        </w:rPr>
        <w:t>28</w:t>
      </w:r>
    </w:p>
    <w:p>
      <w:pPr>
        <w:pStyle w:val="HorizontalLine"/>
        <w:pBdr>
          <w:bottom w:val="single" w:sz="20" w:space="0" w:color="808080"/>
        </w:pBdr>
        <w:rPr/>
      </w:pPr>
      <w:r>
        <w:rPr/>
      </w:r>
      <w:r>
        <w:br w:type="page"/>
      </w:r>
    </w:p>
    <w:p>
      <w:pPr>
        <w:pStyle w:val="TextBody"/>
        <w:jc w:val="center"/>
        <w:rPr/>
      </w:pPr>
      <w:bookmarkStart w:id="87" w:name="toc_di1086_3"/>
      <w:bookmarkStart w:id="88" w:name="di1086_description_of_our_partnership_ag"/>
      <w:bookmarkStart w:id="89" w:name="page_di1086_1_29"/>
      <w:bookmarkEnd w:id="87"/>
      <w:bookmarkEnd w:id="88"/>
      <w:bookmarkEnd w:id="89"/>
      <w:r>
        <w:rPr>
          <w:sz w:val="20"/>
        </w:rPr>
        <w:br/>
      </w:r>
      <w:r>
        <w:rPr>
          <w:b/>
          <w:sz w:val="20"/>
        </w:rPr>
        <w:t xml:space="preserve">DESCRIPTION OF OUR PARTNERSHIP AGREEMENT </w:t>
      </w:r>
    </w:p>
    <w:p>
      <w:pPr>
        <w:pStyle w:val="TextBody"/>
        <w:rPr/>
      </w:pPr>
      <w:r>
        <w:rPr/>
        <w:t>        </w:t>
      </w:r>
      <w:r>
        <w:rPr>
          <w:sz w:val="20"/>
        </w:rPr>
        <w:t xml:space="preserve">The following is a summary of the material provisions of our partnership agreement. The following provisions of our partnership agreement are summarized elsewhere in this prospectus: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distributions of our available cash are described under "Cash Distribution Policy";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allocations of taxable income and other tax matters are described under "Tax Considerations";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rights of holders of common units are described under "Description of Our Common Units." </w:t>
      </w:r>
    </w:p>
    <w:p>
      <w:pPr>
        <w:pStyle w:val="TextBody"/>
        <w:rPr>
          <w:b/>
          <w:sz w:val="20"/>
        </w:rPr>
      </w:pPr>
      <w:r>
        <w:rPr>
          <w:b/>
          <w:sz w:val="20"/>
        </w:rPr>
        <w:t xml:space="preserve">Purpose </w:t>
      </w:r>
    </w:p>
    <w:p>
      <w:pPr>
        <w:pStyle w:val="TextBody"/>
        <w:rPr/>
      </w:pPr>
      <w:r>
        <w:rPr/>
        <w:t>        </w:t>
      </w:r>
      <w:r>
        <w:rPr>
          <w:sz w:val="20"/>
        </w:rPr>
        <w:t xml:space="preserve">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 </w:t>
      </w:r>
    </w:p>
    <w:p>
      <w:pPr>
        <w:pStyle w:val="TextBody"/>
        <w:rPr>
          <w:b/>
          <w:sz w:val="20"/>
        </w:rPr>
      </w:pPr>
      <w:r>
        <w:rPr>
          <w:b/>
          <w:sz w:val="20"/>
        </w:rPr>
        <w:t xml:space="preserve">Power of Attorney </w:t>
      </w:r>
    </w:p>
    <w:p>
      <w:pPr>
        <w:pStyle w:val="TextBody"/>
        <w:rPr/>
      </w:pPr>
      <w:r>
        <w:rPr/>
        <w:t>        </w:t>
      </w:r>
      <w:r>
        <w:rPr>
          <w:sz w:val="20"/>
        </w:rPr>
        <w:t xml:space="preserve">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 </w:t>
      </w:r>
    </w:p>
    <w:p>
      <w:pPr>
        <w:pStyle w:val="TextBody"/>
        <w:rPr>
          <w:b/>
          <w:sz w:val="20"/>
        </w:rPr>
      </w:pPr>
      <w:r>
        <w:rPr>
          <w:b/>
          <w:sz w:val="20"/>
        </w:rPr>
        <w:t xml:space="preserve">Reimbursements of Our General Partner </w:t>
      </w:r>
    </w:p>
    <w:p>
      <w:pPr>
        <w:pStyle w:val="TextBody"/>
        <w:rPr/>
      </w:pPr>
      <w:r>
        <w:rPr/>
        <w:t>        </w:t>
      </w:r>
      <w:r>
        <w:rPr>
          <w:sz w:val="20"/>
        </w:rPr>
        <w:t xml:space="preserve">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 </w:t>
      </w:r>
    </w:p>
    <w:p>
      <w:pPr>
        <w:pStyle w:val="TextBody"/>
        <w:rPr>
          <w:b/>
          <w:sz w:val="20"/>
        </w:rPr>
      </w:pPr>
      <w:r>
        <w:rPr>
          <w:b/>
          <w:sz w:val="20"/>
        </w:rPr>
        <w:t xml:space="preserve">Issuance of Additional Securities </w:t>
      </w:r>
    </w:p>
    <w:p>
      <w:pPr>
        <w:pStyle w:val="TextBody"/>
        <w:rPr/>
      </w:pPr>
      <w:r>
        <w:rPr/>
        <w:t>        </w:t>
      </w:r>
      <w:r>
        <w:rPr>
          <w:sz w:val="20"/>
        </w:rPr>
        <w:t xml:space="preserve">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 </w:t>
      </w:r>
    </w:p>
    <w:p>
      <w:pPr>
        <w:pStyle w:val="TextBody"/>
        <w:rPr/>
      </w:pPr>
      <w:r>
        <w:rPr/>
        <w:t>        </w:t>
      </w:r>
      <w:r>
        <w:rPr>
          <w:sz w:val="20"/>
        </w:rPr>
        <w:t xml:space="preserve">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 </w:t>
      </w:r>
    </w:p>
    <w:p>
      <w:pPr>
        <w:pStyle w:val="TextBody"/>
        <w:rPr/>
      </w:pPr>
      <w:r>
        <w:rPr/>
        <w:t>        </w:t>
      </w:r>
      <w:r>
        <w:rPr>
          <w:sz w:val="20"/>
        </w:rPr>
        <w:t xml:space="preserve">In accordance with Delaware law and the provisions of our partnership agreement, we may also issue additional partnership interests that, in the sole discretion of our general partner, may have special voting rights to which common units are not entitled. </w:t>
      </w:r>
    </w:p>
    <w:p>
      <w:pPr>
        <w:pStyle w:val="TextBody"/>
        <w:rPr/>
      </w:pPr>
      <w:r>
        <w:rPr/>
        <w:t>        </w:t>
      </w:r>
      <w:r>
        <w:rPr>
          <w:sz w:val="20"/>
        </w:rPr>
        <w:t xml:space="preserve">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w:t>
      </w:r>
    </w:p>
    <w:p>
      <w:pPr>
        <w:pStyle w:val="TextBody"/>
        <w:jc w:val="center"/>
        <w:rPr>
          <w:sz w:val="20"/>
        </w:rPr>
      </w:pPr>
      <w:r>
        <w:rPr>
          <w:sz w:val="20"/>
        </w:rPr>
        <w:t>29</w:t>
      </w:r>
    </w:p>
    <w:p>
      <w:pPr>
        <w:pStyle w:val="HorizontalLine"/>
        <w:pBdr>
          <w:bottom w:val="single" w:sz="20" w:space="0" w:color="808080"/>
        </w:pBdr>
        <w:rPr/>
      </w:pPr>
      <w:r>
        <w:rPr/>
      </w:r>
      <w:r>
        <w:br w:type="page"/>
      </w:r>
    </w:p>
    <w:p>
      <w:pPr>
        <w:pStyle w:val="TextBody"/>
        <w:rPr/>
      </w:pPr>
      <w:r>
        <w:rPr/>
      </w:r>
      <w:bookmarkStart w:id="90" w:name="page_di1086_1_30"/>
      <w:bookmarkStart w:id="91" w:name="page_di1086_1_30"/>
      <w:bookmarkEnd w:id="91"/>
    </w:p>
    <w:p>
      <w:pPr>
        <w:pStyle w:val="TextBody"/>
        <w:rPr>
          <w:sz w:val="20"/>
        </w:rPr>
      </w:pPr>
      <w:r>
        <w:rPr>
          <w:sz w:val="20"/>
        </w:rPr>
        <w:t xml:space="preserve">necessary to maintain their percentage interests in us that existed immediately prior to the issuance. The holders of common units will not have preemptive rights to acquire additional common units or other partnership interests in us. </w:t>
      </w:r>
    </w:p>
    <w:p>
      <w:pPr>
        <w:pStyle w:val="TextBody"/>
        <w:rPr>
          <w:b/>
          <w:sz w:val="20"/>
        </w:rPr>
      </w:pPr>
      <w:r>
        <w:rPr>
          <w:b/>
          <w:sz w:val="20"/>
        </w:rPr>
        <w:t xml:space="preserve">Amendments to Our Partnership Agreement </w:t>
      </w:r>
    </w:p>
    <w:p>
      <w:pPr>
        <w:pStyle w:val="TextBody"/>
        <w:rPr/>
      </w:pPr>
      <w:r>
        <w:rPr/>
        <w:t>        </w:t>
      </w:r>
      <w:r>
        <w:rPr>
          <w:sz w:val="20"/>
        </w:rPr>
        <w:t xml:space="preserve">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w:t>
      </w:r>
    </w:p>
    <w:p>
      <w:pPr>
        <w:pStyle w:val="TextBody"/>
        <w:rPr>
          <w:b/>
          <w:sz w:val="20"/>
        </w:rPr>
      </w:pPr>
      <w:r>
        <w:rPr>
          <w:b/>
          <w:sz w:val="20"/>
        </w:rPr>
        <w:t xml:space="preserve">Withdrawal or Removal of Our General Partner </w:t>
      </w:r>
    </w:p>
    <w:p>
      <w:pPr>
        <w:pStyle w:val="TextBody"/>
        <w:rPr/>
      </w:pPr>
      <w:r>
        <w:rPr/>
        <w:t>        </w:t>
      </w:r>
      <w:r>
        <w:rPr>
          <w:sz w:val="20"/>
        </w:rPr>
        <w:t xml:space="preserve">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 </w:t>
      </w:r>
    </w:p>
    <w:p>
      <w:pPr>
        <w:pStyle w:val="TextBody"/>
        <w:rPr/>
      </w:pPr>
      <w:r>
        <w:rPr/>
        <w:t>        </w:t>
      </w:r>
      <w:r>
        <w:rPr>
          <w:sz w:val="20"/>
        </w:rPr>
        <w:t xml:space="preserve">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 </w:t>
      </w:r>
    </w:p>
    <w:p>
      <w:pPr>
        <w:pStyle w:val="TextBody"/>
        <w:rPr/>
      </w:pPr>
      <w:r>
        <w:rPr/>
        <w:t>        </w:t>
      </w:r>
      <w:r>
        <w:rPr>
          <w:sz w:val="20"/>
        </w:rPr>
        <w:t xml:space="preserve">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 </w:t>
      </w:r>
    </w:p>
    <w:p>
      <w:pPr>
        <w:pStyle w:val="TextBody"/>
        <w:rPr/>
      </w:pPr>
      <w:r>
        <w:rPr/>
        <w:t>        </w:t>
      </w:r>
      <w:r>
        <w:rPr>
          <w:sz w:val="20"/>
        </w:rPr>
        <w:t xml:space="preserve">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 </w:t>
      </w:r>
    </w:p>
    <w:p>
      <w:pPr>
        <w:pStyle w:val="TextBody"/>
        <w:rPr/>
      </w:pPr>
      <w:r>
        <w:rPr/>
        <w:t>        </w:t>
      </w:r>
      <w:r>
        <w:rPr>
          <w:sz w:val="20"/>
        </w:rPr>
        <w:t xml:space="preserve">In addition, our partnership agreement expressly permits the sale, in whole or in part, of the ownership of our general partner. Our general partner may also transfer, in whole or in part, the common units it owns. </w:t>
      </w:r>
    </w:p>
    <w:p>
      <w:pPr>
        <w:pStyle w:val="TextBody"/>
        <w:rPr>
          <w:b/>
          <w:sz w:val="20"/>
        </w:rPr>
      </w:pPr>
      <w:r>
        <w:rPr>
          <w:b/>
          <w:sz w:val="20"/>
        </w:rPr>
        <w:t xml:space="preserve">Liquidation and Distribution of Proceeds </w:t>
      </w:r>
    </w:p>
    <w:p>
      <w:pPr>
        <w:pStyle w:val="TextBody"/>
        <w:rPr/>
      </w:pPr>
      <w:r>
        <w:rPr/>
        <w:t>        </w:t>
      </w:r>
      <w:r>
        <w:rPr>
          <w:sz w:val="20"/>
        </w:rPr>
        <w:t xml:space="preserve">Upon our dissolution, unless we are reconstituted and continued as a new limited partnership, the person authorized to wind up our affairs (the liquidator) will, acting with all the powers of our general </w:t>
      </w:r>
    </w:p>
    <w:p>
      <w:pPr>
        <w:pStyle w:val="TextBody"/>
        <w:jc w:val="center"/>
        <w:rPr>
          <w:sz w:val="20"/>
        </w:rPr>
      </w:pPr>
      <w:r>
        <w:rPr>
          <w:sz w:val="20"/>
        </w:rPr>
        <w:t>30</w:t>
      </w:r>
    </w:p>
    <w:p>
      <w:pPr>
        <w:pStyle w:val="HorizontalLine"/>
        <w:pBdr>
          <w:bottom w:val="single" w:sz="20" w:space="0" w:color="808080"/>
        </w:pBdr>
        <w:rPr/>
      </w:pPr>
      <w:r>
        <w:rPr/>
      </w:r>
      <w:r>
        <w:br w:type="page"/>
      </w:r>
    </w:p>
    <w:p>
      <w:pPr>
        <w:pStyle w:val="TextBody"/>
        <w:rPr/>
      </w:pPr>
      <w:r>
        <w:rPr/>
      </w:r>
      <w:bookmarkStart w:id="92" w:name="page_di1086_1_31"/>
      <w:bookmarkStart w:id="93" w:name="page_di1086_1_31"/>
      <w:bookmarkEnd w:id="93"/>
    </w:p>
    <w:p>
      <w:pPr>
        <w:pStyle w:val="TextBody"/>
        <w:rPr>
          <w:sz w:val="20"/>
        </w:rPr>
      </w:pPr>
      <w:r>
        <w:rPr>
          <w:sz w:val="20"/>
        </w:rPr>
        <w:t xml:space="preserve">partner that the liquidator deems necessary or desirable in its good faith judgment, liquidate our assets. The proceeds of the liquidation will be applied as follows: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first, towards the payment of all of our creditors and the creation of a reserve for contingent liabilities;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then, to all partners in accordance with the positive balance in the respective capital accounts. </w:t>
      </w:r>
    </w:p>
    <w:p>
      <w:pPr>
        <w:pStyle w:val="TextBody"/>
        <w:rPr/>
      </w:pPr>
      <w:r>
        <w:rPr/>
      </w:r>
    </w:p>
    <w:p>
      <w:pPr>
        <w:pStyle w:val="TextBody"/>
        <w:rPr/>
      </w:pPr>
      <w:r>
        <w:rPr/>
        <w:t>        </w:t>
      </w:r>
      <w:r>
        <w:rPr>
          <w:sz w:val="20"/>
        </w:rPr>
        <w:t xml:space="preserve">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 </w:t>
      </w:r>
    </w:p>
    <w:p>
      <w:pPr>
        <w:pStyle w:val="TextBody"/>
        <w:rPr>
          <w:b/>
          <w:sz w:val="20"/>
        </w:rPr>
      </w:pPr>
      <w:r>
        <w:rPr>
          <w:b/>
          <w:sz w:val="20"/>
        </w:rPr>
        <w:t xml:space="preserve">Change of Management Provisions </w:t>
      </w:r>
    </w:p>
    <w:p>
      <w:pPr>
        <w:pStyle w:val="TextBody"/>
        <w:rPr/>
      </w:pPr>
      <w:r>
        <w:rPr/>
        <w:t>        </w:t>
      </w:r>
      <w:r>
        <w:rPr>
          <w:sz w:val="20"/>
        </w:rPr>
        <w:t xml:space="preserve">Our partnership agreement contains the following specific provisions that are intended to discourage a person or group from attempting to remove our general partner or otherwise change management: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generally, if a person acquires 20% or more of any class of units then outstanding other than from our general partner or its affiliates, the units owned by such person cannot be voted on any matter;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provisions limiting the ability of unitholders to call meetings or to acquire information about our operations, as well as other provisions limiting the unitholders' ability to influence the manner or direction of management. </w:t>
      </w:r>
    </w:p>
    <w:p>
      <w:pPr>
        <w:pStyle w:val="TextBody"/>
        <w:rPr>
          <w:b/>
          <w:sz w:val="20"/>
        </w:rPr>
      </w:pPr>
      <w:r>
        <w:rPr>
          <w:b/>
          <w:sz w:val="20"/>
        </w:rPr>
        <w:t xml:space="preserve">Limited Call Right </w:t>
      </w:r>
    </w:p>
    <w:p>
      <w:pPr>
        <w:pStyle w:val="TextBody"/>
        <w:rPr/>
      </w:pPr>
      <w:r>
        <w:rPr/>
        <w:t>        </w:t>
      </w:r>
      <w:r>
        <w:rPr>
          <w:sz w:val="20"/>
        </w:rPr>
        <w:t xml:space="preserve">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 </w:t>
      </w:r>
    </w:p>
    <w:p>
      <w:pPr>
        <w:pStyle w:val="TextBody"/>
        <w:rPr>
          <w:b/>
          <w:sz w:val="20"/>
        </w:rPr>
      </w:pPr>
      <w:r>
        <w:rPr>
          <w:b/>
          <w:sz w:val="20"/>
        </w:rPr>
        <w:t xml:space="preserve">Indemnification </w:t>
      </w:r>
    </w:p>
    <w:p>
      <w:pPr>
        <w:pStyle w:val="TextBody"/>
        <w:rPr/>
      </w:pPr>
      <w:r>
        <w:rPr/>
        <w:t>        </w:t>
      </w:r>
      <w:r>
        <w:rPr>
          <w:sz w:val="20"/>
        </w:rPr>
        <w:t xml:space="preserve">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We are authorized to purchase insurance against liabilities asserted against and expenses incurred by persons for our activities, regardless of whether we would have the power to indemnify the person against liabilities under our partnership agreement. </w:t>
      </w:r>
    </w:p>
    <w:p>
      <w:pPr>
        <w:pStyle w:val="TextBody"/>
        <w:rPr>
          <w:b/>
          <w:sz w:val="20"/>
        </w:rPr>
      </w:pPr>
      <w:r>
        <w:rPr>
          <w:b/>
          <w:sz w:val="20"/>
        </w:rPr>
        <w:t xml:space="preserve">Registration Rights </w:t>
      </w:r>
    </w:p>
    <w:p>
      <w:pPr>
        <w:pStyle w:val="TextBody"/>
        <w:rPr/>
      </w:pPr>
      <w:r>
        <w:rPr/>
        <w:t>        </w:t>
      </w:r>
      <w:r>
        <w:rPr>
          <w:sz w:val="20"/>
        </w:rPr>
        <w:t xml:space="preserve">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jc w:val="center"/>
        <w:rPr>
          <w:sz w:val="20"/>
        </w:rPr>
      </w:pPr>
      <w:r>
        <w:rPr>
          <w:sz w:val="20"/>
        </w:rPr>
        <w:t>31</w:t>
      </w:r>
    </w:p>
    <w:p>
      <w:pPr>
        <w:pStyle w:val="HorizontalLine"/>
        <w:pBdr>
          <w:bottom w:val="single" w:sz="20" w:space="0" w:color="808080"/>
        </w:pBdr>
        <w:rPr/>
      </w:pPr>
      <w:r>
        <w:rPr/>
      </w:r>
      <w:r>
        <w:br w:type="page"/>
      </w:r>
    </w:p>
    <w:p>
      <w:pPr>
        <w:pStyle w:val="TextBody"/>
        <w:jc w:val="center"/>
        <w:rPr/>
      </w:pPr>
      <w:bookmarkStart w:id="94" w:name="toc_dk1086_1"/>
      <w:bookmarkStart w:id="95" w:name="dk1086_tax_considerations"/>
      <w:bookmarkStart w:id="96" w:name="page_dk1086_1_32"/>
      <w:bookmarkEnd w:id="94"/>
      <w:bookmarkEnd w:id="95"/>
      <w:bookmarkEnd w:id="96"/>
      <w:r>
        <w:rPr>
          <w:sz w:val="20"/>
        </w:rPr>
        <w:br/>
      </w:r>
      <w:r>
        <w:rPr>
          <w:b/>
          <w:sz w:val="20"/>
        </w:rPr>
        <w:t xml:space="preserve">TAX CONSIDERATIONS </w:t>
      </w:r>
    </w:p>
    <w:p>
      <w:pPr>
        <w:pStyle w:val="TextBody"/>
        <w:rPr/>
      </w:pPr>
      <w:r>
        <w:rPr/>
        <w:t>        </w:t>
      </w:r>
      <w:r>
        <w:rPr>
          <w:sz w:val="20"/>
        </w:rPr>
        <w:t xml:space="preserve">This section is a summary of the material tax considerations that may be relevant to prospective unitholders who are individual citizens or residents of the United States and, unless otherwise noted in the following discussion, expresses the opinion of Vinson &amp; Elkins L.L.P., counsel to the general partner and us, insofar as it relates to matters of United States federal income tax law and legal conclusions with respect to those matters. </w:t>
      </w:r>
    </w:p>
    <w:p>
      <w:pPr>
        <w:pStyle w:val="TextBody"/>
        <w:rPr/>
      </w:pPr>
      <w:r>
        <w:rPr/>
        <w:t>        </w:t>
      </w:r>
      <w:r>
        <w:rPr>
          <w:sz w:val="20"/>
        </w:rPr>
        <w:t xml:space="preserve">This section is based upon current provisions of the Internal Revenue Code, existing and proposed regulations and current administrative rulings and court decisions, all of which are subject to change. Later changes in these authorities may cause the tax consequences to vary substantially from the consequences described below. </w:t>
      </w:r>
    </w:p>
    <w:p>
      <w:pPr>
        <w:pStyle w:val="TextBody"/>
        <w:rPr/>
      </w:pPr>
      <w:r>
        <w:rPr/>
        <w:t>        </w:t>
      </w:r>
      <w:r>
        <w:rPr>
          <w:sz w:val="20"/>
        </w:rPr>
        <w:t xml:space="preserve">No attempt has been made in the following discussion to comment on all federal income tax matters affecting us or our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recommend that each prospective unitholder consult, and depend on, his own tax advisor in analyzing the federal, state, local and foreign tax consequences particular to him of the ownership or disposition of common units. </w:t>
      </w:r>
    </w:p>
    <w:p>
      <w:pPr>
        <w:pStyle w:val="TextBody"/>
        <w:rPr/>
      </w:pPr>
      <w:r>
        <w:rPr/>
        <w:t>        </w:t>
      </w:r>
      <w:r>
        <w:rPr>
          <w:sz w:val="20"/>
        </w:rPr>
        <w:t xml:space="preserve">All statements as to matters of law and legal conclusions, but not as to factual matters, contained in this section, unless otherwise noted, are the opinion of counsel and are based on the accuracy of the factual representations made by us. </w:t>
      </w:r>
    </w:p>
    <w:p>
      <w:pPr>
        <w:pStyle w:val="TextBody"/>
        <w:rPr/>
      </w:pPr>
      <w:r>
        <w:rPr/>
        <w:t>        </w:t>
      </w:r>
      <w:r>
        <w:rPr>
          <w:sz w:val="20"/>
        </w:rPr>
        <w:t xml:space="preserve">No ruling has been or will be requested from the IRS regarding any matter affecting us or prospective unitholders. An opinion of counsel represents only that counsel's best legal judgment and does not bind the IRS or the courts. Accordingly, the opinions and statements made here may not be sustained by a court if contested by the IRS. Any contest of this sort with the IRS may materially and adversely impact the market for the common units and the prices at which common units trade. In addition, the costs of any contest with the IRS will be borne directly or indirectly by the unitholders and the general partner. Furthermore, the treatment of us, or an investment in us, may be significantly modified by future legislative or administrative changes or court decisions. Any modifications may or may not be retroactively applied. </w:t>
      </w:r>
    </w:p>
    <w:p>
      <w:pPr>
        <w:pStyle w:val="TextBody"/>
        <w:rPr/>
      </w:pPr>
      <w:r>
        <w:rPr/>
        <w:t>        </w:t>
      </w:r>
      <w:r>
        <w:rPr>
          <w:sz w:val="20"/>
        </w:rPr>
        <w:t xml:space="preserve">For the reasons described below, counsel has not rendered an opinion with respect to the following specific federal income tax issues: </w:t>
      </w:r>
    </w:p>
    <w:p>
      <w:pPr>
        <w:pStyle w:val="TextBody"/>
        <w:numPr>
          <w:ilvl w:val="0"/>
          <w:numId w:val="0"/>
        </w:numPr>
        <w:ind w:left="707" w:hanging="0"/>
        <w:rPr/>
      </w:pPr>
      <w:r>
        <w:rPr/>
        <w:t>        </w:t>
      </w:r>
      <w:r>
        <w:rPr>
          <w:sz w:val="20"/>
        </w:rPr>
        <w:t xml:space="preserve">(1)   the treatment of a unitholder whose common units are loaned to a short seller to cover a short sale of common units (please read "Tax Consequences of Unit OwnershipTreatment of Short Sales"); </w:t>
      </w:r>
    </w:p>
    <w:p>
      <w:pPr>
        <w:pStyle w:val="TextBody"/>
        <w:numPr>
          <w:ilvl w:val="0"/>
          <w:numId w:val="0"/>
        </w:numPr>
        <w:ind w:left="707" w:hanging="0"/>
        <w:rPr/>
      </w:pPr>
      <w:r>
        <w:rPr/>
        <w:t>        </w:t>
      </w:r>
      <w:r>
        <w:rPr>
          <w:sz w:val="20"/>
        </w:rPr>
        <w:t xml:space="preserve">(2)   whether our monthly convention for allocating taxable income and losses is permitted by existing Treasury Regulations (please read "Disposition of Common UnitsAllocations Between Transferors and Transferees"); and </w:t>
      </w:r>
    </w:p>
    <w:p>
      <w:pPr>
        <w:pStyle w:val="TextBody"/>
        <w:numPr>
          <w:ilvl w:val="0"/>
          <w:numId w:val="0"/>
        </w:numPr>
        <w:ind w:left="707" w:hanging="0"/>
        <w:rPr/>
      </w:pPr>
      <w:r>
        <w:rPr/>
        <w:t>        </w:t>
      </w:r>
      <w:r>
        <w:rPr>
          <w:sz w:val="20"/>
        </w:rPr>
        <w:t xml:space="preserve">(3)   whether our method for depreciating Section 743 adjustments is sustainable (please read "Tax Consequences of Unit OwnershipSection 754 Election"). </w:t>
      </w:r>
    </w:p>
    <w:p>
      <w:pPr>
        <w:pStyle w:val="TextBody"/>
        <w:rPr>
          <w:b/>
          <w:sz w:val="20"/>
        </w:rPr>
      </w:pPr>
      <w:r>
        <w:rPr>
          <w:b/>
          <w:sz w:val="20"/>
        </w:rPr>
        <w:t xml:space="preserve">Partnership Status </w:t>
      </w:r>
    </w:p>
    <w:p>
      <w:pPr>
        <w:pStyle w:val="TextBody"/>
        <w:rPr/>
      </w:pPr>
      <w:r>
        <w:rPr/>
        <w:t>        </w:t>
      </w:r>
      <w:r>
        <w:rPr>
          <w:sz w:val="20"/>
        </w:rPr>
        <w:t xml:space="preserve">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w:t>
      </w:r>
    </w:p>
    <w:p>
      <w:pPr>
        <w:pStyle w:val="TextBody"/>
        <w:jc w:val="center"/>
        <w:rPr>
          <w:sz w:val="20"/>
        </w:rPr>
      </w:pPr>
      <w:r>
        <w:rPr>
          <w:sz w:val="20"/>
        </w:rPr>
        <w:t>32</w:t>
      </w:r>
    </w:p>
    <w:p>
      <w:pPr>
        <w:pStyle w:val="HorizontalLine"/>
        <w:pBdr>
          <w:bottom w:val="single" w:sz="20" w:space="0" w:color="808080"/>
        </w:pBdr>
        <w:rPr/>
      </w:pPr>
      <w:r>
        <w:rPr/>
      </w:r>
      <w:r>
        <w:br w:type="page"/>
      </w:r>
    </w:p>
    <w:p>
      <w:pPr>
        <w:pStyle w:val="TextBody"/>
        <w:rPr/>
      </w:pPr>
      <w:r>
        <w:rPr/>
      </w:r>
      <w:bookmarkStart w:id="97" w:name="page_dk1086_1_33"/>
      <w:bookmarkStart w:id="98" w:name="page_dk1086_1_33"/>
      <w:bookmarkEnd w:id="98"/>
    </w:p>
    <w:p>
      <w:pPr>
        <w:pStyle w:val="TextBody"/>
        <w:rPr>
          <w:sz w:val="20"/>
        </w:rPr>
      </w:pPr>
      <w:r>
        <w:rPr>
          <w:sz w:val="20"/>
        </w:rPr>
        <w:t xml:space="preserve">generally not taxable unless the amount of cash distributed is in excess of the partner's adjusted basis in his partnership interest. </w:t>
      </w:r>
    </w:p>
    <w:p>
      <w:pPr>
        <w:pStyle w:val="TextBody"/>
        <w:rPr/>
      </w:pPr>
      <w:r>
        <w:rPr/>
        <w:t>        </w:t>
      </w:r>
      <w:r>
        <w:rPr>
          <w:sz w:val="20"/>
        </w:rPr>
        <w:t xml:space="preserve">No ruling has been or will be sought from the IRS and the IRS has made no determination as to our status or the status of the operating partnerships as partnerships for federal income tax purposes or whether our operations generate "qualifying income" under Section 7704 of the Code. Instead, we will rely on the opinion of counsel that, based upon the Internal Revenue Code, its regulations, published revenue rulings and court decisions and the representations described below, we and the operating partnerships will be classified as a partnership for federal income tax purposes. </w:t>
      </w:r>
    </w:p>
    <w:p>
      <w:pPr>
        <w:pStyle w:val="TextBody"/>
        <w:rPr/>
      </w:pPr>
      <w:r>
        <w:rPr/>
        <w:t>        </w:t>
      </w:r>
      <w:r>
        <w:rPr>
          <w:sz w:val="20"/>
        </w:rPr>
        <w:t xml:space="preserve">In rendering its opinion, counsel has relied on factual representations made by us and the general partner. The representations made by us and our general partner upon which counsel has relied are: </w:t>
      </w:r>
    </w:p>
    <w:p>
      <w:pPr>
        <w:pStyle w:val="TextBody"/>
        <w:numPr>
          <w:ilvl w:val="0"/>
          <w:numId w:val="0"/>
        </w:numPr>
        <w:ind w:left="707" w:hanging="0"/>
        <w:rPr/>
      </w:pPr>
      <w:r>
        <w:rPr/>
        <w:t>        </w:t>
      </w:r>
      <w:r>
        <w:rPr>
          <w:sz w:val="20"/>
        </w:rPr>
        <w:t xml:space="preserve">(a)   neither we nor the operating partnerships will elect to be treated as a corporation; </w:t>
      </w:r>
    </w:p>
    <w:p>
      <w:pPr>
        <w:pStyle w:val="TextBody"/>
        <w:numPr>
          <w:ilvl w:val="0"/>
          <w:numId w:val="0"/>
        </w:numPr>
        <w:ind w:left="707" w:hanging="0"/>
        <w:rPr/>
      </w:pPr>
      <w:r>
        <w:rPr/>
        <w:t>        </w:t>
      </w:r>
      <w:r>
        <w:rPr>
          <w:sz w:val="20"/>
        </w:rPr>
        <w:t xml:space="preserve">(b)   for each taxable year, more than 90% of our gross income will be income from sources that our counsel has opined or will opine is "qualifying income" within the meaning of Section 7704(d) of the Internal Revenue Code. </w:t>
      </w:r>
    </w:p>
    <w:p>
      <w:pPr>
        <w:pStyle w:val="TextBody"/>
        <w:rPr/>
      </w:pPr>
      <w:r>
        <w:rPr/>
        <w:t>        </w:t>
      </w:r>
      <w:r>
        <w:rPr>
          <w:sz w:val="20"/>
        </w:rPr>
        <w:t xml:space="preserve">Section 7704 of the Internal Revenue Code provides that publicly-traded partnerships will, as a general rule, be taxed as corporations. However, an exception, referred to as the "Qualifying Income Exception," exists with respect to publicly-traded partnerships of which 90% or more of the gross income for every taxable year consists of "qualifying income." Qualifying income includes income and gains derived from the transportation and marketing of crude oil, natural gas and products thereof. Other types of qualifying income include interest (other than from a financial business), dividends, gains from the sale of real property and gains from the sale or other disposition of assets held for the production of income that otherwise constitutes qualifying income. We estimate that less than 3% of our current income is not qualifying income; however, this estimate could change from time to time. Based upon and subject to this estimate, the factual representations made by us and the general partner and a review of the applicable legal authorities, counsel is of the opinion that at least 90% of our current gross income constitutes qualifying income. </w:t>
      </w:r>
    </w:p>
    <w:p>
      <w:pPr>
        <w:pStyle w:val="TextBody"/>
        <w:rPr/>
      </w:pPr>
      <w:r>
        <w:rPr/>
        <w:t>        </w:t>
      </w:r>
      <w:r>
        <w:rPr>
          <w:sz w:val="20"/>
        </w:rPr>
        <w:t xml:space="preserve">If we fail to meet the Qualifying Income Exception, other than a failure which is determined by the IRS to be inadvertent and that is cured within a reasonable time after discovery,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contribution and liquidation should be tax-free to unitholders and us so long as we, at that time, do not have liabilities in excess of the tax basis of our assets. Thereafter, we would be treated as a corporation for federal income tax purposes. </w:t>
      </w:r>
    </w:p>
    <w:p>
      <w:pPr>
        <w:pStyle w:val="TextBody"/>
        <w:rPr/>
      </w:pPr>
      <w:r>
        <w:rPr/>
        <w:t>        </w:t>
      </w:r>
      <w:r>
        <w:rPr>
          <w:sz w:val="20"/>
        </w:rPr>
        <w:t xml:space="preserve">If we were taxable as a corporation in any taxable year, either as a result of a failure to meet the Qualifying Income Exception or otherwise, our items of income, gain, loss and deduction would be reflected only on our tax return rather than being passed through to our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has been reduced to zero. Accordingly, taxation as a corporation would result in a material reduction in a unitholder's cash flow and after-tax return and thus would likely result in a substantial reduction of the value of the units. </w:t>
      </w:r>
    </w:p>
    <w:p>
      <w:pPr>
        <w:pStyle w:val="TextBody"/>
        <w:rPr/>
      </w:pPr>
      <w:r>
        <w:rPr/>
        <w:t>        </w:t>
      </w:r>
      <w:r>
        <w:rPr>
          <w:sz w:val="20"/>
        </w:rPr>
        <w:t xml:space="preserve">The discussion below is based on the conclusion that we will be classified as a partnership for federal income tax purposes. </w:t>
      </w:r>
    </w:p>
    <w:p>
      <w:pPr>
        <w:pStyle w:val="TextBody"/>
        <w:jc w:val="center"/>
        <w:rPr>
          <w:sz w:val="20"/>
        </w:rPr>
      </w:pPr>
      <w:r>
        <w:rPr>
          <w:sz w:val="20"/>
        </w:rPr>
        <w:t>33</w:t>
      </w:r>
    </w:p>
    <w:p>
      <w:pPr>
        <w:pStyle w:val="HorizontalLine"/>
        <w:pBdr>
          <w:bottom w:val="single" w:sz="20" w:space="0" w:color="808080"/>
        </w:pBdr>
        <w:rPr/>
      </w:pPr>
      <w:r>
        <w:rPr/>
      </w:r>
      <w:r>
        <w:br w:type="page"/>
      </w:r>
    </w:p>
    <w:p>
      <w:pPr>
        <w:pStyle w:val="TextBody"/>
        <w:rPr/>
      </w:pPr>
      <w:r>
        <w:rPr/>
      </w:r>
      <w:bookmarkStart w:id="99" w:name="page_dk1086_1_34"/>
      <w:bookmarkStart w:id="100" w:name="page_dk1086_1_34"/>
      <w:bookmarkEnd w:id="100"/>
    </w:p>
    <w:p>
      <w:pPr>
        <w:pStyle w:val="TextBody"/>
        <w:rPr>
          <w:b/>
          <w:sz w:val="20"/>
        </w:rPr>
      </w:pPr>
      <w:r>
        <w:rPr>
          <w:b/>
          <w:sz w:val="20"/>
        </w:rPr>
        <w:t xml:space="preserve">Limited Partner Status </w:t>
      </w:r>
    </w:p>
    <w:p>
      <w:pPr>
        <w:pStyle w:val="TextBody"/>
        <w:rPr/>
      </w:pPr>
      <w:r>
        <w:rPr/>
        <w:t>        </w:t>
      </w:r>
      <w:r>
        <w:rPr>
          <w:sz w:val="20"/>
        </w:rPr>
        <w:t xml:space="preserve">Unitholders who have become limited partners of Plains All American Pipeline will be treated as partners of Plains All American Pipeline for federal income tax purposes. Also: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assignees who have executed and delivered transfer applications, and are awaiting admission as limited partners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unitholders whose common units are held in street name or by a nominee and who have the right to direct the nominee in the exercise of all substantive rights attendant to the ownership of their common units, </w:t>
      </w:r>
    </w:p>
    <w:p>
      <w:pPr>
        <w:pStyle w:val="TextBody"/>
        <w:rPr>
          <w:sz w:val="20"/>
        </w:rPr>
      </w:pPr>
      <w:r>
        <w:rPr>
          <w:sz w:val="20"/>
        </w:rPr>
        <w:t xml:space="preserve">will be treated as partners of Plains All American Pipeline for federal income tax purposes. As there is no direct authority addressing assignees of common units who are entitled to execute and deliver transfer applications and become entitled to direct the exercise of attendant rights, but who fail to execute and deliver transfer applications, counsel's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 </w:t>
      </w:r>
    </w:p>
    <w:p>
      <w:pPr>
        <w:pStyle w:val="TextBody"/>
        <w:rPr/>
      </w:pPr>
      <w:r>
        <w:rPr/>
        <w:t>        </w:t>
      </w:r>
      <w:r>
        <w:rPr>
          <w:sz w:val="20"/>
        </w:rPr>
        <w:t xml:space="preserve">A beneficial owner of common units whose units have been transferred to a short seller to complete a short sale would appear to lose his status as a partner with respect to those units for federal income tax purposes. Please read "Tax Consequences of Unit OwnershipTreatment of Short Sales." </w:t>
      </w:r>
    </w:p>
    <w:p>
      <w:pPr>
        <w:pStyle w:val="TextBody"/>
        <w:rPr/>
      </w:pPr>
      <w:r>
        <w:rPr/>
        <w:t>        </w:t>
      </w:r>
      <w:r>
        <w:rPr>
          <w:sz w:val="20"/>
        </w:rPr>
        <w:t xml:space="preserve">Income, gain, deductions or losses would not appear to be reportable by a unitholder who is not a partner for federal income tax purposes, and any cash distributions received by a unitholder who is not a partner for federal income tax purposes would therefore be fully taxable as ordinary income. These holders should consult their own tax advisors with respect to their status as partners in Plains All American Pipeline for federal income tax purposes. </w:t>
      </w:r>
    </w:p>
    <w:p>
      <w:pPr>
        <w:pStyle w:val="TextBody"/>
        <w:rPr>
          <w:b/>
          <w:sz w:val="20"/>
        </w:rPr>
      </w:pPr>
      <w:r>
        <w:rPr>
          <w:b/>
          <w:sz w:val="20"/>
        </w:rPr>
        <w:t xml:space="preserve">Tax Consequences of Unit Ownership </w:t>
      </w:r>
    </w:p>
    <w:p>
      <w:pPr>
        <w:pStyle w:val="TextBody"/>
        <w:rPr/>
      </w:pPr>
      <w:r>
        <w:rPr/>
        <w:t>        </w:t>
      </w:r>
      <w:r>
        <w:rPr>
          <w:i/>
          <w:sz w:val="20"/>
        </w:rPr>
        <w:t>Flow-through of Taxable Income.</w:t>
      </w:r>
      <w:r>
        <w:rPr/>
        <w:t>    </w:t>
      </w:r>
      <w:r>
        <w:rPr>
          <w:sz w:val="20"/>
        </w:rPr>
        <w:t xml:space="preserve">We will not pay any federal income tax. Instead, each unitholder will be required to report on his income tax return his share of our income, gains, losses and deductions without regard to whether corresponding cash distributions are received by that unitholder. Consequently, we may allocate income to a unitholder even if he has not received a cash distribution. Each unitholder will be required to include in income his share of our income, gains, losses and deductions for our taxable year ending with or within his taxable year. </w:t>
      </w:r>
    </w:p>
    <w:p>
      <w:pPr>
        <w:pStyle w:val="TextBody"/>
        <w:rPr/>
      </w:pPr>
      <w:r>
        <w:rPr/>
        <w:t>        </w:t>
      </w:r>
      <w:r>
        <w:rPr>
          <w:i/>
          <w:sz w:val="20"/>
        </w:rPr>
        <w:t>Treatment of Distributions.</w:t>
      </w:r>
      <w:r>
        <w:rPr/>
        <w:t>    </w:t>
      </w:r>
      <w:r>
        <w:rPr>
          <w:sz w:val="20"/>
        </w:rPr>
        <w:t xml:space="preserve">Distributions by us to a unitholder generally will not be taxable to the unitholder for federal income tax purposes to the extent of his tax basis in his common units immediately before the distribution. Our cash distributions in excess of a unitholder's tax basis generally will be considered to be gain from the sale or exchange of the common units, taxable in accordance with the rules described under "Disposition of Common Units" below.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year, he must recapture any losses deducted in previous years. Please read "Limitations on Deductibility of Losses." </w:t>
      </w:r>
    </w:p>
    <w:p>
      <w:pPr>
        <w:pStyle w:val="TextBody"/>
        <w:rPr/>
      </w:pPr>
      <w:r>
        <w:rPr/>
        <w:t>        </w:t>
      </w:r>
      <w:r>
        <w:rPr>
          <w:sz w:val="20"/>
        </w:rPr>
        <w:t xml:space="preserve">A decrease in a unitholder's percentage interest in us because of our issuance of additional common units will decrease his share of our nonrecourse liabilities, and thus will result in a corresponding deemed distribution of cash. A non-pro rata distribution of money or property may </w:t>
      </w:r>
    </w:p>
    <w:p>
      <w:pPr>
        <w:pStyle w:val="TextBody"/>
        <w:jc w:val="center"/>
        <w:rPr>
          <w:sz w:val="20"/>
        </w:rPr>
      </w:pPr>
      <w:r>
        <w:rPr>
          <w:sz w:val="20"/>
        </w:rPr>
        <w:t>34</w:t>
      </w:r>
    </w:p>
    <w:p>
      <w:pPr>
        <w:pStyle w:val="HorizontalLine"/>
        <w:pBdr>
          <w:bottom w:val="single" w:sz="20" w:space="0" w:color="808080"/>
        </w:pBdr>
        <w:rPr/>
      </w:pPr>
      <w:r>
        <w:rPr/>
      </w:r>
      <w:r>
        <w:br w:type="page"/>
      </w:r>
    </w:p>
    <w:p>
      <w:pPr>
        <w:pStyle w:val="TextBody"/>
        <w:rPr/>
      </w:pPr>
      <w:r>
        <w:rPr/>
      </w:r>
      <w:bookmarkStart w:id="101" w:name="page_dk1086_1_35"/>
      <w:bookmarkStart w:id="102" w:name="page_dk1086_1_35"/>
      <w:bookmarkEnd w:id="102"/>
    </w:p>
    <w:p>
      <w:pPr>
        <w:pStyle w:val="TextBody"/>
        <w:rPr>
          <w:sz w:val="20"/>
        </w:rPr>
      </w:pPr>
      <w:r>
        <w:rPr>
          <w:sz w:val="20"/>
        </w:rPr>
        <w:t xml:space="preserve">result in ordinary income to a unitholder, regardless of his tax basis in his common units, if the distribution reduces the unitholder's share of our "unrealized receivables," including depreciation recapture, and/or substantially appreciated "inventory items," both as defined in Section 751 of the Internal Revenue Code, and collectively, "Section 751 Assets." To that extent, he will be treated as having been distributed his proportionate share of the Section 751 Assets and having exchanged those assets with us in return for the non-pro rata portion of the actual distribution made to him. This latter deemed exchange will generally result in the unitholder's realization of ordinary income. That income will equal the excess of (1) the non-pro rata portion of that distribution over (2) the unitholder's tax basis for the share of Section 751 Assets deemed relinquished in the exchange. </w:t>
      </w:r>
    </w:p>
    <w:p>
      <w:pPr>
        <w:pStyle w:val="TextBody"/>
        <w:rPr/>
      </w:pPr>
      <w:r>
        <w:rPr/>
        <w:t>        </w:t>
      </w:r>
      <w:r>
        <w:rPr>
          <w:i/>
          <w:sz w:val="20"/>
        </w:rPr>
        <w:t>Basis of Common Units.</w:t>
      </w:r>
      <w:r>
        <w:rPr/>
        <w:t>    </w:t>
      </w:r>
      <w:r>
        <w:rPr>
          <w:sz w:val="20"/>
        </w:rPr>
        <w:t xml:space="preserve">A unitholder's initial tax basis for his common units will be the amount he paid for the common units plus his share of our nonrecourse liabilities. That 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limited partner will have no share of our debt which is recourse to the general partner, but will have a share, generally based on his share of profits, of our nonrecourse liabilities. Please read "Disposition of Common UnitsRecognition of Gain or Loss." </w:t>
      </w:r>
    </w:p>
    <w:p>
      <w:pPr>
        <w:pStyle w:val="TextBody"/>
        <w:rPr/>
      </w:pPr>
      <w:r>
        <w:rPr/>
        <w:t>        </w:t>
      </w:r>
      <w:r>
        <w:rPr>
          <w:i/>
          <w:sz w:val="20"/>
        </w:rPr>
        <w:t>Limitations on Deductibility of Losses.</w:t>
      </w:r>
      <w:r>
        <w:rPr/>
        <w:t>    </w:t>
      </w:r>
      <w:r>
        <w:rPr>
          <w:sz w:val="20"/>
        </w:rPr>
        <w:t xml:space="preserve">The deduction by a unitholder of his share of our losses will be limited to the tax basis in his units and, in the case of an individual unitholder or a corporate unitholder, if more than 50% of the value of its stock is owned directly or indirectly by five or fewer individuals or some tax-exempt organizations, to the amount for which the unitholder is considered to be "at risk" with respect to our activities, if that is less than his tax basis. A unitholder must recapture losses deducted in previous years to the extent that distributions cause his at risk amount to be less than zero at the end of any taxable year. Losses disallowed to a unitholder or recaptured as a result of these limitations will carry forward and will be allowable to the extent that his tax basis or at risk amount, whichever is the limiting factor, is subsequently increased. Upon the taxable disposition of a unit, any gain recognized by a unitholder can be offset by losses that were previously suspended by the at risk limitation but may not be offset by losses suspended by the basis limitation. Any excess loss above that gain previously suspended by the at risk or basis limitations will no longer utilizable. </w:t>
      </w:r>
    </w:p>
    <w:p>
      <w:pPr>
        <w:pStyle w:val="TextBody"/>
        <w:rPr/>
      </w:pPr>
      <w:r>
        <w:rPr/>
        <w:t>        </w:t>
      </w:r>
      <w:r>
        <w:rPr>
          <w:sz w:val="20"/>
        </w:rPr>
        <w:t xml:space="preserve">In general, a unitholder will be at risk to the extent of the tax basis of his units, excluding any portion of that basis attributable to his share of our nonrecourse liabilities, reduced by any amount of money he borrows to acquire or hold his units, if the lender of those borrowed funds owns an interest in us, is related to the unitholder or can look only to the units for repayment. A unitholder's at risk amount will increase or decrease as the tax basis of the unitholder's units increases or decreases, other than tax basis increases or decreases attributable to increases or decreases in his share of our nonrecourse liabilities. </w:t>
      </w:r>
    </w:p>
    <w:p>
      <w:pPr>
        <w:pStyle w:val="TextBody"/>
        <w:rPr/>
      </w:pPr>
      <w:r>
        <w:rPr/>
        <w:t>        </w:t>
      </w:r>
      <w:r>
        <w:rPr>
          <w:sz w:val="20"/>
        </w:rPr>
        <w:t xml:space="preserve">The passive loss limitations generally provide that individuals, estates, trusts and some closely-held corporations and personal service corporations can deduct losses from passive activities, which are generally activities in which the taxpayer does not materially participate, only to the extent of the taxpayer's income from those passive activities. The passive loss limitations are applied separately with respect to each publicly-traded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activity loss rules are applied after other applicable limitations on deductions, including the at risk rules and the basis limitation. </w:t>
      </w:r>
    </w:p>
    <w:p>
      <w:pPr>
        <w:pStyle w:val="TextBody"/>
        <w:jc w:val="center"/>
        <w:rPr>
          <w:sz w:val="20"/>
        </w:rPr>
      </w:pPr>
      <w:r>
        <w:rPr>
          <w:sz w:val="20"/>
        </w:rPr>
        <w:t>35</w:t>
      </w:r>
    </w:p>
    <w:p>
      <w:pPr>
        <w:pStyle w:val="HorizontalLine"/>
        <w:pBdr>
          <w:bottom w:val="single" w:sz="20" w:space="0" w:color="808080"/>
        </w:pBdr>
        <w:rPr/>
      </w:pPr>
      <w:r>
        <w:rPr/>
      </w:r>
      <w:r>
        <w:br w:type="page"/>
      </w:r>
    </w:p>
    <w:p>
      <w:pPr>
        <w:pStyle w:val="TextBody"/>
        <w:rPr/>
      </w:pPr>
      <w:r>
        <w:rPr/>
      </w:r>
      <w:bookmarkStart w:id="103" w:name="page_dk1086_1_36"/>
      <w:bookmarkStart w:id="104" w:name="page_dk1086_1_36"/>
      <w:bookmarkEnd w:id="104"/>
    </w:p>
    <w:p>
      <w:pPr>
        <w:pStyle w:val="TextBody"/>
        <w:rPr/>
      </w:pPr>
      <w:r>
        <w:rPr/>
        <w:t>        </w:t>
      </w:r>
      <w:r>
        <w:rPr>
          <w:sz w:val="20"/>
        </w:rPr>
        <w:t xml:space="preserve">A unitholder's share of our net income may be offset by any suspended passive losses, but it may not be offset by any other current or carryover losses from other passive activities, including those attributable to other publicly-traded partnerships. </w:t>
      </w:r>
    </w:p>
    <w:p>
      <w:pPr>
        <w:pStyle w:val="TextBody"/>
        <w:rPr/>
      </w:pPr>
      <w:r>
        <w:rPr/>
        <w:t>        </w:t>
      </w:r>
      <w:r>
        <w:rPr>
          <w:i/>
          <w:sz w:val="20"/>
        </w:rPr>
        <w:t>Limitations on Interest Deductions.</w:t>
      </w:r>
      <w:r>
        <w:rPr/>
        <w:t>    </w:t>
      </w:r>
      <w:r>
        <w:rPr>
          <w:sz w:val="20"/>
        </w:rPr>
        <w:t xml:space="preserve">The deductibility of a non-corporate taxpayer's "investment interest expense" is generally limited to the amount of that taxpayer's "net investment income." Investment interest expense includes: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interest on indebtedness properly allocable to property held for investment;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our interest expense attributed to portfolio income;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portion of interest expense incurred to purchase or carry an interest in a passive activity to the extent attributable to portfolio income. </w:t>
      </w:r>
    </w:p>
    <w:p>
      <w:pPr>
        <w:pStyle w:val="TextBody"/>
        <w:rPr/>
      </w:pPr>
      <w:r>
        <w:rPr/>
      </w:r>
    </w:p>
    <w:p>
      <w:pPr>
        <w:pStyle w:val="TextBody"/>
        <w:rPr/>
      </w:pPr>
      <w:r>
        <w:rPr/>
        <w:t>        </w:t>
      </w:r>
      <w:r>
        <w:rPr>
          <w:sz w:val="20"/>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The IRS has indicated that net passive income from a publicly-traded partnership will be treated as investment income for purposes of the limitations on the deductibility of investment interest. In addition, the unitholder's share of our portfolio income will be treated as investment income. </w:t>
      </w:r>
    </w:p>
    <w:p>
      <w:pPr>
        <w:pStyle w:val="TextBody"/>
        <w:rPr/>
      </w:pPr>
      <w:r>
        <w:rPr/>
        <w:t>        </w:t>
      </w:r>
      <w:r>
        <w:rPr>
          <w:i/>
          <w:sz w:val="20"/>
        </w:rPr>
        <w:t>Entity-Level Collections.</w:t>
      </w:r>
      <w:r>
        <w:rPr/>
        <w:t>    </w:t>
      </w:r>
      <w:r>
        <w:rPr>
          <w:sz w:val="20"/>
        </w:rPr>
        <w:t xml:space="preserve">If we are required or elect under applicable law to pay any federal, state or local income tax on behalf of any unitholder or the general partner or 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 </w:t>
      </w:r>
    </w:p>
    <w:p>
      <w:pPr>
        <w:pStyle w:val="TextBody"/>
        <w:rPr/>
      </w:pPr>
      <w:r>
        <w:rPr/>
        <w:t>        </w:t>
      </w:r>
      <w:r>
        <w:rPr>
          <w:i/>
          <w:sz w:val="20"/>
        </w:rPr>
        <w:t>Allocation of Income, Gain, Loss and Deduction.</w:t>
      </w:r>
      <w:r>
        <w:rPr/>
        <w:t>    </w:t>
      </w:r>
      <w:r>
        <w:rPr>
          <w:sz w:val="20"/>
        </w:rPr>
        <w:t xml:space="preserve">In general, if we have a net profit, our items of income, gain, loss and deduction will be allocated among the general partner and the unitholders in accordance with their percentage interests in us. At any time that incentive distributions are made to the general partner, gross income will be allocated to the recipients to the extent of these distributions. If we have a net loss for the entire year, that loss will be allocated first to the general partner and the unitholders in accordance with their percentage interests in us to the extent of their positive capital accounts and, second, to the general partner. </w:t>
      </w:r>
    </w:p>
    <w:p>
      <w:pPr>
        <w:pStyle w:val="TextBody"/>
        <w:rPr/>
      </w:pPr>
      <w:r>
        <w:rPr/>
        <w:t>        </w:t>
      </w:r>
      <w:r>
        <w:rPr>
          <w:sz w:val="20"/>
        </w:rPr>
        <w:t xml:space="preserve">Specified items of our income, gain, loss and deduction will be allocated to account for the difference between the tax basis and fair market value of property contributed to us by the general partner, referred to in this discussion as "Contributed Property," and to account for the difference between the fair market value of our assets and their carrying value on our books at the time of an offering. The effect of these allocations to a unitholder purchasing common units in an offering will be essentially the same as if the tax basis of our assets were equal to their fair market value at the time of the offering.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 </w:t>
      </w:r>
    </w:p>
    <w:p>
      <w:pPr>
        <w:pStyle w:val="TextBody"/>
        <w:jc w:val="center"/>
        <w:rPr>
          <w:sz w:val="20"/>
        </w:rPr>
      </w:pPr>
      <w:r>
        <w:rPr>
          <w:sz w:val="20"/>
        </w:rPr>
        <w:t>36</w:t>
      </w:r>
    </w:p>
    <w:p>
      <w:pPr>
        <w:pStyle w:val="HorizontalLine"/>
        <w:pBdr>
          <w:bottom w:val="single" w:sz="20" w:space="0" w:color="808080"/>
        </w:pBdr>
        <w:rPr/>
      </w:pPr>
      <w:r>
        <w:rPr/>
      </w:r>
      <w:r>
        <w:br w:type="page"/>
      </w:r>
    </w:p>
    <w:p>
      <w:pPr>
        <w:pStyle w:val="TextBody"/>
        <w:rPr/>
      </w:pPr>
      <w:r>
        <w:rPr/>
      </w:r>
      <w:bookmarkStart w:id="105" w:name="page_dk1086_1_37"/>
      <w:bookmarkStart w:id="106" w:name="page_dk1086_1_37"/>
      <w:bookmarkEnd w:id="106"/>
    </w:p>
    <w:p>
      <w:pPr>
        <w:pStyle w:val="TextBody"/>
        <w:rPr>
          <w:sz w:val="20"/>
        </w:rPr>
      </w:pPr>
      <w:r>
        <w:rPr>
          <w:sz w:val="20"/>
        </w:rPr>
        <w:t xml:space="preserve">not expect that our operations will result in the creation of negative capital accounts, if negative capital accounts nevertheless result, items of our income and gain will be allocated in an amount and manner to eliminate the negative balance as quickly as possible. </w:t>
      </w:r>
    </w:p>
    <w:p>
      <w:pPr>
        <w:pStyle w:val="TextBody"/>
        <w:rPr/>
      </w:pPr>
      <w:r>
        <w:rPr/>
        <w:t>        </w:t>
      </w:r>
      <w:r>
        <w:rPr>
          <w:sz w:val="20"/>
        </w:rPr>
        <w:t xml:space="preserve">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the partner's interest in us, which will be determined by taking into account all the facts and circumstances, including the partner's relative contributions to us, the interests of all the partners in profits and losses, the interest of all the partners in cash flow and other nonliquidating distributions and rights of the partners to distributions of capital upon liquidation. </w:t>
      </w:r>
    </w:p>
    <w:p>
      <w:pPr>
        <w:pStyle w:val="TextBody"/>
        <w:rPr/>
      </w:pPr>
      <w:r>
        <w:rPr/>
        <w:t>        </w:t>
      </w:r>
      <w:r>
        <w:rPr>
          <w:sz w:val="20"/>
        </w:rPr>
        <w:t xml:space="preserve">Counsel is of the opinion that, with the exception of the issues described in "Tax Consequences of Unit OwnershipSection 754 Election" and "Disposition of Common UnitsAllocations Between Transferors and Transferees," respectively, allocations under our partnership agreement will be given effect for federal income tax purposes in determining a partner's share of an item of income, gain, loss or deduction. </w:t>
      </w:r>
    </w:p>
    <w:p>
      <w:pPr>
        <w:pStyle w:val="TextBody"/>
        <w:rPr/>
      </w:pPr>
      <w:r>
        <w:rPr/>
        <w:t>        </w:t>
      </w:r>
      <w:r>
        <w:rPr>
          <w:i/>
          <w:sz w:val="20"/>
        </w:rPr>
        <w:t>Treatment of Short Sales.</w:t>
      </w:r>
      <w:r>
        <w:rPr/>
        <w:t>    </w:t>
      </w:r>
      <w:r>
        <w:rPr>
          <w:sz w:val="20"/>
        </w:rPr>
        <w:t xml:space="preserve">A unitholder whose units are loaned to a "short seller" to cover a short sale of units may be considered as having disposed of those units. If so, he would no longer be a partner with respect to those units during the period of the loan and may recognize gain or loss from the disposition. As a result, during this period: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of our income, gain, loss or deduction with respect to those units would not be reportable by the unitholder;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cash distributions received by the unitholder for those units would be fully taxable;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all of these distributions would appear to be ordinary income. </w:t>
      </w:r>
    </w:p>
    <w:p>
      <w:pPr>
        <w:pStyle w:val="TextBody"/>
        <w:rPr/>
      </w:pPr>
      <w:r>
        <w:rPr/>
        <w:t>        </w:t>
      </w:r>
      <w:r>
        <w:rPr>
          <w:sz w:val="20"/>
        </w:rPr>
        <w:t xml:space="preserve">Counsel has not rendered an opinion regarding the treatment of a unitholder where common units are loaned to a short seller to cover a short sale of common units; therefore, unitholders desiring to ensure their status as partners and avoid the risk of gain recognition from a loan to a short seller should modify any applicable brokerage account agreements to prohibit their brokers from borrowing their units. The IRS has announced that it is actively studying issues relating to the tax treatment of short sales of partnership interests. Please read "Disposition of Common UnitsRecognition of Gain or Loss." </w:t>
      </w:r>
    </w:p>
    <w:p>
      <w:pPr>
        <w:pStyle w:val="TextBody"/>
        <w:rPr/>
      </w:pPr>
      <w:r>
        <w:rPr/>
        <w:t>        </w:t>
      </w:r>
      <w:r>
        <w:rPr>
          <w:i/>
          <w:sz w:val="20"/>
        </w:rPr>
        <w:t>Alternative Minimum Tax.</w:t>
      </w:r>
      <w:r>
        <w:rPr/>
        <w:t>    </w:t>
      </w:r>
      <w:r>
        <w:rPr>
          <w:sz w:val="20"/>
        </w:rPr>
        <w:t xml:space="preserve">Although it is not expected that we will generate significant tax preference items or adjustments, each unitholder will be required to take into account his distributive share of any items of our income, gain, 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should consult with their tax advisors as to the impact of an investment in units on their liability for the alternative minimum tax. </w:t>
      </w:r>
    </w:p>
    <w:p>
      <w:pPr>
        <w:pStyle w:val="TextBody"/>
        <w:rPr/>
      </w:pPr>
      <w:r>
        <w:rPr/>
        <w:t>        </w:t>
      </w:r>
      <w:r>
        <w:rPr>
          <w:i/>
          <w:sz w:val="20"/>
        </w:rPr>
        <w:t>Tax Rates.</w:t>
      </w:r>
      <w:r>
        <w:rPr/>
        <w:t>    </w:t>
      </w:r>
      <w:r>
        <w:rPr>
          <w:sz w:val="20"/>
        </w:rPr>
        <w:t xml:space="preserve">In general the highest effective United States federal income tax rate for individuals currently is 35% and the maximum United States federal income tax rate for net capital gains of an individual currently is 15% if the asset disposed of was held for more than 12 months at the time of disposition. </w:t>
      </w:r>
    </w:p>
    <w:p>
      <w:pPr>
        <w:pStyle w:val="TextBody"/>
        <w:jc w:val="center"/>
        <w:rPr>
          <w:sz w:val="20"/>
        </w:rPr>
      </w:pPr>
      <w:r>
        <w:rPr>
          <w:sz w:val="20"/>
        </w:rPr>
        <w:t>37</w:t>
      </w:r>
    </w:p>
    <w:p>
      <w:pPr>
        <w:pStyle w:val="HorizontalLine"/>
        <w:pBdr>
          <w:bottom w:val="single" w:sz="20" w:space="0" w:color="808080"/>
        </w:pBdr>
        <w:rPr/>
      </w:pPr>
      <w:r>
        <w:rPr/>
      </w:r>
      <w:r>
        <w:br w:type="page"/>
      </w:r>
    </w:p>
    <w:p>
      <w:pPr>
        <w:pStyle w:val="TextBody"/>
        <w:rPr/>
      </w:pPr>
      <w:r>
        <w:rPr/>
      </w:r>
      <w:bookmarkStart w:id="107" w:name="page_dk1086_1_38"/>
      <w:bookmarkStart w:id="108" w:name="page_dk1086_1_38"/>
      <w:bookmarkEnd w:id="108"/>
    </w:p>
    <w:p>
      <w:pPr>
        <w:pStyle w:val="TextBody"/>
        <w:rPr/>
      </w:pPr>
      <w:r>
        <w:rPr/>
        <w:t>        </w:t>
      </w:r>
      <w:r>
        <w:rPr>
          <w:i/>
          <w:sz w:val="20"/>
        </w:rPr>
        <w:t>Section 754 Election.</w:t>
      </w:r>
      <w:r>
        <w:rPr/>
        <w:t>    </w:t>
      </w:r>
      <w:r>
        <w:rPr>
          <w:sz w:val="20"/>
        </w:rPr>
        <w:t xml:space="preserve">We have made the election permitted by Section 754 of the Internal Revenue Code. That election is irrevocable without the consent of the IRS. The election 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partners. For purposes of this discussion, a partner's inside basis in our assets will be considered to have two components: (1) his share of our tax basis in our assets ("common basis") and (2) his Section 743(b) adjustment to that basis. </w:t>
      </w:r>
    </w:p>
    <w:p>
      <w:pPr>
        <w:pStyle w:val="TextBody"/>
        <w:rPr/>
      </w:pPr>
      <w:r>
        <w:rPr/>
        <w:t>        </w:t>
      </w:r>
      <w:r>
        <w:rPr>
          <w:sz w:val="20"/>
        </w:rPr>
        <w:t xml:space="preserve">Treasury regulations under Section 743 of the Internal Revenue Code require, if the remedial allocation method is adopted (which we have adopted), a portion of the Section 743(b) adjustment attributable to recovery property to be depreciated over the remaining cost recovery period for the Section 704(c) built-in gain. Under Treasury Regulation Section 1.167(c)-l(a)(6), a Section 743(b) adjustment attributable to property subject to depreciation under Section 167 of the Internal Revenue Code rather than cost recovery deductions under Section 168 is generally required to be depreciated using either the straight-line method or the 150% declining balance method. Under our partnership agreement, the general partner is authorized to take a position to preserve the uniformity of units even if that position is not consistent with these Treasury Regulations. Please read "Tax Treatment of Operations" and "Uniformity of Units." </w:t>
      </w:r>
    </w:p>
    <w:p>
      <w:pPr>
        <w:pStyle w:val="TextBody"/>
        <w:rPr/>
      </w:pPr>
      <w:r>
        <w:rPr/>
        <w:t>        </w:t>
      </w:r>
      <w:r>
        <w:rPr>
          <w:sz w:val="20"/>
        </w:rPr>
        <w:t xml:space="preserve">Although counsel is unable to opine as to the validity of this approach because there is no clear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the property, or treat that portion as non-amortizable to the extent attributable to property the common basis of which is not amortizable. This method is consistent with the regulations under Section 743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read Uniformity of Units." </w:t>
      </w:r>
    </w:p>
    <w:p>
      <w:pPr>
        <w:pStyle w:val="TextBody"/>
        <w:rPr/>
      </w:pPr>
      <w:r>
        <w:rPr/>
        <w:t>        </w:t>
      </w:r>
      <w:r>
        <w:rPr>
          <w:sz w:val="20"/>
        </w:rPr>
        <w:t xml:space="preserve">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and depletion deductions and a smaller share of any gain or loss on a sale of our assets.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w:t>
      </w:r>
    </w:p>
    <w:p>
      <w:pPr>
        <w:pStyle w:val="TextBody"/>
        <w:rPr/>
      </w:pPr>
      <w:r>
        <w:rPr/>
        <w:t>        </w:t>
      </w:r>
      <w:r>
        <w:rPr>
          <w:sz w:val="20"/>
        </w:rPr>
        <w:t xml:space="preserve">The calculations involved in the Section 754 election are complex and will be made on the basis of assumptions as to the value of our assets and other matters. The determinations we make may be successfully challenged by the IRS and the deductions resulting from them may be reduced or disallowed altogether.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amortizable over a longer period of time or under a less accelerated method than our tangible assets. Should the IRS require a different basis adjustment to be </w:t>
      </w:r>
    </w:p>
    <w:p>
      <w:pPr>
        <w:pStyle w:val="TextBody"/>
        <w:jc w:val="center"/>
        <w:rPr>
          <w:sz w:val="20"/>
        </w:rPr>
      </w:pPr>
      <w:r>
        <w:rPr>
          <w:sz w:val="20"/>
        </w:rPr>
        <w:t>38</w:t>
      </w:r>
    </w:p>
    <w:p>
      <w:pPr>
        <w:pStyle w:val="HorizontalLine"/>
        <w:pBdr>
          <w:bottom w:val="single" w:sz="20" w:space="0" w:color="808080"/>
        </w:pBdr>
        <w:rPr/>
      </w:pPr>
      <w:r>
        <w:rPr/>
      </w:r>
      <w:r>
        <w:br w:type="page"/>
      </w:r>
    </w:p>
    <w:p>
      <w:pPr>
        <w:pStyle w:val="TextBody"/>
        <w:rPr/>
      </w:pPr>
      <w:r>
        <w:rPr/>
      </w:r>
      <w:bookmarkStart w:id="109" w:name="page_dk1086_1_39"/>
      <w:bookmarkStart w:id="110" w:name="page_dk1086_1_39"/>
      <w:bookmarkEnd w:id="110"/>
    </w:p>
    <w:p>
      <w:pPr>
        <w:pStyle w:val="TextBody"/>
        <w:rPr>
          <w:sz w:val="20"/>
        </w:rPr>
      </w:pPr>
      <w:r>
        <w:rPr>
          <w:sz w:val="20"/>
        </w:rPr>
        <w:t xml:space="preserve">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 </w:t>
      </w:r>
    </w:p>
    <w:p>
      <w:pPr>
        <w:pStyle w:val="TextBody"/>
        <w:rPr>
          <w:b/>
          <w:sz w:val="20"/>
        </w:rPr>
      </w:pPr>
      <w:r>
        <w:rPr>
          <w:b/>
          <w:sz w:val="20"/>
        </w:rPr>
        <w:t xml:space="preserve">Tax Treatment of Operations </w:t>
      </w:r>
    </w:p>
    <w:p>
      <w:pPr>
        <w:pStyle w:val="TextBody"/>
        <w:rPr/>
      </w:pPr>
      <w:r>
        <w:rPr/>
        <w:t>        </w:t>
      </w:r>
      <w:r>
        <w:rPr>
          <w:i/>
          <w:sz w:val="20"/>
        </w:rPr>
        <w:t>Accounting Method and Taxable Year.</w:t>
      </w:r>
      <w:r>
        <w:rPr/>
        <w:t>    </w:t>
      </w:r>
      <w:r>
        <w:rPr>
          <w:sz w:val="20"/>
        </w:rPr>
        <w:t xml:space="preserve">We use the year ending December 31 as our taxable year and the accrual method of accounting for federal income 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read "Disposition of Common UnitsAllocations Between Transferors and Transferees." </w:t>
      </w:r>
    </w:p>
    <w:p>
      <w:pPr>
        <w:pStyle w:val="TextBody"/>
        <w:rPr/>
      </w:pPr>
      <w:r>
        <w:rPr/>
        <w:t>        </w:t>
      </w:r>
      <w:r>
        <w:rPr>
          <w:i/>
          <w:sz w:val="20"/>
        </w:rPr>
        <w:t>Initial Tax Basis, Depreciation and Amortization.</w:t>
      </w:r>
      <w:r>
        <w:rPr/>
        <w:t>    </w:t>
      </w:r>
      <w:r>
        <w:rPr>
          <w:sz w:val="20"/>
        </w:rPr>
        <w:t xml:space="preserve">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this offering will be borne by partners holding interests in us prior to this offering. Please read "Tax Consequences of Unit OwnershipAllocation of Income, Gain, Loss and Deduction." </w:t>
      </w:r>
    </w:p>
    <w:p>
      <w:pPr>
        <w:pStyle w:val="TextBody"/>
        <w:rPr/>
      </w:pPr>
      <w:r>
        <w:rPr/>
        <w:t>        </w:t>
      </w:r>
      <w:r>
        <w:rPr>
          <w:sz w:val="20"/>
        </w:rPr>
        <w:t xml:space="preserve">To the extent allowable, we may elect to use the depreciation and cost recovery methods that will result in the largest deductions being taken in the early years after assets are placed in service. We are not entitled to any amortization deductions with respect to any goodwill conveyed to us on formation. Property we subsequently acquire or construct may be depreciated using accelerated methods permitted by the Internal Revenue Code. </w:t>
      </w:r>
    </w:p>
    <w:p>
      <w:pPr>
        <w:pStyle w:val="TextBody"/>
        <w:rPr/>
      </w:pPr>
      <w:r>
        <w:rPr/>
        <w:t>        </w:t>
      </w:r>
      <w:r>
        <w:rPr>
          <w:sz w:val="20"/>
        </w:rPr>
        <w:t xml:space="preserve">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partner who has taken cost recovery or depreciation deductions with respect to property we own will likely be required to recapture some or all of those deductions as ordinary income upon a sale of his interest in us. Please read "Tax Consequences of Unit OwnershipAllocation of Income, Gain, Loss and Deduction" and "Disposition of Common UnitsRecognition of Gain or Loss." </w:t>
      </w:r>
    </w:p>
    <w:p>
      <w:pPr>
        <w:pStyle w:val="TextBody"/>
        <w:rPr/>
      </w:pPr>
      <w:r>
        <w:rPr/>
        <w:t>        </w:t>
      </w:r>
      <w:r>
        <w:rPr>
          <w:sz w:val="20"/>
        </w:rPr>
        <w:t xml:space="preserve">The costs incurred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 </w:t>
      </w:r>
    </w:p>
    <w:p>
      <w:pPr>
        <w:pStyle w:val="TextBody"/>
        <w:rPr/>
      </w:pPr>
      <w:r>
        <w:rPr/>
        <w:t>        </w:t>
      </w:r>
      <w:r>
        <w:rPr>
          <w:i/>
          <w:sz w:val="20"/>
        </w:rPr>
        <w:t>Valuation and Tax Basis of Our Properties.</w:t>
      </w:r>
      <w:r>
        <w:rPr/>
        <w:t>    </w:t>
      </w:r>
      <w:r>
        <w:rPr>
          <w:sz w:val="20"/>
        </w:rPr>
        <w:t xml:space="preserve">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may incur interest and penalties with respect to those adjustments. </w:t>
      </w:r>
    </w:p>
    <w:p>
      <w:pPr>
        <w:pStyle w:val="TextBody"/>
        <w:jc w:val="center"/>
        <w:rPr>
          <w:sz w:val="20"/>
        </w:rPr>
      </w:pPr>
      <w:r>
        <w:rPr>
          <w:sz w:val="20"/>
        </w:rPr>
        <w:t>39</w:t>
      </w:r>
    </w:p>
    <w:p>
      <w:pPr>
        <w:pStyle w:val="HorizontalLine"/>
        <w:pBdr>
          <w:bottom w:val="single" w:sz="20" w:space="0" w:color="808080"/>
        </w:pBdr>
        <w:rPr/>
      </w:pPr>
      <w:r>
        <w:rPr/>
      </w:r>
      <w:r>
        <w:br w:type="page"/>
      </w:r>
    </w:p>
    <w:p>
      <w:pPr>
        <w:pStyle w:val="TextBody"/>
        <w:rPr/>
      </w:pPr>
      <w:r>
        <w:rPr/>
      </w:r>
      <w:bookmarkStart w:id="111" w:name="page_dk1086_1_40"/>
      <w:bookmarkStart w:id="112" w:name="page_dk1086_1_40"/>
      <w:bookmarkEnd w:id="112"/>
    </w:p>
    <w:p>
      <w:pPr>
        <w:pStyle w:val="TextBody"/>
        <w:rPr>
          <w:b/>
          <w:sz w:val="20"/>
        </w:rPr>
      </w:pPr>
      <w:r>
        <w:rPr>
          <w:b/>
          <w:sz w:val="20"/>
        </w:rPr>
        <w:t xml:space="preserve">Disposition of Common Units </w:t>
      </w:r>
    </w:p>
    <w:p>
      <w:pPr>
        <w:pStyle w:val="TextBody"/>
        <w:rPr/>
      </w:pPr>
      <w:r>
        <w:rPr/>
        <w:t>        </w:t>
      </w:r>
      <w:r>
        <w:rPr>
          <w:i/>
          <w:sz w:val="20"/>
        </w:rPr>
        <w:t>Recognition of Gain or Loss.</w:t>
      </w:r>
      <w:r>
        <w:rPr/>
        <w:t>    </w:t>
      </w:r>
      <w:r>
        <w:rPr>
          <w:sz w:val="20"/>
        </w:rPr>
        <w:t xml:space="preserve">Gain or loss will be recognized on a sale of units equal to the difference between the amount realized and the unitholder's tax basis for the units sold. A unitholder's amount realized will be measured by the sum of the cash or the fair market value of other property received plus his share of our nonrecourse liabilities. Because the amount realized includes a unitholder's share of our nonrecourse liabilities, the gain recognized on the sale of units could result in a tax liability in excess of any cash received from the sale. </w:t>
      </w:r>
    </w:p>
    <w:p>
      <w:pPr>
        <w:pStyle w:val="TextBody"/>
        <w:rPr/>
      </w:pPr>
      <w:r>
        <w:rPr/>
        <w:t>        </w:t>
      </w:r>
      <w:r>
        <w:rPr>
          <w:sz w:val="20"/>
        </w:rPr>
        <w:t xml:space="preserve">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is less than his original cost. </w:t>
      </w:r>
    </w:p>
    <w:p>
      <w:pPr>
        <w:pStyle w:val="TextBody"/>
        <w:rPr/>
      </w:pPr>
      <w:r>
        <w:rPr/>
        <w:t>        </w:t>
      </w:r>
      <w:r>
        <w:rPr>
          <w:sz w:val="20"/>
        </w:rPr>
        <w:t xml:space="preserve">Except as noted below, gain or loss recognized by a unitholder, other than a "dealer" in units, on the sale or exchange of a unit held for more than one year will generally be taxable as capital gain or loss. Capital gain recognized by an individual on the sale of units held more than 12 months will generally be taxed a maximum rate of 15%. A portion of this gain or loss, which will likely be substantial, however,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Capital losses may offset capital gains and no more than $3,000 of ordinary income in the case of individuals, and may only be used to offset capital gains in the case of corporations. </w:t>
      </w:r>
    </w:p>
    <w:p>
      <w:pPr>
        <w:pStyle w:val="TextBody"/>
        <w:rPr/>
      </w:pPr>
      <w:r>
        <w:rPr/>
        <w:t>        </w:t>
      </w:r>
      <w:r>
        <w:rPr>
          <w:sz w:val="20"/>
        </w:rPr>
        <w:t xml:space="preserve">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Although the ruling is unclear as to how the holding period of these interests is determined once they are combined, Treasury regulations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should consult his tax advisor as to the possible consequences of this ruling and application of the regulations. </w:t>
      </w:r>
    </w:p>
    <w:p>
      <w:pPr>
        <w:pStyle w:val="TextBody"/>
        <w:rPr/>
      </w:pPr>
      <w:r>
        <w:rPr/>
        <w:t>        </w:t>
      </w:r>
      <w:r>
        <w:rPr>
          <w:sz w:val="20"/>
        </w:rPr>
        <w:t xml:space="preserve">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short sale;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futures or forward contract with respect to the partnership interest or substantially identical property. </w:t>
      </w:r>
    </w:p>
    <w:p>
      <w:pPr>
        <w:pStyle w:val="TextBody"/>
        <w:rPr/>
      </w:pPr>
      <w:r>
        <w:rPr/>
        <w:t>        </w:t>
      </w:r>
      <w:r>
        <w:rPr>
          <w:sz w:val="20"/>
        </w:rPr>
        <w:t xml:space="preserve">Moreover, if a taxpayer has previously entered into a short sale, an offsetting notional principal contract or a futures or forward contract with respect to the partnership interest, the taxpayer will be </w:t>
      </w:r>
    </w:p>
    <w:p>
      <w:pPr>
        <w:pStyle w:val="TextBody"/>
        <w:jc w:val="center"/>
        <w:rPr>
          <w:sz w:val="20"/>
        </w:rPr>
      </w:pPr>
      <w:r>
        <w:rPr>
          <w:sz w:val="20"/>
        </w:rPr>
        <w:t>40</w:t>
      </w:r>
    </w:p>
    <w:p>
      <w:pPr>
        <w:pStyle w:val="HorizontalLine"/>
        <w:pBdr>
          <w:bottom w:val="single" w:sz="20" w:space="0" w:color="808080"/>
        </w:pBdr>
        <w:rPr/>
      </w:pPr>
      <w:r>
        <w:rPr/>
      </w:r>
      <w:r>
        <w:br w:type="page"/>
      </w:r>
    </w:p>
    <w:p>
      <w:pPr>
        <w:pStyle w:val="TextBody"/>
        <w:rPr/>
      </w:pPr>
      <w:r>
        <w:rPr/>
      </w:r>
      <w:bookmarkStart w:id="113" w:name="page_dk1086_1_41"/>
      <w:bookmarkStart w:id="114" w:name="page_dk1086_1_41"/>
      <w:bookmarkEnd w:id="114"/>
    </w:p>
    <w:p>
      <w:pPr>
        <w:pStyle w:val="TextBody"/>
        <w:rPr>
          <w:sz w:val="20"/>
        </w:rPr>
      </w:pPr>
      <w:r>
        <w:rPr>
          <w:sz w:val="20"/>
        </w:rPr>
        <w:t xml:space="preserve">treated as having sold that position if the taxpayer or a related person then acquires the partnership interest or substantially identical property. The Secretary of Treasury is also authorized to issue regulations that treat a taxpayer that enters into transactions or positions that have substantially the same effect as the preceding transactions as having constructively sold the financial position. </w:t>
      </w:r>
    </w:p>
    <w:p>
      <w:pPr>
        <w:pStyle w:val="TextBody"/>
        <w:rPr/>
      </w:pPr>
      <w:r>
        <w:rPr/>
        <w:t>        </w:t>
      </w:r>
      <w:r>
        <w:rPr>
          <w:i/>
          <w:sz w:val="20"/>
        </w:rPr>
        <w:t>Allocations Between Transferors and Transferees.</w:t>
      </w:r>
      <w:r>
        <w:rPr/>
        <w:t>    </w:t>
      </w:r>
      <w:r>
        <w:rPr>
          <w:sz w:val="20"/>
        </w:rPr>
        <w:t xml:space="preserve">In general, our taxable income and losses will be determined annually, will be prorated on a monthly basis and will be subsequently apportioned among the unitholders in proportion to the number of units owned by each of them as of the opening of the NYSE on the first business day of the month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 </w:t>
      </w:r>
    </w:p>
    <w:p>
      <w:pPr>
        <w:pStyle w:val="TextBody"/>
        <w:rPr/>
      </w:pPr>
      <w:r>
        <w:rPr/>
        <w:t>        </w:t>
      </w:r>
      <w:r>
        <w:rPr>
          <w:sz w:val="20"/>
        </w:rPr>
        <w:t xml:space="preserve">The use of this method may not be permitted under existing Treasury regulations. Accordingly, counsel is unable to opine on the validity of this method of allocating income and deductions between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unitholders to conform to a method permitted under future Treasury Regulations. </w:t>
      </w:r>
    </w:p>
    <w:p>
      <w:pPr>
        <w:pStyle w:val="TextBody"/>
        <w:rPr/>
      </w:pPr>
      <w:r>
        <w:rPr/>
        <w:t>        </w:t>
      </w:r>
      <w:r>
        <w:rPr>
          <w:sz w:val="20"/>
        </w:rPr>
        <w:t xml:space="preserve">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 </w:t>
      </w:r>
    </w:p>
    <w:p>
      <w:pPr>
        <w:pStyle w:val="TextBody"/>
        <w:rPr/>
      </w:pPr>
      <w:r>
        <w:rPr/>
        <w:t>        </w:t>
      </w:r>
      <w:r>
        <w:rPr>
          <w:i/>
          <w:sz w:val="20"/>
        </w:rPr>
        <w:t>Notification Requirements.</w:t>
      </w:r>
      <w:r>
        <w:rPr/>
        <w:t>    </w:t>
      </w:r>
      <w:r>
        <w:rPr>
          <w:sz w:val="20"/>
        </w:rPr>
        <w:t xml:space="preserve">A unitholder who sells or exchanges units, other than through a broker, generally is required to notify us in writing of that sale or exchange within 30 days after the sale or exchange (or, if earlier, January 15 of the year following the sale). A unitholder who acquires units generally is required to notify us in writing of that acquisition within 30 days of that purchase, unless a broker or nominee will satisfy such requirement. We are required to notify the IRS of any such transfers and to furnish specified information to the transferor and transferee. Failure to satisfy these reporting obligations may, in some cases, lead to the imposition of penalties. </w:t>
      </w:r>
    </w:p>
    <w:p>
      <w:pPr>
        <w:pStyle w:val="TextBody"/>
        <w:rPr/>
      </w:pPr>
      <w:r>
        <w:rPr/>
        <w:t>        </w:t>
      </w:r>
      <w:r>
        <w:rPr>
          <w:i/>
          <w:sz w:val="20"/>
        </w:rPr>
        <w:t>Constructive Termination.</w:t>
      </w:r>
      <w:r>
        <w:rPr/>
        <w:t>    </w:t>
      </w:r>
      <w:r>
        <w:rPr>
          <w:sz w:val="20"/>
        </w:rPr>
        <w:t xml:space="preserve">We will be considered to have been terminated for tax purposes if there is a sale or exchange of 50% or more of the total interests in our capital and profits within a 12-month period. A constructive termination results in the closing of our taxable year for all unitholders. In the case of a unitholder reporting on a taxable year other than a fiscal year ending December 31, the closing of our taxable year may result in more than 12 months of our taxable income or loss being includable in his taxable income for the year of termination.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 </w:t>
      </w:r>
    </w:p>
    <w:p>
      <w:pPr>
        <w:pStyle w:val="TextBody"/>
        <w:rPr>
          <w:b/>
          <w:sz w:val="20"/>
        </w:rPr>
      </w:pPr>
      <w:r>
        <w:rPr>
          <w:b/>
          <w:sz w:val="20"/>
        </w:rPr>
        <w:t xml:space="preserve">Uniformity of Units </w:t>
      </w:r>
    </w:p>
    <w:p>
      <w:pPr>
        <w:pStyle w:val="TextBody"/>
        <w:rPr/>
      </w:pPr>
      <w:r>
        <w:rPr/>
        <w:t>        </w:t>
      </w:r>
      <w:r>
        <w:rPr>
          <w:sz w:val="20"/>
        </w:rPr>
        <w:t xml:space="preserve">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read "Tax Consequences of Unit OwnershipSection 754 Election." </w:t>
      </w:r>
    </w:p>
    <w:p>
      <w:pPr>
        <w:pStyle w:val="TextBody"/>
        <w:jc w:val="center"/>
        <w:rPr>
          <w:sz w:val="20"/>
        </w:rPr>
      </w:pPr>
      <w:r>
        <w:rPr>
          <w:sz w:val="20"/>
        </w:rPr>
        <w:t>41</w:t>
      </w:r>
    </w:p>
    <w:p>
      <w:pPr>
        <w:pStyle w:val="HorizontalLine"/>
        <w:pBdr>
          <w:bottom w:val="single" w:sz="20" w:space="0" w:color="808080"/>
        </w:pBdr>
        <w:rPr/>
      </w:pPr>
      <w:r>
        <w:rPr/>
      </w:r>
      <w:r>
        <w:br w:type="page"/>
      </w:r>
    </w:p>
    <w:p>
      <w:pPr>
        <w:pStyle w:val="TextBody"/>
        <w:rPr/>
      </w:pPr>
      <w:r>
        <w:rPr/>
      </w:r>
      <w:bookmarkStart w:id="115" w:name="page_dk1086_1_42"/>
      <w:bookmarkStart w:id="116" w:name="page_dk1086_1_42"/>
      <w:bookmarkEnd w:id="116"/>
    </w:p>
    <w:p>
      <w:pPr>
        <w:pStyle w:val="TextBody"/>
        <w:rPr/>
      </w:pPr>
      <w:r>
        <w:rPr/>
        <w:t>        </w:t>
      </w:r>
      <w:r>
        <w:rPr>
          <w:sz w:val="20"/>
        </w:rPr>
        <w:t xml:space="preserve">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that property, or treat that portion as nonamortizable, to the extent attributable to property the common basis of which is not amortizable, consistent with the regulations under Section 743 even though that portion may be inconsistent with Treasury Regulation Section 1.167(c)-1(a)(6), which is not expected to directly apply to a material portion of our assets. Please read "Tax Consequences of Unit OwnershipSection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rate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read "Disposition of Common UnitsRecognition of Gain or Loss." </w:t>
      </w:r>
    </w:p>
    <w:p>
      <w:pPr>
        <w:pStyle w:val="TextBody"/>
        <w:rPr>
          <w:b/>
          <w:sz w:val="20"/>
        </w:rPr>
      </w:pPr>
      <w:r>
        <w:rPr>
          <w:b/>
          <w:sz w:val="20"/>
        </w:rPr>
        <w:t xml:space="preserve">Tax-Exempt Organizations and Other Investors </w:t>
      </w:r>
    </w:p>
    <w:p>
      <w:pPr>
        <w:pStyle w:val="TextBody"/>
        <w:rPr/>
      </w:pPr>
      <w:r>
        <w:rPr/>
        <w:t>        </w:t>
      </w:r>
      <w:r>
        <w:rPr>
          <w:sz w:val="20"/>
        </w:rPr>
        <w:t xml:space="preserve">Ownership of units by employee benefit plans, other tax-exempt organizations, non-resident aliens, foreign corporations, other foreign persons and regulated investment companies raises issues unique to those investors and, as described below, may have substantially adverse tax consequences to them. Employee benefit plans and most other organizations exempt from federal income tax, including individual retirement accounts and other retirement plans, are subject to federal income tax on unrelated business taxable income. Virtually all of our income allocated to a unitholder which is a tax-exempt organization will be unrelated business taxable income and will be taxable to the unitholder. </w:t>
      </w:r>
    </w:p>
    <w:p>
      <w:pPr>
        <w:pStyle w:val="TextBody"/>
        <w:rPr/>
      </w:pPr>
      <w:r>
        <w:rPr/>
        <w:t>        </w:t>
      </w:r>
      <w:r>
        <w:rPr>
          <w:sz w:val="20"/>
        </w:rPr>
        <w:t xml:space="preserve">For tax years beginning on or prior to October 22, 2004, a regulated investment company or "mutual fund" is required to derive 90% or more of its gross income from interest, dividends and gains from the sale of stocks or securities or foreign currency or specified related sources. It is not anticipated that any significant amount of our gross income will include that type of income. Recent legislation adds net income derived from the ownership of an interest in a "qualified publicly traded partnership" to the categories of qualified income for a regulated investment company. We expect that we will meet the definition of a qualified publicly traded partnership. However, this legislation is only effective for taxable years beginning after October 22, 2004. </w:t>
      </w:r>
    </w:p>
    <w:p>
      <w:pPr>
        <w:pStyle w:val="TextBody"/>
        <w:rPr/>
      </w:pPr>
      <w:r>
        <w:rPr/>
        <w:t>        </w:t>
      </w:r>
      <w:r>
        <w:rPr>
          <w:sz w:val="20"/>
        </w:rPr>
        <w:t xml:space="preserve">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income or gain. And, under rules applicable to publicly traded partnerships, we will withhold tax at the highest effective applicable rate from cash distributions made quarterly to foreign unitholders. Each foreign unitholder must obtain a taxpayer identification number from the IRS and submit that number to our transfer agent on a Form W-8 BEN or applicable substitute form in order to obtain credit for these withholding taxes. </w:t>
      </w:r>
    </w:p>
    <w:p>
      <w:pPr>
        <w:pStyle w:val="TextBody"/>
        <w:jc w:val="center"/>
        <w:rPr>
          <w:sz w:val="20"/>
        </w:rPr>
      </w:pPr>
      <w:r>
        <w:rPr>
          <w:sz w:val="20"/>
        </w:rPr>
        <w:t>42</w:t>
      </w:r>
    </w:p>
    <w:p>
      <w:pPr>
        <w:pStyle w:val="HorizontalLine"/>
        <w:pBdr>
          <w:bottom w:val="single" w:sz="20" w:space="0" w:color="808080"/>
        </w:pBdr>
        <w:rPr/>
      </w:pPr>
      <w:r>
        <w:rPr/>
      </w:r>
      <w:r>
        <w:br w:type="page"/>
      </w:r>
    </w:p>
    <w:p>
      <w:pPr>
        <w:pStyle w:val="TextBody"/>
        <w:rPr/>
      </w:pPr>
      <w:r>
        <w:rPr/>
      </w:r>
      <w:bookmarkStart w:id="117" w:name="page_dk1086_1_43"/>
      <w:bookmarkStart w:id="118" w:name="page_dk1086_1_43"/>
      <w:bookmarkEnd w:id="118"/>
    </w:p>
    <w:p>
      <w:pPr>
        <w:pStyle w:val="TextBody"/>
        <w:rPr/>
      </w:pPr>
      <w:r>
        <w:rPr/>
        <w:t>        </w:t>
      </w:r>
      <w:r>
        <w:rPr>
          <w:sz w:val="20"/>
        </w:rPr>
        <w:t xml:space="preserve">In addition, because a foreign corporation that owns units will be treated as engaged in a United States trade or business, that corporation may be subject to United States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 </w:t>
      </w:r>
    </w:p>
    <w:p>
      <w:pPr>
        <w:pStyle w:val="TextBody"/>
        <w:rPr/>
      </w:pPr>
      <w:r>
        <w:rPr/>
        <w:t>        </w:t>
      </w:r>
      <w:r>
        <w:rPr>
          <w:sz w:val="20"/>
        </w:rPr>
        <w:t xml:space="preserve">Under a ruling of the IRS, a foreign unitholder who sells or otherwise disposes of a unit will be subject to federal income tax on gain realized on the disposition of that unit to the extent that this gain is effectively connected with a United States trade or business of the foreign unitholder. Apart from the ruling, a foreign unitholder will not be taxed or subject to withholding upon the disposition of a unit if he has owned less than 5% in value of the units during the five-year period ending on the date of the disposition and if the units are regularly traded on an established securities market at the time of the disposition. </w:t>
      </w:r>
    </w:p>
    <w:p>
      <w:pPr>
        <w:pStyle w:val="TextBody"/>
        <w:rPr>
          <w:b/>
          <w:sz w:val="20"/>
        </w:rPr>
      </w:pPr>
      <w:r>
        <w:rPr>
          <w:b/>
          <w:sz w:val="20"/>
        </w:rPr>
        <w:t xml:space="preserve">Administrative Matters </w:t>
      </w:r>
    </w:p>
    <w:p>
      <w:pPr>
        <w:pStyle w:val="TextBody"/>
        <w:rPr/>
      </w:pPr>
      <w:r>
        <w:rPr/>
        <w:t>        </w:t>
      </w:r>
      <w:r>
        <w:rPr>
          <w:i/>
          <w:sz w:val="20"/>
        </w:rPr>
        <w:t>Information Returns and Audit Procedures.</w:t>
      </w:r>
      <w:r>
        <w:rPr/>
        <w:t>    </w:t>
      </w:r>
      <w:r>
        <w:rPr>
          <w:sz w:val="20"/>
        </w:rPr>
        <w:t xml:space="preserve">We intend to furnish to each unitholder, within 90 days after the close of each calendar year, specific tax 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the unitholder's share of income, gain, loss and deduction. We cannot assure you that those positions will yield a result that conforms to the requirements of the Internal Revenue Code, regulations or administrative interpretations of the IRS. Neither we nor counsel can assure prospective unitholders that the IRS will not successfully contend in court that those positions are impermissible. Any challenge by the IRS could negatively affect the value of the units. </w:t>
      </w:r>
    </w:p>
    <w:p>
      <w:pPr>
        <w:pStyle w:val="TextBody"/>
        <w:rPr/>
      </w:pPr>
      <w:r>
        <w:rPr/>
        <w:t>        </w:t>
      </w:r>
      <w:r>
        <w:rPr>
          <w:sz w:val="20"/>
        </w:rPr>
        <w:t xml:space="preserve">The IRS may audit our federal income tax information returns. Adjustments resulting from an IRS audit may require each unitholder to adjust a prior year's tax liability, and possibly may result in an audit of that unitholder's own return. Any audit of a unitholder's return could result in adjustments not related to our returns as well as those related to our returns. </w:t>
      </w:r>
    </w:p>
    <w:p>
      <w:pPr>
        <w:pStyle w:val="TextBody"/>
        <w:rPr/>
      </w:pPr>
      <w:r>
        <w:rPr/>
        <w:t>        </w:t>
      </w:r>
      <w:r>
        <w:rPr>
          <w:sz w:val="20"/>
        </w:rPr>
        <w:t xml:space="preserve">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The partnership agreement appoints the general partner as our Tax Matters Partner. </w:t>
      </w:r>
    </w:p>
    <w:p>
      <w:pPr>
        <w:pStyle w:val="TextBody"/>
        <w:rPr/>
      </w:pPr>
      <w:r>
        <w:rPr/>
        <w:t>        </w:t>
      </w:r>
      <w:r>
        <w:rPr>
          <w:sz w:val="20"/>
        </w:rPr>
        <w:t xml:space="preserve">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However, if we elect to be treated as a large partnership, a unitholder will not have the right to participate in settlement conferences with the IRS or to seek a refund. </w:t>
      </w:r>
    </w:p>
    <w:p>
      <w:pPr>
        <w:pStyle w:val="TextBody"/>
        <w:jc w:val="center"/>
        <w:rPr>
          <w:sz w:val="20"/>
        </w:rPr>
      </w:pPr>
      <w:r>
        <w:rPr>
          <w:sz w:val="20"/>
        </w:rPr>
        <w:t>43</w:t>
      </w:r>
    </w:p>
    <w:p>
      <w:pPr>
        <w:pStyle w:val="HorizontalLine"/>
        <w:pBdr>
          <w:bottom w:val="single" w:sz="20" w:space="0" w:color="808080"/>
        </w:pBdr>
        <w:rPr/>
      </w:pPr>
      <w:r>
        <w:rPr/>
      </w:r>
      <w:r>
        <w:br w:type="page"/>
      </w:r>
    </w:p>
    <w:p>
      <w:pPr>
        <w:pStyle w:val="TextBody"/>
        <w:rPr/>
      </w:pPr>
      <w:r>
        <w:rPr/>
      </w:r>
      <w:bookmarkStart w:id="119" w:name="page_dk1086_1_44"/>
      <w:bookmarkStart w:id="120" w:name="page_dk1086_1_44"/>
      <w:bookmarkEnd w:id="120"/>
    </w:p>
    <w:p>
      <w:pPr>
        <w:pStyle w:val="TextBody"/>
        <w:rPr/>
      </w:pPr>
      <w:r>
        <w:rPr/>
        <w:t>        </w:t>
      </w:r>
      <w:r>
        <w:rPr>
          <w:sz w:val="20"/>
        </w:rPr>
        <w:t xml:space="preserve">A unitholder must file a statement with the IRS identifying the treatment of any item on his federal income tax return that is not consistent with the treatment of the item on our return. Intentional or negligent disregard of the consistency requirement may subject a unitholder to substantial penalties. However, if we elect to be treated as a large partnership, the unitholders would be required to treat all partnership items in a manner consistent with our return. </w:t>
      </w:r>
    </w:p>
    <w:p>
      <w:pPr>
        <w:pStyle w:val="TextBody"/>
        <w:rPr/>
      </w:pPr>
      <w:r>
        <w:rPr/>
        <w:t>        </w:t>
      </w:r>
      <w:r>
        <w:rPr>
          <w:i/>
          <w:sz w:val="20"/>
        </w:rPr>
        <w:t>Nominee Reporting.</w:t>
      </w:r>
      <w:r>
        <w:rPr/>
        <w:t>    </w:t>
      </w:r>
      <w:r>
        <w:rPr>
          <w:sz w:val="20"/>
        </w:rPr>
        <w:t xml:space="preserve">Persons who hold an interest in us as a nominee for another person are required to furnish to us: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name, address and taxpayer identification number of the beneficial owner and the nominee;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whether the beneficial owner is a person that is not a United States person,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foreign government, an international organization or any wholly owned agency or instrumentality of either of the foregoing,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tax-exempt entity;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amount and description of units held, acquired or transferred for the beneficial owner;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specific information including the dates of acquisitions and transfers, means of acquisitions and transfers, and acquisition cost for purchases, as well as the amount of net proceeds from sales. </w:t>
      </w:r>
    </w:p>
    <w:p>
      <w:pPr>
        <w:pStyle w:val="TextBody"/>
        <w:rPr/>
      </w:pPr>
      <w:r>
        <w:rPr/>
        <w:t>        </w:t>
      </w:r>
      <w:r>
        <w:rPr>
          <w:sz w:val="20"/>
        </w:rPr>
        <w:t xml:space="preserve">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units with the information furnished to us. </w:t>
      </w:r>
    </w:p>
    <w:p>
      <w:pPr>
        <w:pStyle w:val="TextBody"/>
        <w:rPr/>
      </w:pPr>
      <w:r>
        <w:rPr/>
        <w:t>        </w:t>
      </w:r>
      <w:r>
        <w:rPr>
          <w:i/>
          <w:sz w:val="20"/>
        </w:rPr>
        <w:t>Accuracy-related Penalties.</w:t>
      </w:r>
      <w:r>
        <w:rPr/>
        <w:t>    </w:t>
      </w:r>
      <w:r>
        <w:rPr>
          <w:sz w:val="20"/>
        </w:rPr>
        <w:t xml:space="preserve">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 </w:t>
      </w:r>
    </w:p>
    <w:p>
      <w:pPr>
        <w:pStyle w:val="TextBody"/>
        <w:rPr/>
      </w:pPr>
      <w:r>
        <w:rPr/>
        <w:t>        </w:t>
      </w:r>
      <w:r>
        <w:rPr>
          <w:sz w:val="20"/>
        </w:rPr>
        <w:t xml:space="preserve">A substantial understatement of income tax in any taxable year exists if the amount of the understatement exceeds the greater of 10% of the tax required to be shown on the return for the taxable year or $5,000. The amount of any understatement subject to penalty generally is reduced if any portion is attributable to a position adopted on the return: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for which there is, or was, "substantial authority,"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as to which there is a reasonable basis and the pertinent facts of that position are disclosed on the return. </w:t>
      </w:r>
    </w:p>
    <w:p>
      <w:pPr>
        <w:pStyle w:val="TextBody"/>
        <w:rPr/>
      </w:pPr>
      <w:r>
        <w:rPr/>
        <w:t>        </w:t>
      </w:r>
      <w:r>
        <w:rPr>
          <w:sz w:val="20"/>
        </w:rPr>
        <w:t xml:space="preserve">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to avoid liability for this penalty. More stringent rules apply to "tax shelters," which we do not believe includes us. </w:t>
      </w:r>
    </w:p>
    <w:p>
      <w:pPr>
        <w:pStyle w:val="TextBody"/>
        <w:rPr/>
      </w:pPr>
      <w:r>
        <w:rPr/>
        <w:t>        </w:t>
      </w:r>
      <w:r>
        <w:rPr>
          <w:sz w:val="20"/>
        </w:rPr>
        <w:t xml:space="preserve">A substantial valuation misstatement exists if the value of any property, or the adjusted basis of any property, claimed on a tax return is 200% or more of the amount determined to be the correct amount of the valuation or adjusted basis. No penalty is imposed unless the portion of the underpayment attributable to a substantial valuation misstatement exceeds $5,000. If the valuation claimed on a return is 400% or more than the correct valuation, the penalty imposed increases to 40%. </w:t>
      </w:r>
    </w:p>
    <w:p>
      <w:pPr>
        <w:pStyle w:val="TextBody"/>
        <w:jc w:val="center"/>
        <w:rPr>
          <w:sz w:val="20"/>
        </w:rPr>
      </w:pPr>
      <w:r>
        <w:rPr>
          <w:sz w:val="20"/>
        </w:rPr>
        <w:t>44</w:t>
      </w:r>
    </w:p>
    <w:p>
      <w:pPr>
        <w:pStyle w:val="HorizontalLine"/>
        <w:pBdr>
          <w:bottom w:val="single" w:sz="20" w:space="0" w:color="808080"/>
        </w:pBdr>
        <w:rPr/>
      </w:pPr>
      <w:r>
        <w:rPr/>
      </w:r>
      <w:r>
        <w:br w:type="page"/>
      </w:r>
    </w:p>
    <w:p>
      <w:pPr>
        <w:pStyle w:val="TextBody"/>
        <w:rPr/>
      </w:pPr>
      <w:r>
        <w:rPr/>
      </w:r>
      <w:bookmarkStart w:id="121" w:name="page_dk1086_1_45"/>
      <w:bookmarkStart w:id="122" w:name="page_dk1086_1_45"/>
      <w:bookmarkEnd w:id="122"/>
    </w:p>
    <w:p>
      <w:pPr>
        <w:pStyle w:val="TextBody"/>
        <w:rPr/>
      </w:pPr>
      <w:r>
        <w:rPr/>
        <w:t>        </w:t>
      </w:r>
      <w:r>
        <w:rPr>
          <w:i/>
          <w:sz w:val="20"/>
        </w:rPr>
        <w:t>Reportable Transactions.</w:t>
      </w:r>
      <w:r>
        <w:rPr/>
        <w:t>    </w:t>
      </w:r>
      <w:r>
        <w:rPr>
          <w:sz w:val="20"/>
        </w:rPr>
        <w:t xml:space="preserve">If we were to engage in a "reportable transaction," we (and possibly you and others) would be required to make a detailed disclosure of the transaction to the IRS. A transaction may be a reportable transaction based upon any of several factors, including the fact that it is a type of tax avoidance transaction publicly identified by the IRS as a "listed transaction" or that it produces certain kinds of losses in excess of $2 million. Our participation in a reportable transaction could increase the likelihood that our federal income tax information return (and possibly your tax return) would be audited by the IRS. Please read "Information Returns and Audit Procedures" above. </w:t>
      </w:r>
    </w:p>
    <w:p>
      <w:pPr>
        <w:pStyle w:val="TextBody"/>
        <w:rPr/>
      </w:pPr>
      <w:r>
        <w:rPr/>
        <w:t>        </w:t>
      </w:r>
      <w:r>
        <w:rPr>
          <w:sz w:val="20"/>
        </w:rPr>
        <w:t xml:space="preserve">Moreover, if we were to participate in a reportable transaction with a significant purpose to avoid or evade tax, or in any listed transaction, you may be subject to the following provisions of the American Jobs Creation Act of 2004: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accuracy-related penalties with a broader scope, significantly narrower exceptions, and potentially greater amounts than described above at "Accuracy-related Penalties,"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for those persons otherwise entitled to deduct interest on federal tax deficiencies, nondeductibility of interest on any resulting tax liability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 the case of a listed transaction, an extended statute of limitations. </w:t>
      </w:r>
    </w:p>
    <w:p>
      <w:pPr>
        <w:pStyle w:val="TextBody"/>
        <w:rPr/>
      </w:pPr>
      <w:r>
        <w:rPr/>
        <w:t>        </w:t>
      </w:r>
      <w:r>
        <w:rPr>
          <w:sz w:val="20"/>
        </w:rPr>
        <w:t xml:space="preserve">We do not expect to engage in any "reportable transactions." </w:t>
      </w:r>
    </w:p>
    <w:p>
      <w:pPr>
        <w:pStyle w:val="TextBody"/>
        <w:rPr>
          <w:b/>
          <w:sz w:val="20"/>
        </w:rPr>
      </w:pPr>
      <w:r>
        <w:rPr>
          <w:b/>
          <w:sz w:val="20"/>
        </w:rPr>
        <w:t xml:space="preserve">State, Local and Other Tax Considerations </w:t>
      </w:r>
    </w:p>
    <w:p>
      <w:pPr>
        <w:pStyle w:val="TextBody"/>
        <w:rPr/>
      </w:pPr>
      <w:r>
        <w:rPr/>
        <w:t>        </w:t>
      </w:r>
      <w:r>
        <w:rPr>
          <w:sz w:val="20"/>
        </w:rPr>
        <w:t xml:space="preserve">In addition to federal income taxes, you may be subject to other taxes, such as state and local and Canadian federal and provincial taxes, unincorporated business taxes, and estate, inheritance or intangible taxes that may be imposed by the various jurisdictions in which we do business or own property. Although an analysis of those various taxes is not presented herein, each prospective unitholder should consider their potential impact on his investment in us. We will own property or conduct business in Canada and in most states of the United States. A unitholder may be required to file Canadian federal income tax returns and to pay Canadian federal and provincial income taxes and to file state income tax returns and to pay taxes in various states and may be subject to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of the states may require us to withhold a percentage of income from amounts to be distributed to a unitholder who is not a resident of the state. Withholding, the amount of which may be greater or less than a particular unitholder's income tax liability to the state, generally does not relieve the non-resident unitholder from the obligation to file an income tax return. Amounts withheld may be treated as if distributed to unitholders for purposes of determining the amount distributed by us. Please read "Tax Consequences of Unit Ownership." We may also own additional property or do business in other states in the future. </w:t>
      </w:r>
    </w:p>
    <w:p>
      <w:pPr>
        <w:pStyle w:val="TextBody"/>
        <w:rPr>
          <w:b/>
          <w:sz w:val="20"/>
        </w:rPr>
      </w:pPr>
      <w:r>
        <w:rPr>
          <w:b/>
          <w:sz w:val="20"/>
        </w:rPr>
        <w:t xml:space="preserve">Tax Consequences of Ownership of Debt Securities </w:t>
      </w:r>
    </w:p>
    <w:p>
      <w:pPr>
        <w:pStyle w:val="TextBody"/>
        <w:rPr/>
      </w:pPr>
      <w:r>
        <w:rPr/>
        <w:t>        </w:t>
      </w:r>
      <w:r>
        <w:rPr>
          <w:sz w:val="20"/>
        </w:rPr>
        <w:t xml:space="preserve">A description of the material federal income tax consequences of the acquisition, ownership and disposition of debt securities will be set forth in the prospectus supplement relating to the offering of debt securities. </w:t>
      </w:r>
    </w:p>
    <w:p>
      <w:pPr>
        <w:pStyle w:val="TextBody"/>
        <w:rPr/>
      </w:pPr>
      <w:r>
        <w:rPr/>
        <w:t>        </w:t>
      </w:r>
      <w:r>
        <w:rPr>
          <w:b/>
          <w:sz w:val="20"/>
        </w:rPr>
        <w:t>It is the responsibility of each unitholder to investigate the legal and tax consequences, under the laws of pertinent states and localities, including the Canadian provinces and Canada, of his investment in us. Accordingly, each prospective unitholder should consult, and must depend upon, his own tax counsel or other advisor with regard to those matters. Further, it is the responsibility of each unitholder to file all Canadian, Canadian province, state and local, as well as federal tax returns that may be required of him. Counsel has not rendered an opinion on the Canadian federal, Canadian provincial, state or local tax consequences of an investment in us.</w:t>
      </w:r>
    </w:p>
    <w:p>
      <w:pPr>
        <w:pStyle w:val="TextBody"/>
        <w:jc w:val="center"/>
        <w:rPr>
          <w:sz w:val="20"/>
        </w:rPr>
      </w:pPr>
      <w:r>
        <w:rPr>
          <w:sz w:val="20"/>
        </w:rPr>
        <w:t>45</w:t>
      </w:r>
    </w:p>
    <w:p>
      <w:pPr>
        <w:pStyle w:val="HorizontalLine"/>
        <w:pBdr>
          <w:bottom w:val="single" w:sz="20" w:space="0" w:color="808080"/>
        </w:pBdr>
        <w:rPr/>
      </w:pPr>
      <w:r>
        <w:rPr/>
      </w:r>
      <w:r>
        <w:br w:type="page"/>
      </w:r>
    </w:p>
    <w:p>
      <w:pPr>
        <w:pStyle w:val="TextBody"/>
        <w:jc w:val="center"/>
        <w:rPr/>
      </w:pPr>
      <w:bookmarkStart w:id="123" w:name="toc_dm1086_1"/>
      <w:bookmarkStart w:id="124" w:name="dm1086_plan_of_distribution"/>
      <w:bookmarkStart w:id="125" w:name="page_dm1086_1_46"/>
      <w:bookmarkEnd w:id="123"/>
      <w:bookmarkEnd w:id="124"/>
      <w:bookmarkEnd w:id="125"/>
      <w:r>
        <w:rPr>
          <w:sz w:val="20"/>
        </w:rPr>
        <w:br/>
      </w:r>
      <w:r>
        <w:rPr>
          <w:b/>
          <w:sz w:val="20"/>
        </w:rPr>
        <w:t xml:space="preserve">PLAN OF DISTRIBUTION </w:t>
      </w:r>
    </w:p>
    <w:p>
      <w:pPr>
        <w:pStyle w:val="TextBody"/>
        <w:rPr/>
      </w:pPr>
      <w:r>
        <w:rPr/>
        <w:t>        </w:t>
      </w:r>
      <w:r>
        <w:rPr>
          <w:sz w:val="20"/>
        </w:rPr>
        <w:t xml:space="preserve">Under this prospectus, we intend to offer our securities to the public: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through one or more broker-dealers;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through underwriters;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directly to investors. </w:t>
      </w:r>
    </w:p>
    <w:p>
      <w:pPr>
        <w:pStyle w:val="TextBody"/>
        <w:rPr/>
      </w:pPr>
      <w:r>
        <w:rPr/>
        <w:t>        </w:t>
      </w:r>
      <w:r>
        <w:rPr>
          <w:sz w:val="20"/>
        </w:rPr>
        <w:t xml:space="preserve">We will fix a price or prices of our securities at: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at market prices prevailing at the time of any sale under this registration statement;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prices related to market prices;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negotiated prices. </w:t>
      </w:r>
    </w:p>
    <w:p>
      <w:pPr>
        <w:pStyle w:val="TextBody"/>
        <w:rPr>
          <w:sz w:val="20"/>
        </w:rPr>
      </w:pPr>
      <w:r>
        <w:rPr>
          <w:sz w:val="20"/>
        </w:rPr>
        <w:t xml:space="preserve">We may change the price of the securities offered from time to time. </w:t>
      </w:r>
    </w:p>
    <w:p>
      <w:pPr>
        <w:pStyle w:val="TextBody"/>
        <w:rPr/>
      </w:pPr>
      <w:r>
        <w:rPr/>
        <w:t>        </w:t>
      </w:r>
      <w:r>
        <w:rPr>
          <w:sz w:val="20"/>
        </w:rPr>
        <w:t xml:space="preserve">We will pay or allow distributors' or sellers' commissions that will not exceed those customary in the types of transactions involved. Broker-dealers may act as agent or may purchase securities as principal and thereafter resell the securities from time to time: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 or through one or more transactions (which may involve crosses and block transactions) or distributions;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on the New York Stock Exchange;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 the over-the-counter market;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 private transactions. </w:t>
      </w:r>
    </w:p>
    <w:p>
      <w:pPr>
        <w:pStyle w:val="TextBody"/>
        <w:rPr/>
      </w:pPr>
      <w:r>
        <w:rPr/>
        <w:t>        </w:t>
      </w:r>
      <w:r>
        <w:rPr>
          <w:sz w:val="20"/>
        </w:rPr>
        <w:t xml:space="preserve">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 </w:t>
      </w:r>
    </w:p>
    <w:p>
      <w:pPr>
        <w:pStyle w:val="TextBody"/>
        <w:rPr/>
      </w:pPr>
      <w:r>
        <w:rPr/>
        <w:t>        </w:t>
      </w:r>
      <w:r>
        <w:rPr>
          <w:sz w:val="20"/>
        </w:rPr>
        <w:t xml:space="preserve">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 </w:t>
      </w:r>
    </w:p>
    <w:p>
      <w:pPr>
        <w:pStyle w:val="TextBody"/>
        <w:rPr/>
      </w:pPr>
      <w:r>
        <w:rPr/>
        <w:t>        </w:t>
      </w:r>
      <w:r>
        <w:rPr>
          <w:sz w:val="20"/>
        </w:rPr>
        <w:t xml:space="preserve">To the extent required, this prospectus may be amended or supplemented from time to time to describe a specific plan of distribution. </w:t>
      </w:r>
    </w:p>
    <w:p>
      <w:pPr>
        <w:pStyle w:val="TextBody"/>
        <w:rPr/>
      </w:pPr>
      <w:r>
        <w:rPr/>
        <w:t>        </w:t>
      </w:r>
      <w:r>
        <w:rPr>
          <w:sz w:val="20"/>
        </w:rPr>
        <w:t xml:space="preserve">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w:t>
      </w:r>
    </w:p>
    <w:p>
      <w:pPr>
        <w:pStyle w:val="TextBody"/>
        <w:jc w:val="center"/>
        <w:rPr>
          <w:sz w:val="20"/>
        </w:rPr>
      </w:pPr>
      <w:r>
        <w:rPr>
          <w:sz w:val="20"/>
        </w:rPr>
        <w:t>46</w:t>
      </w:r>
    </w:p>
    <w:p>
      <w:pPr>
        <w:pStyle w:val="HorizontalLine"/>
        <w:pBdr>
          <w:bottom w:val="single" w:sz="20" w:space="0" w:color="808080"/>
        </w:pBdr>
        <w:rPr/>
      </w:pPr>
      <w:r>
        <w:rPr/>
      </w:r>
      <w:r>
        <w:br w:type="page"/>
      </w:r>
    </w:p>
    <w:p>
      <w:pPr>
        <w:pStyle w:val="TextBody"/>
        <w:rPr>
          <w:sz w:val="20"/>
        </w:rPr>
      </w:pPr>
      <w:bookmarkStart w:id="126" w:name="page_dm1086_1_47"/>
      <w:bookmarkEnd w:id="126"/>
      <w:r>
        <w:rPr>
          <w:sz w:val="20"/>
        </w:rPr>
        <w:t xml:space="preserve">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 </w:t>
      </w:r>
    </w:p>
    <w:p>
      <w:pPr>
        <w:pStyle w:val="TextBody"/>
        <w:jc w:val="center"/>
        <w:rPr/>
      </w:pPr>
      <w:bookmarkStart w:id="127" w:name="toc_dm1086_2"/>
      <w:bookmarkStart w:id="128" w:name="dm1086_legal_matters"/>
      <w:bookmarkEnd w:id="127"/>
      <w:bookmarkEnd w:id="128"/>
      <w:r>
        <w:rPr>
          <w:sz w:val="20"/>
        </w:rPr>
        <w:br/>
      </w:r>
      <w:r>
        <w:rPr>
          <w:b/>
          <w:sz w:val="20"/>
        </w:rPr>
        <w:t xml:space="preserve">LEGAL MATTERS </w:t>
      </w:r>
    </w:p>
    <w:p>
      <w:pPr>
        <w:pStyle w:val="TextBody"/>
        <w:rPr/>
      </w:pPr>
      <w:r>
        <w:rPr/>
        <w:t>        </w:t>
      </w:r>
      <w:r>
        <w:rPr>
          <w:sz w:val="20"/>
        </w:rPr>
        <w:t xml:space="preserve">Vinson &amp; Elkins L.L.P., Houston, Texas, will pass upon the validity of the securities offered in this registration statement. </w:t>
      </w:r>
    </w:p>
    <w:p>
      <w:pPr>
        <w:pStyle w:val="TextBody"/>
        <w:jc w:val="center"/>
        <w:rPr/>
      </w:pPr>
      <w:bookmarkStart w:id="129" w:name="toc_dm1086_3"/>
      <w:bookmarkStart w:id="130" w:name="dm1086_experts"/>
      <w:bookmarkEnd w:id="129"/>
      <w:bookmarkEnd w:id="130"/>
      <w:r>
        <w:rPr>
          <w:sz w:val="20"/>
        </w:rPr>
        <w:br/>
      </w:r>
      <w:r>
        <w:rPr>
          <w:b/>
          <w:sz w:val="20"/>
        </w:rPr>
        <w:t xml:space="preserve">EXPERTS </w:t>
      </w:r>
    </w:p>
    <w:p>
      <w:pPr>
        <w:pStyle w:val="TextBody"/>
        <w:rPr/>
      </w:pPr>
      <w:r>
        <w:rPr/>
        <w:t>        </w:t>
      </w:r>
      <w:r>
        <w:rPr>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2004 have been so incorporated in reliance on the report of PricewaterhouseCoopers LLP, an independent registered public accounting firm, given on the authority of said firm as experts in auditing and accounting. </w:t>
      </w:r>
    </w:p>
    <w:p>
      <w:pPr>
        <w:pStyle w:val="TextBody"/>
        <w:rPr/>
      </w:pPr>
      <w:r>
        <w:rPr/>
        <w:t>        </w:t>
      </w:r>
      <w:r>
        <w:rPr>
          <w:sz w:val="20"/>
        </w:rPr>
        <w:t xml:space="preserve">The balance sheet as of December 31, 2004 of Plains AAP, L.P. incorporated in this Prospectus by reference to Plains All American Pipeline, L.P.'s Current Report on Form 8-K filed April 8, 2005 has been so incorporated in reliance on the report of PricewaterhouseCoopers LLP, an independent registered public accounting firm, given on the authority of said firm as experts in auditing and accounting. </w:t>
      </w:r>
    </w:p>
    <w:p>
      <w:pPr>
        <w:pStyle w:val="TextBody"/>
        <w:jc w:val="center"/>
        <w:rPr>
          <w:sz w:val="20"/>
        </w:rPr>
      </w:pPr>
      <w:r>
        <w:rPr>
          <w:sz w:val="20"/>
        </w:rPr>
        <w:t>47</w:t>
      </w:r>
    </w:p>
    <w:p>
      <w:pPr>
        <w:pStyle w:val="HorizontalLine"/>
        <w:pBdr>
          <w:bottom w:val="single" w:sz="20" w:space="0" w:color="808080"/>
        </w:pBdr>
        <w:rPr/>
      </w:pPr>
      <w:r>
        <w:rPr/>
      </w:r>
      <w:r>
        <w:br w:type="page"/>
      </w:r>
    </w:p>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ListHeading">
    <w:name w:val="List Heading"/>
    <w:basedOn w:val="Normal"/>
    <w:next w:val="ListContents"/>
    <w:qFormat/>
    <w:pPr>
      <w:ind w:left="0" w:right="0" w:hanging="0"/>
    </w:pPr>
    <w:rPr/>
  </w:style>
  <w:style w:type="paragraph" w:styleId="ListContents">
    <w:name w:val="List Contents"/>
    <w:basedOn w:val="Normal"/>
    <w:qFormat/>
    <w:pPr>
      <w:ind w:left="567"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56</Pages>
  <Words>29385</Words>
  <CharactersWithSpaces>183386</CharactersWithSpaces>
  <Paragraphs>1227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