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5,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57"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1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57" w:orient="portrait"/>
          <w:cols w:equalWidth="0" w:num="3">
            <w:col w:w="4100" w:space="720"/>
            <w:col w:w="2820" w:space="720"/>
            <w:col w:w="3060"/>
          </w:cols>
          <w:pgMar w:left="240" w:top="544" w:right="239" w:bottom="0" w:gutter="0" w:footer="0" w:header="0"/>
          <w:type w:val="continuous"/>
        </w:sectPr>
      </w:pPr>
    </w:p>
    <w:p>
      <w:pPr>
        <w:spacing w:after="0" w:line="18"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7"/>
          <w:szCs w:val="17"/>
          <w:color w:val="auto"/>
        </w:rPr>
        <w:t>(Address of principal executive offices) (Zip Code)</w:t>
      </w:r>
    </w:p>
    <w:p>
      <w:pPr>
        <w:sectPr>
          <w:pgSz w:w="11900" w:h="16857" w:orient="portrait"/>
          <w:cols w:equalWidth="0" w:num="1">
            <w:col w:w="11420"/>
          </w:cols>
          <w:pgMar w:left="240" w:top="544" w:right="239" w:bottom="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713-646-4100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In accordance with General Instruction B.2 of Form 8-K, the information presented under this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7" w:lineRule="exact"/>
        <w:rPr>
          <w:sz w:val="24"/>
          <w:szCs w:val="24"/>
          <w:color w:val="auto"/>
        </w:rPr>
      </w:pPr>
    </w:p>
    <w:p>
      <w:pPr>
        <w:ind w:left="660"/>
        <w:spacing w:after="0"/>
        <w:rPr>
          <w:sz w:val="20"/>
          <w:szCs w:val="20"/>
          <w:color w:val="auto"/>
        </w:rPr>
      </w:pPr>
      <w:r>
        <w:rPr>
          <w:rFonts w:ascii="Arial" w:cs="Arial" w:eastAsia="Arial" w:hAnsi="Arial"/>
          <w:sz w:val="16"/>
          <w:szCs w:val="16"/>
          <w:color w:val="auto"/>
        </w:rPr>
        <w:t>On February 5, 2014, the Registrant issued a press release reporting its 2013 results. A copy of the press release is furnished as Exhibit 99.1 hereto.</w:t>
      </w:r>
    </w:p>
    <w:p>
      <w:pPr>
        <w:spacing w:after="0" w:line="244" w:lineRule="exact"/>
        <w:rPr>
          <w:sz w:val="24"/>
          <w:szCs w:val="24"/>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4"/>
          <w:szCs w:val="24"/>
          <w:color w:val="auto"/>
        </w:rPr>
      </w:pPr>
    </w:p>
    <w:p>
      <w:pPr>
        <w:ind w:left="360"/>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4"/>
          <w:szCs w:val="24"/>
          <w:color w:val="auto"/>
        </w:rPr>
      </w:pPr>
    </w:p>
    <w:p>
      <w:pPr>
        <w:ind w:left="360"/>
        <w:spacing w:after="0"/>
        <w:tabs>
          <w:tab w:leader="none" w:pos="1620" w:val="left"/>
        </w:tabs>
        <w:rPr>
          <w:sz w:val="20"/>
          <w:szCs w:val="20"/>
          <w:color w:val="auto"/>
        </w:rPr>
      </w:pPr>
      <w:r>
        <w:rPr>
          <w:rFonts w:ascii="Arial" w:cs="Arial" w:eastAsia="Arial" w:hAnsi="Arial"/>
          <w:sz w:val="18"/>
          <w:szCs w:val="18"/>
          <w:color w:val="auto"/>
        </w:rPr>
        <w:t>Exhibit 99.1 —</w:t>
      </w:r>
      <w:r>
        <w:rPr>
          <w:sz w:val="20"/>
          <w:szCs w:val="20"/>
          <w:color w:val="auto"/>
        </w:rPr>
        <w:tab/>
      </w:r>
      <w:r>
        <w:rPr>
          <w:rFonts w:ascii="Arial" w:cs="Arial" w:eastAsia="Arial" w:hAnsi="Arial"/>
          <w:sz w:val="15"/>
          <w:szCs w:val="15"/>
          <w:color w:val="auto"/>
        </w:rPr>
        <w:t>Press Release dated February 5, 2014.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7680" w:type="dxa"/>
            <w:vAlign w:val="bottom"/>
            <w:gridSpan w:val="2"/>
          </w:tcPr>
          <w:p>
            <w:pPr>
              <w:ind w:left="1980"/>
              <w:spacing w:after="0"/>
              <w:rPr>
                <w:sz w:val="20"/>
                <w:szCs w:val="20"/>
                <w:color w:val="auto"/>
              </w:rPr>
            </w:pPr>
            <w:r>
              <w:rPr>
                <w:rFonts w:ascii="Arial" w:cs="Arial" w:eastAsia="Arial" w:hAnsi="Arial"/>
                <w:sz w:val="18"/>
                <w:szCs w:val="18"/>
                <w:color w:val="auto"/>
              </w:rPr>
              <w:t>PLAINS GP HOLDINGS, L.P.</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February 5, 2014</w:t>
            </w: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PAA GP Holdings LLC, its general partner</w:t>
            </w:r>
          </w:p>
        </w:tc>
      </w:tr>
      <w:tr>
        <w:trPr>
          <w:trHeight w:val="648"/>
        </w:trPr>
        <w:tc>
          <w:tcPr>
            <w:tcW w:w="3680" w:type="dxa"/>
            <w:vAlign w:val="bottom"/>
          </w:tcPr>
          <w:p>
            <w:pPr>
              <w:spacing w:after="0"/>
              <w:rPr>
                <w:sz w:val="24"/>
                <w:szCs w:val="24"/>
                <w:color w:val="auto"/>
              </w:rPr>
            </w:pPr>
          </w:p>
        </w:tc>
        <w:tc>
          <w:tcPr>
            <w:tcW w:w="2660" w:type="dxa"/>
            <w:vAlign w:val="bottom"/>
          </w:tcPr>
          <w:p>
            <w:pPr>
              <w:ind w:left="19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bl>
    <w:p>
      <w:pPr>
        <w:sectPr>
          <w:pgSz w:w="11900" w:h="16857" w:orient="portrait"/>
          <w:cols w:equalWidth="0" w:num="1">
            <w:col w:w="11420"/>
          </w:cols>
          <w:pgMar w:left="240" w:top="544" w:right="239" w:bottom="0" w:gutter="0" w:footer="0" w:header="0"/>
          <w:type w:val="continuous"/>
        </w:sectPr>
      </w:pPr>
    </w:p>
    <w:bookmarkStart w:id="1" w:name="page2"/>
    <w:bookmarkEnd w:id="1"/>
    <w:p>
      <w:pPr>
        <w:ind w:left="5200"/>
        <w:spacing w:after="0"/>
        <w:tabs>
          <w:tab w:leader="none" w:pos="5940" w:val="left"/>
        </w:tabs>
        <w:rPr>
          <w:sz w:val="20"/>
          <w:szCs w:val="20"/>
          <w:color w:val="auto"/>
        </w:rPr>
      </w:pPr>
      <w:r>
        <w:rPr>
          <w:rFonts w:ascii="Arial" w:cs="Arial" w:eastAsia="Arial" w:hAnsi="Arial"/>
          <w:sz w:val="18"/>
          <w:szCs w:val="18"/>
          <w:color w:val="auto"/>
        </w:rPr>
        <w:t>Name:</w:t>
        <w:tab/>
        <w:t>Richard K. McGee</w:t>
      </w:r>
    </w:p>
    <w:p>
      <w:pPr>
        <w:spacing w:after="0" w:line="23" w:lineRule="exact"/>
        <w:rPr>
          <w:sz w:val="20"/>
          <w:szCs w:val="20"/>
          <w:color w:val="auto"/>
        </w:rPr>
      </w:pPr>
    </w:p>
    <w:p>
      <w:pPr>
        <w:ind w:left="5200"/>
        <w:spacing w:after="0"/>
        <w:tabs>
          <w:tab w:leader="none" w:pos="59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Executive Vice President, General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Counsel &amp; Secretary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88900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 and Plains GP Holdings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Fourth-Quarter and Full-Year 2013 Results</w:t>
      </w:r>
    </w:p>
    <w:p>
      <w:pPr>
        <w:spacing w:after="0" w:line="211" w:lineRule="exact"/>
        <w:rPr>
          <w:sz w:val="20"/>
          <w:szCs w:val="20"/>
          <w:color w:val="auto"/>
        </w:rPr>
      </w:pPr>
    </w:p>
    <w:p>
      <w:pPr>
        <w:ind w:right="300" w:firstLine="702"/>
        <w:spacing w:after="0" w:line="277" w:lineRule="auto"/>
        <w:rPr>
          <w:sz w:val="20"/>
          <w:szCs w:val="20"/>
          <w:color w:val="auto"/>
        </w:rPr>
      </w:pPr>
      <w:r>
        <w:rPr>
          <w:rFonts w:ascii="Arial" w:cs="Arial" w:eastAsia="Arial" w:hAnsi="Arial"/>
          <w:sz w:val="18"/>
          <w:szCs w:val="18"/>
          <w:color w:val="auto"/>
        </w:rPr>
        <w:t>(Houston — February 5, 2014) Plains All American Pipeline, L.P. (NYSE: PAA) and Plains GP Holdings (NYSE: PAGP) today reported fourth-quarter and full-year 2013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Financial Information</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 except per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0.58</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0.69</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Twelve Months Ended</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2"/>
              </w:rPr>
              <w:t>December 31,</w:t>
            </w:r>
          </w:p>
        </w:tc>
        <w:tc>
          <w:tcPr>
            <w:tcW w:w="6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Change</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89"/>
              </w:rPr>
              <w:t>2012</w:t>
            </w:r>
          </w:p>
        </w:tc>
        <w:tc>
          <w:tcPr>
            <w:tcW w:w="2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Change</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42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Diluted adjusted net income per limited partner unit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0.76</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420" w:type="dxa"/>
            <w:vAlign w:val="bottom"/>
            <w:gridSpan w:val="3"/>
          </w:tcPr>
          <w:p>
            <w:pPr>
              <w:spacing w:after="0"/>
              <w:rPr>
                <w:sz w:val="18"/>
                <w:szCs w:val="18"/>
                <w:color w:val="auto"/>
              </w:rPr>
            </w:pPr>
          </w:p>
        </w:tc>
        <w:tc>
          <w:tcPr>
            <w:tcW w:w="9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14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44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unit declared for the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0.6150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0.5625</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40" w:hanging="172"/>
        <w:spacing w:after="0" w:line="299" w:lineRule="auto"/>
        <w:tabs>
          <w:tab w:leader="none" w:pos="164" w:val="left"/>
        </w:tabs>
        <w:numPr>
          <w:ilvl w:val="0"/>
          <w:numId w:val="2"/>
        </w:numPr>
        <w:rPr>
          <w:rFonts w:ascii="Arial" w:cs="Arial" w:eastAsia="Arial" w:hAnsi="Arial"/>
          <w:sz w:val="19"/>
          <w:szCs w:val="19"/>
          <w:color w:val="auto"/>
          <w:vertAlign w:val="superscript"/>
        </w:rPr>
      </w:pPr>
      <w:r>
        <w:rPr>
          <w:rFonts w:ascii="Arial" w:cs="Arial" w:eastAsia="Arial" w:hAnsi="Arial"/>
          <w:sz w:val="15"/>
          <w:szCs w:val="15"/>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 as well as for information regarding non-GAAP financial measures (such as adjusted EBITDA) and their reconciliation to the most directly comparable GAAP measures.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2</w:t>
      </w:r>
    </w:p>
    <w:p>
      <w:pPr>
        <w:spacing w:after="0" w:line="225" w:lineRule="exact"/>
        <w:rPr>
          <w:sz w:val="20"/>
          <w:szCs w:val="20"/>
          <w:color w:val="auto"/>
        </w:rPr>
      </w:pPr>
    </w:p>
    <w:p>
      <w:pPr>
        <w:ind w:right="40" w:firstLine="702"/>
        <w:spacing w:after="0" w:line="259" w:lineRule="auto"/>
        <w:rPr>
          <w:sz w:val="20"/>
          <w:szCs w:val="20"/>
          <w:color w:val="auto"/>
        </w:rPr>
      </w:pPr>
      <w:r>
        <w:rPr>
          <w:rFonts w:ascii="Arial" w:cs="Arial" w:eastAsia="Arial" w:hAnsi="Arial"/>
          <w:sz w:val="18"/>
          <w:szCs w:val="18"/>
          <w:color w:val="auto"/>
        </w:rPr>
        <w:t>“PAA ended the year on another strong note, delivering adjusted EBITDA that exceeded the midpoint of our fourth-quarter guidance by $50 million and the mid-point of our 2013 beginning-of-the-year guidance by over $265 million,” stated Greg L. Armstrong, Chairman and CEO of Plains All American Pipeline. “These results were underpinned by solid performance in our fee-based Facilities segment and above baseline performance in our Supply and Logistics segment.”</w:t>
      </w:r>
    </w:p>
    <w:p>
      <w:pPr>
        <w:spacing w:after="0" w:line="187" w:lineRule="exact"/>
        <w:rPr>
          <w:sz w:val="20"/>
          <w:szCs w:val="20"/>
          <w:color w:val="auto"/>
        </w:rPr>
      </w:pPr>
    </w:p>
    <w:p>
      <w:pPr>
        <w:ind w:right="60" w:firstLine="702"/>
        <w:spacing w:after="0" w:line="257" w:lineRule="auto"/>
        <w:rPr>
          <w:sz w:val="20"/>
          <w:szCs w:val="20"/>
          <w:color w:val="auto"/>
        </w:rPr>
      </w:pPr>
      <w:r>
        <w:rPr>
          <w:rFonts w:ascii="Arial" w:cs="Arial" w:eastAsia="Arial" w:hAnsi="Arial"/>
          <w:sz w:val="18"/>
          <w:szCs w:val="18"/>
          <w:color w:val="auto"/>
        </w:rPr>
        <w:t>“PAA’s 2013 results and our 2014 guidance for our fee-based Transportation and Facilities segments continue to reflect the benefits of our ongoing expansion capital program. Aggregate adjusted segment profit from our Transportation and Facilities segments increased 12% in 2013 over 2012 results, and the midpoint of our guidance range anticipates a year-to-year increase of approximately 15% in 2014,” said Armstrong. “Guidance for our Supply and Logistics segment incorporates a return to baseline-type performance; however, as in prior years, the partnership remains well positioned to outperform guidance if market conditions remain favorable.”</w:t>
      </w:r>
    </w:p>
    <w:p>
      <w:pPr>
        <w:spacing w:after="0" w:line="188" w:lineRule="exact"/>
        <w:rPr>
          <w:sz w:val="20"/>
          <w:szCs w:val="20"/>
          <w:color w:val="auto"/>
        </w:rPr>
      </w:pPr>
    </w:p>
    <w:p>
      <w:pPr>
        <w:ind w:firstLine="702"/>
        <w:spacing w:after="0" w:line="259" w:lineRule="auto"/>
        <w:rPr>
          <w:sz w:val="20"/>
          <w:szCs w:val="20"/>
          <w:color w:val="auto"/>
        </w:rPr>
      </w:pPr>
      <w:r>
        <w:rPr>
          <w:rFonts w:ascii="Arial" w:cs="Arial" w:eastAsia="Arial" w:hAnsi="Arial"/>
          <w:sz w:val="18"/>
          <w:szCs w:val="18"/>
          <w:color w:val="auto"/>
        </w:rPr>
        <w:t>“We have targeted to grow PAA’s distributions per unit by approximately 10% in 2014, while continuing to maintain solid distribution coverage.” Armstrong stated that the partnership’s 2014 expansion capital program increased to $1.7 billion, which reflects a $300 million increase from PAA’s preliminary targeted range. Armstrong also noted that PAA is well positioned financially to both execute its expansion capital program as well as capitalize on potential acquisition opportunities.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selected PAA financial information by segment for the fourth quarter and full year of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Selected Financial Data by Segment</w:t>
      </w:r>
      <w:r>
        <w:rPr>
          <w:rFonts w:ascii="Arial" w:cs="Arial" w:eastAsia="Arial" w:hAnsi="Arial"/>
          <w:sz w:val="18"/>
          <w:szCs w:val="18"/>
          <w:b w:val="1"/>
          <w:bCs w:val="1"/>
          <w:color w:val="auto"/>
        </w:rPr>
        <w:t xml:space="preserve"> </w:t>
      </w:r>
      <w:r>
        <w:rPr>
          <w:rFonts w:ascii="Arial" w:cs="Arial" w:eastAsia="Arial" w:hAnsi="Arial"/>
          <w:sz w:val="23"/>
          <w:szCs w:val="23"/>
          <w:b w:val="1"/>
          <w:bCs w:val="1"/>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ectPr>
          <w:pgSz w:w="11900" w:h="16838" w:orient="portrait"/>
          <w:cols w:equalWidth="0" w:num="1">
            <w:col w:w="11420"/>
          </w:cols>
          <w:pgMar w:left="240" w:top="121" w:right="239" w:bottom="0" w:gutter="0" w:footer="0" w:header="0"/>
        </w:sectPr>
      </w:pPr>
    </w:p>
    <w:p>
      <w:pPr>
        <w:spacing w:after="0" w:line="228" w:lineRule="exact"/>
        <w:rPr>
          <w:sz w:val="20"/>
          <w:szCs w:val="20"/>
          <w:color w:val="auto"/>
        </w:rPr>
      </w:pPr>
    </w:p>
    <w:p>
      <w:pPr>
        <w:ind w:left="4520"/>
        <w:spacing w:after="0"/>
        <w:tabs>
          <w:tab w:leader="none" w:pos="884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Three Months Ended</w:t>
      </w:r>
    </w:p>
    <w:p>
      <w:pPr>
        <w:sectPr>
          <w:pgSz w:w="11900" w:h="16838" w:orient="portrait"/>
          <w:cols w:equalWidth="0" w:num="1">
            <w:col w:w="11420"/>
          </w:cols>
          <w:pgMar w:left="240" w:top="121" w:right="2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214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169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209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198</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141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8%</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20%</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-22%</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2012 period</w:t>
            </w: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Twelve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3"/>
              </w:rPr>
              <w:t>December 31, 2012</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5"/>
              </w:rPr>
              <w:t>Transportation</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Facilities</w:t>
            </w:r>
          </w:p>
        </w:tc>
        <w:tc>
          <w:tcPr>
            <w:tcW w:w="120" w:type="dxa"/>
            <w:vAlign w:val="bottom"/>
          </w:tcPr>
          <w:p>
            <w:pPr>
              <w:spacing w:after="0"/>
              <w:rPr>
                <w:sz w:val="10"/>
                <w:szCs w:val="10"/>
                <w:color w:val="auto"/>
              </w:rPr>
            </w:pPr>
          </w:p>
        </w:tc>
        <w:tc>
          <w:tcPr>
            <w:tcW w:w="920" w:type="dxa"/>
            <w:vAlign w:val="bottom"/>
          </w:tcPr>
          <w:p>
            <w:pPr>
              <w:jc w:val="center"/>
              <w:ind w:right="57"/>
              <w:spacing w:after="0" w:line="119" w:lineRule="exact"/>
              <w:rPr>
                <w:sz w:val="20"/>
                <w:szCs w:val="20"/>
                <w:color w:val="auto"/>
              </w:rPr>
            </w:pPr>
            <w:r>
              <w:rPr>
                <w:rFonts w:ascii="Arial" w:cs="Arial" w:eastAsia="Arial" w:hAnsi="Arial"/>
                <w:sz w:val="13"/>
                <w:szCs w:val="13"/>
                <w:b w:val="1"/>
                <w:bCs w:val="1"/>
                <w:color w:val="auto"/>
                <w:w w:val="99"/>
              </w:rPr>
              <w:t>Supply and</w:t>
            </w:r>
          </w:p>
        </w:tc>
        <w:tc>
          <w:tcPr>
            <w:tcW w:w="360" w:type="dxa"/>
            <w:vAlign w:val="bottom"/>
            <w:tcBorders>
              <w:right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Transportation</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87"/>
              </w:rPr>
              <w:t>Logistics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Reported segment profit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360" w:type="dxa"/>
            <w:vAlign w:val="bottom"/>
            <w:tcBorders>
              <w:top w:val="single" w:sz="8" w:color="CCEEFF"/>
              <w:right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Selected items impacting the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comparability of segment profit </w:t>
            </w:r>
            <w:r>
              <w:rPr>
                <w:rFonts w:ascii="Arial" w:cs="Arial" w:eastAsia="Arial" w:hAnsi="Arial"/>
                <w:sz w:val="23"/>
                <w:szCs w:val="23"/>
                <w:color w:val="auto"/>
                <w:vertAlign w:val="superscript"/>
              </w:rPr>
              <w:t>(2)</w:t>
            </w: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tcBorders>
              <w:right w:val="single" w:sz="8" w:color="auto"/>
            </w:tcBorders>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segment profit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760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i w:val="1"/>
                <w:iCs w:val="1"/>
                <w:color w:val="auto"/>
              </w:rPr>
              <w:t>629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28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i w:val="1"/>
                <w:iCs w:val="1"/>
                <w:color w:val="auto"/>
              </w:rPr>
              <w:t>893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i w:val="1"/>
                <w:iCs w:val="1"/>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742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i w:val="1"/>
                <w:iCs w:val="1"/>
                <w:color w:val="auto"/>
              </w:rPr>
              <w:t>502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9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i w:val="1"/>
                <w:iCs w:val="1"/>
                <w:color w:val="auto"/>
              </w:rPr>
              <w:t>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i w:val="1"/>
                <w:iCs w:val="1"/>
                <w:color w:val="auto"/>
                <w:w w:val="95"/>
              </w:rPr>
              <w:t>Percentage change in adjusted segment</w:t>
            </w:r>
          </w:p>
        </w:tc>
        <w:tc>
          <w:tcPr>
            <w:tcW w:w="8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
              <w:spacing w:after="0"/>
              <w:rPr>
                <w:sz w:val="20"/>
                <w:szCs w:val="20"/>
                <w:color w:val="auto"/>
              </w:rPr>
            </w:pPr>
            <w:r>
              <w:rPr>
                <w:rFonts w:ascii="Arial" w:cs="Arial" w:eastAsia="Arial" w:hAnsi="Arial"/>
                <w:sz w:val="18"/>
                <w:szCs w:val="18"/>
                <w:b w:val="1"/>
                <w:bCs w:val="1"/>
                <w:i w:val="1"/>
                <w:iCs w:val="1"/>
                <w:color w:val="auto"/>
              </w:rPr>
              <w:t>2%</w:t>
            </w:r>
          </w:p>
        </w:tc>
        <w:tc>
          <w:tcPr>
            <w:tcW w:w="18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i w:val="1"/>
                <w:iCs w:val="1"/>
                <w:color w:val="auto"/>
              </w:rPr>
              <w:t>25%</w:t>
            </w:r>
          </w:p>
        </w:tc>
        <w:tc>
          <w:tcPr>
            <w:tcW w:w="120" w:type="dxa"/>
            <w:vAlign w:val="bottom"/>
            <w:shd w:val="clear" w:color="auto" w:fill="CCEEFF"/>
          </w:tcPr>
          <w:p>
            <w:pPr>
              <w:spacing w:after="0"/>
              <w:rPr>
                <w:sz w:val="17"/>
                <w:szCs w:val="17"/>
                <w:color w:val="auto"/>
              </w:rPr>
            </w:pPr>
          </w:p>
        </w:tc>
        <w:tc>
          <w:tcPr>
            <w:tcW w:w="1280" w:type="dxa"/>
            <w:vAlign w:val="bottom"/>
            <w:tcBorders>
              <w:right w:val="single" w:sz="8" w:color="auto"/>
            </w:tcBorders>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profit versus 2012 period</w:t>
            </w:r>
          </w:p>
        </w:tc>
        <w:tc>
          <w:tcPr>
            <w:tcW w:w="8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40" w:hanging="172"/>
        <w:spacing w:after="0" w:line="298" w:lineRule="auto"/>
        <w:tabs>
          <w:tab w:leader="none" w:pos="164" w:val="left"/>
        </w:tabs>
        <w:numPr>
          <w:ilvl w:val="0"/>
          <w:numId w:val="3"/>
        </w:numPr>
        <w:rPr>
          <w:rFonts w:ascii="Arial" w:cs="Arial" w:eastAsia="Arial" w:hAnsi="Arial"/>
          <w:sz w:val="19"/>
          <w:szCs w:val="19"/>
          <w:color w:val="auto"/>
          <w:vertAlign w:val="superscript"/>
        </w:rPr>
      </w:pPr>
      <w:r>
        <w:rPr>
          <w:rFonts w:ascii="Arial" w:cs="Arial" w:eastAsia="Arial" w:hAnsi="Arial"/>
          <w:sz w:val="15"/>
          <w:szCs w:val="15"/>
          <w:color w:val="auto"/>
        </w:rPr>
        <w:t>The Partnership’s reported results include the impact of items that affect comparability between reporting periods. The impact of certain of these items is excluded from adjusted results. See the section of this release entitled “Non-GAAP Financial Measures and Selected Items Impacting Comparability” and the tables attached hereto for information regarding certain selected items that the Partnership believes impact comparability of financial results between reporting periods.</w:t>
      </w:r>
    </w:p>
    <w:p>
      <w:pPr>
        <w:spacing w:after="0" w:line="179" w:lineRule="exact"/>
        <w:rPr>
          <w:rFonts w:ascii="Arial" w:cs="Arial" w:eastAsia="Arial" w:hAnsi="Arial"/>
          <w:sz w:val="19"/>
          <w:szCs w:val="19"/>
          <w:color w:val="auto"/>
          <w:vertAlign w:val="superscript"/>
        </w:rPr>
      </w:pPr>
    </w:p>
    <w:p>
      <w:pPr>
        <w:ind w:left="180" w:hanging="172"/>
        <w:spacing w:after="0" w:line="214"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3</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Fourth-quarter 2013 Transportation adjusted segment profit increased 8% versus comparable 2012 results. This increase was primarily driven by the benefit of higher crude oil pipeline volumes associated with recently completed organic growth projects, partially offset by the sale of our refined products pipelines and lower volumes on our Canadian crude oil pipelines due to the impact of rail and proration on downstream pipelines.</w:t>
      </w:r>
    </w:p>
    <w:p>
      <w:pPr>
        <w:spacing w:after="0" w:line="166"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Fourth-quarter 2013 Facilities adjusted segment profit increased 20% over comparable 2012 results, primarily due to increased crude oil rail activities.</w:t>
      </w:r>
    </w:p>
    <w:p>
      <w:pPr>
        <w:spacing w:after="0" w:line="170" w:lineRule="exact"/>
        <w:rPr>
          <w:sz w:val="20"/>
          <w:szCs w:val="20"/>
          <w:color w:val="auto"/>
        </w:rPr>
      </w:pPr>
    </w:p>
    <w:p>
      <w:pPr>
        <w:ind w:right="420" w:firstLine="648"/>
        <w:spacing w:after="0" w:line="312" w:lineRule="auto"/>
        <w:rPr>
          <w:sz w:val="20"/>
          <w:szCs w:val="20"/>
          <w:color w:val="auto"/>
        </w:rPr>
      </w:pPr>
      <w:r>
        <w:rPr>
          <w:rFonts w:ascii="Arial" w:cs="Arial" w:eastAsia="Arial" w:hAnsi="Arial"/>
          <w:sz w:val="16"/>
          <w:szCs w:val="16"/>
          <w:color w:val="auto"/>
        </w:rPr>
        <w:t>Fourth-quarter 2013 Supply and Logistics adjusted segment profit exceeded our guidance, but decreased by approximately 22% relative to comparable 2012 results. This decrease was primarily related to less favorable crude oil market conditions during the fourth quarter of 2013, particularly narrower crude oil differentials in the Permian Basin and Gulf Coast regions, partially offset by stronger net margins in the NGL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PAGP’s sole assets are its ownership interest in PAA’s general partner and incentive distribution rights. As the control entity of PAA, PAGP consolidates PAA’s results into its financial statements, which are reflected more fully in the condensed consolidating balance sheet and income statement included at the end of this release. Information regarding PAGP’s distributions is reflected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ind w:left="320"/>
              <w:spacing w:after="0"/>
              <w:rPr>
                <w:sz w:val="20"/>
                <w:szCs w:val="20"/>
                <w:color w:val="auto"/>
              </w:rPr>
            </w:pPr>
            <w:r>
              <w:rPr>
                <w:rFonts w:ascii="Arial" w:cs="Arial" w:eastAsia="Arial" w:hAnsi="Arial"/>
                <w:sz w:val="14"/>
                <w:szCs w:val="14"/>
                <w:b w:val="1"/>
                <w:bCs w:val="1"/>
                <w:color w:val="auto"/>
              </w:rPr>
              <w:t>Q4 2013</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 xml:space="preserve">Distribution per share declared for the period (prorated)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0.12505</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3"/>
              </w:rPr>
              <w:t>Q4 2013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Distribution</w:t>
            </w:r>
          </w:p>
        </w:tc>
        <w:tc>
          <w:tcPr>
            <w:tcW w:w="1380" w:type="dxa"/>
            <w:vAlign w:val="bottom"/>
            <w:vMerge w:val="restart"/>
          </w:tcPr>
          <w:p>
            <w:pPr>
              <w:jc w:val="right"/>
              <w:ind w:right="54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Provided in IPO</w:t>
            </w:r>
          </w:p>
        </w:tc>
        <w:tc>
          <w:tcPr>
            <w:tcW w:w="13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62"/>
              <w:spacing w:after="0"/>
              <w:rPr>
                <w:sz w:val="20"/>
                <w:szCs w:val="20"/>
                <w:color w:val="auto"/>
              </w:rPr>
            </w:pPr>
            <w:r>
              <w:rPr>
                <w:rFonts w:ascii="Arial" w:cs="Arial" w:eastAsia="Arial" w:hAnsi="Arial"/>
                <w:sz w:val="14"/>
                <w:szCs w:val="14"/>
                <w:b w:val="1"/>
                <w:bCs w:val="1"/>
                <w:color w:val="auto"/>
                <w:w w:val="96"/>
              </w:rPr>
              <w:t xml:space="preserve">(non-prorated) </w:t>
            </w:r>
            <w:r>
              <w:rPr>
                <w:rFonts w:ascii="Arial" w:cs="Arial" w:eastAsia="Arial" w:hAnsi="Arial"/>
                <w:sz w:val="8"/>
                <w:szCs w:val="8"/>
                <w:b w:val="1"/>
                <w:bCs w:val="1"/>
                <w:color w:val="auto"/>
                <w:w w:val="96"/>
              </w:rPr>
              <w:t>(2)</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86"/>
              </w:rPr>
              <w:t>Prospectus</w:t>
            </w: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 per share assuming full-quarter ownership</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0.15979</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0.14904</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400" w:hanging="172"/>
        <w:spacing w:after="0" w:line="274" w:lineRule="auto"/>
        <w:tabs>
          <w:tab w:leader="none" w:pos="164"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Distribution per share declared based on prorated distribution received by PAGP from PAA’s general partner, Plains AAP, L.P. (“AAP”), for the partial quarter of ownership following the closing of PAGP’s initial public offering (“IPO”).</w:t>
      </w:r>
    </w:p>
    <w:p>
      <w:pPr>
        <w:ind w:left="180" w:right="100" w:hanging="172"/>
        <w:spacing w:after="0" w:line="297" w:lineRule="auto"/>
        <w:tabs>
          <w:tab w:leader="none" w:pos="164" w:val="left"/>
        </w:tabs>
        <w:numPr>
          <w:ilvl w:val="0"/>
          <w:numId w:val="4"/>
        </w:numPr>
        <w:rPr>
          <w:rFonts w:ascii="Arial" w:cs="Arial" w:eastAsia="Arial" w:hAnsi="Arial"/>
          <w:sz w:val="19"/>
          <w:szCs w:val="19"/>
          <w:color w:val="auto"/>
          <w:vertAlign w:val="superscript"/>
        </w:rPr>
      </w:pPr>
      <w:r>
        <w:rPr>
          <w:rFonts w:ascii="Arial" w:cs="Arial" w:eastAsia="Arial" w:hAnsi="Arial"/>
          <w:sz w:val="15"/>
          <w:szCs w:val="15"/>
          <w:color w:val="auto"/>
        </w:rPr>
        <w:t>Reflects a full fourth quarter 2013 distribution per Class A share (before proration), assuming PAGP’s current ownership interest in AAP for the full fourth quarter of 2013.</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ectPr>
          <w:pgSz w:w="11900" w:h="16838" w:orient="portrait"/>
          <w:cols w:equalWidth="0" w:num="1">
            <w:col w:w="11420"/>
          </w:cols>
          <w:pgMar w:left="240" w:top="118"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w:t>
      </w:r>
    </w:p>
    <w:p>
      <w:pPr>
        <w:spacing w:after="0" w:line="225" w:lineRule="exact"/>
        <w:rPr>
          <w:sz w:val="20"/>
          <w:szCs w:val="20"/>
          <w:color w:val="auto"/>
        </w:rPr>
      </w:pPr>
    </w:p>
    <w:p>
      <w:pPr>
        <w:jc w:val="both"/>
        <w:ind w:right="160" w:firstLine="648"/>
        <w:spacing w:after="0" w:line="286" w:lineRule="auto"/>
        <w:rPr>
          <w:sz w:val="20"/>
          <w:szCs w:val="20"/>
          <w:color w:val="auto"/>
        </w:rPr>
      </w:pPr>
      <w:r>
        <w:rPr>
          <w:rFonts w:ascii="Arial" w:cs="Arial" w:eastAsia="Arial" w:hAnsi="Arial"/>
          <w:sz w:val="17"/>
          <w:szCs w:val="17"/>
          <w:color w:val="auto"/>
        </w:rPr>
        <w:t>PAA and PAGP will hold a conference call on February 6, 2014 (see details below). Prior to this conference call, PAA will furnish a current report on Form 8-K, which will include material in this news release as well as PAA’s financial and operational guidance for the first quarter and full year of 2014. A copy of the Form 8-K will be available at www.plainsallamerican.com, where PAA and PAGP routinely post important information.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PAA and PAGP conference call will be held at 11:00 a.m. EST on Thursday, February 6, 2014 to discuss the following items:</w:t>
      </w:r>
    </w:p>
    <w:p>
      <w:pPr>
        <w:spacing w:after="0" w:line="225" w:lineRule="exact"/>
        <w:rPr>
          <w:sz w:val="20"/>
          <w:szCs w:val="20"/>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fourth-quarter and full-year 2013 performance;</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status of major expansion projects;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Capitalization and liquidity;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PAGP IPO and PAA’s acquisition of publicly held PNG units;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financial and operating guidance for the first quarter and full year of 2014;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PAA’s and PAGP’s outlook for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Conference Call Access Instructions</w:t>
      </w:r>
    </w:p>
    <w:p>
      <w:pPr>
        <w:spacing w:after="0" w:line="22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To access the Internet webcast of the conference call, please go to www.plainsallamerican.com, choose “Investor Relations,” and then choose “Events and Presentations.” Following the live webcast, the call will be archived for a period of sixty (60) days on the website.</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Alternatively, access to the live conference call is available by dialing toll free (800) 230-1085. International callers should dial (612) 288-0337. No password is required. The slide presentation accompanying the conference call will be available a few minutes prior to the call under the “Events and Presentations” portion of the “Investor Relations” section of the website at www.plainsallamerican.com.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Telephonic Replay Instructions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To listen to a telephonic replay of the conference call, please dial (800) 475-6701, or (320) 365-3844 for international callers, and enter replay access code 313564. The replay will be available beginning Thursday, February 6, 2014, at approximately 1:00 p.m. EST and will continue until 11:59 p.m. EST on March 6, 2014.</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 and Selected Items Impacting Comparability</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To supplement our financial information presented in accordance with GAAP, management uses additional measures that are known as “non-GAAP financial measures” (such as adjusted EBITDA and implied distributable cash flow) in its evaluation of past performance and prospects for the future. Management believes that the presentation of such additional financial measures provides useful information to investors regarding our performance and results of operations because these measures, when used in conjunction with related GAAP financial measures, (i) provide additional information about our core operating performance and ability to generate and distribute cash flow, (ii) provide investors with the financial analytical framework upon which management bases financial, operational, compensation and planning decisions and (iii) present measurements that investors, rating agencies and debt holders have indicated are useful in assessing us and our results of operations. These measures may exclude, for example, (i) charges for obligations that are expected to be settled with the issuance of equity instruments, (ii) the mark-to-market of derivative instruments that are related to underlying activities in another period (or the reversal of such adjustments from a prior period), (iii) items that are not indicative of our core operating results and business outlook and/or</w:t>
      </w:r>
    </w:p>
    <w:p>
      <w:pPr>
        <w:spacing w:after="0" w:line="7" w:lineRule="exact"/>
        <w:rPr>
          <w:sz w:val="20"/>
          <w:szCs w:val="20"/>
          <w:color w:val="auto"/>
        </w:rPr>
      </w:pPr>
    </w:p>
    <w:p>
      <w:pPr>
        <w:ind w:right="300" w:firstLine="8"/>
        <w:spacing w:after="0" w:line="255"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items that we believe should be excluded in understanding our core operating performance. We have defined all such items as “selected items impacting comparability.” We consider an understanding of these selected items impacting comparability to be material to the evaluation of our operating results and prospects.</w:t>
      </w:r>
    </w:p>
    <w:p>
      <w:pPr>
        <w:spacing w:after="0" w:line="190"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Although we present selected items that we consider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and numerous other factors. These types of variations are not separately identified in this release, but will be discussed, as applicable, in management’s discussion and analysis of operating results in our Annual Report on Form 10-K.</w:t>
      </w:r>
    </w:p>
    <w:p>
      <w:pPr>
        <w:spacing w:after="0" w:line="154"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Adjusted EBITDA and other non-GAAP financial measures are reconciled to the most comparable GAAP measures for the periods presented in the tables attached to this release, and should be viewed in addition to, and not in lieu of, our consolidated financial statements and notes thereto. In addition, PAA maintains on its website (www.plainsallamerican.com) a reconciliation of adjusted EBITDA and certain commonly used non-GAAP financial information to the most comparable GAAP measures. To access the information, investors should click on “Plains All American Pipeline, L.P.” under the “Investor Relations” link on the home page, select the “Guidance &amp; Non-GAAP Reconciliations” link and navigate to the “Non-GAAP Reconciliations” tab.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ectPr>
          <w:pgSz w:w="11900" w:h="16838" w:orient="portrait"/>
          <w:cols w:equalWidth="0" w:num="1">
            <w:col w:w="11400"/>
          </w:cols>
          <w:pgMar w:left="240" w:top="733" w:right="259" w:bottom="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Page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Except for the historical information contained herein, the matters discussed in this release are forward-looking statements that involve certain risks and uncertainties that could cause actual results to differ materially from results anticipated in the forward-looking statements. These risks and uncertainties include, among other things, failure to implement or capitalize, or delays in implementing or capitalizing, on planned internal growth projects; unanticipated changes in crude oil market structure, grade differentials and volatility (or lack thereof); environmental liabilities or events that are not covered by an indemnity, insurance or existing reserves; fluctuations in refinery capacity in areas supplied by our mainlines and other factors affecting demand for various grades of crude oil, refined products and natural gas and resulting changes in pricing conditions or transportation throughput requirements; the occurrence of a natural disaster, catastrophe, terrorist attack or other event, including attacks on our electronic and computer systems; tightened capital markets or other factors that increase our cost of capital or limit our access to capital; maintenance of our credit rating and ability to receive open credit from our suppliers and trade counterparties; continued creditworthiness of, and performance by, our counterparties, including financial institutions and trading companies with which we do business; the currency exchange rate of the Canadian dollar; the availability of, and our ability to consummate, acquisition or combination opportunities; the successful integration and future performance of acquired assets or businesses and the risks associated with operating in lines of business that are distinct and separate from our historical operations; the effectiveness of our risk management activities; declines in the volumes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or other factors; shortages or cost increases of supplies, materials or labor; our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our assets and facilities; the effects of competition; increased costs or lack of availability of insurance; fluctuations in the debt and equity markets, including the price of our units at the time of vesting under our long-term incentive plans; weather interference with business operations or project construction; risks related to the development and operation of our facilities; factors affecting demand for natural gas and natural gas storage services and rates; general economic, market or business conditions and the amplification of other risks caused by volatile financial markets, capital constraints and pervasive liquidity concerns; and other factors and uncertainties inherent in the transportation, storage, terminalling and marketing of crude oil and refined products, as well as in the storage of natural gas and the processing, transportation, fractionation, storage and marketing of natural gas liquids discussed in the Partnerships’ filings with the Securities and Exchange Commission.</w:t>
      </w:r>
    </w:p>
    <w:p>
      <w:pPr>
        <w:spacing w:after="0" w:line="17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Plains All American Pipeline, L.P. (NYSE: 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3.5 million barrels per day of crude oil and NGL on its pipelines. PAA is headquartered in Houston, Texas.</w:t>
      </w:r>
    </w:p>
    <w:p>
      <w:pPr>
        <w:spacing w:after="0" w:line="188"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Plains GP Holdings (NYSE: PAGP) is a publicly traded entity that owns an interest in the general partner and incentive distribution rights of Plains All American Pipeline, L.P., one of the largest energy infrastructure and logistics companies in North America. PAGP is headquartered in Houston, Texas.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2"/>
              </w:rPr>
              <w:t>December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94"/>
              <w:spacing w:after="0"/>
              <w:rPr>
                <w:sz w:val="20"/>
                <w:szCs w:val="20"/>
                <w:color w:val="auto"/>
              </w:rPr>
            </w:pPr>
            <w:r>
              <w:rPr>
                <w:rFonts w:ascii="Arial" w:cs="Arial" w:eastAsia="Arial" w:hAnsi="Arial"/>
                <w:sz w:val="14"/>
                <w:szCs w:val="14"/>
                <w:b w:val="1"/>
                <w:bCs w:val="1"/>
                <w:color w:val="auto"/>
                <w:w w:val="92"/>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10,631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42,249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9,731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8,513</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38,465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costs and expenses</w:t>
            </w:r>
          </w:p>
        </w:tc>
        <w:tc>
          <w:tcPr>
            <w:tcW w:w="16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3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9,037</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36,372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402</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Interest expense, net</w:t>
            </w: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(79)</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bl>
    <w:p>
      <w:pPr>
        <w:sectPr>
          <w:pgSz w:w="11900" w:h="16838" w:orient="portrait"/>
          <w:cols w:equalWidth="0" w:num="1">
            <w:col w:w="11420"/>
          </w:cols>
          <w:pgMar w:left="240" w:top="1057" w:right="239" w:bottom="0" w:gutter="0" w:footer="0" w:header="0"/>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60" w:type="dxa"/>
            <w:vAlign w:val="bottom"/>
            <w:gridSpan w:val="3"/>
          </w:tcPr>
          <w:p>
            <w:pPr>
              <w:spacing w:after="0"/>
              <w:rPr>
                <w:sz w:val="20"/>
                <w:szCs w:val="20"/>
                <w:color w:val="auto"/>
              </w:rPr>
            </w:pPr>
            <w:r>
              <w:rPr>
                <w:rFonts w:ascii="Arial" w:cs="Arial" w:eastAsia="Arial" w:hAnsi="Arial"/>
                <w:sz w:val="18"/>
                <w:szCs w:val="18"/>
                <w:color w:val="auto"/>
              </w:rPr>
              <w:t>Current income tax expense</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4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PAA:</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b w:val="1"/>
                <w:bCs w:val="1"/>
                <w:color w:val="auto"/>
              </w:rPr>
              <w:t>LIMITED PARTNERS</w:t>
            </w:r>
          </w:p>
        </w:tc>
        <w:tc>
          <w:tcPr>
            <w:tcW w:w="1440" w:type="dxa"/>
            <w:vAlign w:val="bottom"/>
          </w:tcPr>
          <w:p>
            <w:pPr>
              <w:spacing w:after="0"/>
              <w:rPr>
                <w:sz w:val="22"/>
                <w:szCs w:val="22"/>
                <w:color w:val="auto"/>
              </w:rPr>
            </w:pPr>
          </w:p>
        </w:tc>
        <w:tc>
          <w:tcPr>
            <w:tcW w:w="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967</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top w:val="single" w:sz="8" w:color="CCEEFF"/>
              <w:bottom w:val="single" w:sz="8" w:color="CCEEFF"/>
            </w:tcBorders>
            <w:gridSpan w:val="2"/>
            <w:shd w:val="clear" w:color="auto" w:fill="CCEEFF"/>
          </w:tcPr>
          <w:p>
            <w:pPr>
              <w:ind w:left="160"/>
              <w:spacing w:after="0" w:line="195" w:lineRule="exact"/>
              <w:rPr>
                <w:sz w:val="20"/>
                <w:szCs w:val="20"/>
                <w:color w:val="auto"/>
              </w:rPr>
            </w:pPr>
            <w:r>
              <w:rPr>
                <w:rFonts w:ascii="Arial" w:cs="Arial" w:eastAsia="Arial" w:hAnsi="Arial"/>
                <w:sz w:val="18"/>
                <w:szCs w:val="18"/>
                <w:b w:val="1"/>
                <w:bCs w:val="1"/>
                <w:color w:val="auto"/>
              </w:rPr>
              <w:t>GENERAL PARTNER</w:t>
            </w:r>
          </w:p>
        </w:tc>
        <w:tc>
          <w:tcPr>
            <w:tcW w:w="14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NET INCOME PER LIMITED PARTNER UNIT</w:t>
            </w:r>
          </w:p>
        </w:tc>
        <w:tc>
          <w:tcPr>
            <w:tcW w:w="1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NET INCOME PER LIMITED PARTNER UNIT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BASIC WEIGHTED AVERAGE UNITS OUTSTANDING</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DILUTED WEIGHTED AVERAGE UNITS OUTSTANDING</w:t>
            </w:r>
          </w:p>
        </w:tc>
        <w:tc>
          <w:tcPr>
            <w:tcW w:w="1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RESULTS:</w:t>
            </w: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760" w:type="dxa"/>
            <w:vAlign w:val="bottom"/>
            <w:gridSpan w:val="3"/>
            <w:vMerge w:val="continue"/>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60" w:type="dxa"/>
            <w:vAlign w:val="bottom"/>
            <w:gridSpan w:val="3"/>
          </w:tcPr>
          <w:p>
            <w:pPr>
              <w:spacing w:after="0"/>
              <w:rPr>
                <w:sz w:val="20"/>
                <w:szCs w:val="20"/>
                <w:color w:val="auto"/>
              </w:rPr>
            </w:pPr>
            <w:r>
              <w:rPr>
                <w:rFonts w:ascii="Arial" w:cs="Arial" w:eastAsia="Arial" w:hAnsi="Arial"/>
                <w:sz w:val="18"/>
                <w:szCs w:val="18"/>
                <w:color w:val="auto"/>
              </w:rPr>
              <w:t>(in millions, except per unit data)</w:t>
            </w: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 ATTRIBUTABLE TO PAA</w:t>
            </w:r>
          </w:p>
        </w:tc>
        <w:tc>
          <w:tcPr>
            <w:tcW w:w="1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ind w:left="640"/>
              <w:spacing w:after="0"/>
              <w:rPr>
                <w:sz w:val="20"/>
                <w:szCs w:val="20"/>
                <w:color w:val="auto"/>
              </w:rPr>
            </w:pPr>
            <w:r>
              <w:rPr>
                <w:rFonts w:ascii="Arial" w:cs="Arial" w:eastAsia="Arial" w:hAnsi="Arial"/>
                <w:sz w:val="18"/>
                <w:szCs w:val="18"/>
                <w:color w:val="auto"/>
              </w:rPr>
              <w:t>– more –</w:t>
            </w: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620" w:type="dxa"/>
            <w:vAlign w:val="bottom"/>
            <w:tcBorders>
              <w:bottom w:val="single" w:sz="8" w:color="auto"/>
            </w:tcBorders>
            <w:gridSpan w:val="6"/>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00" w:type="dxa"/>
            <w:vAlign w:val="bottom"/>
          </w:tcPr>
          <w:p>
            <w:pPr>
              <w:ind w:left="440"/>
              <w:spacing w:after="0"/>
              <w:rPr>
                <w:sz w:val="20"/>
                <w:szCs w:val="20"/>
                <w:color w:val="auto"/>
              </w:rPr>
            </w:pPr>
            <w:r>
              <w:rPr>
                <w:rFonts w:ascii="Arial" w:cs="Arial" w:eastAsia="Arial" w:hAnsi="Arial"/>
                <w:sz w:val="18"/>
                <w:szCs w:val="18"/>
                <w:b w:val="1"/>
                <w:bCs w:val="1"/>
                <w:color w:val="auto"/>
              </w:rPr>
              <w:t>333 Clay Street, Suite 1600</w:t>
            </w:r>
          </w:p>
        </w:tc>
        <w:tc>
          <w:tcPr>
            <w:tcW w:w="1860" w:type="dxa"/>
            <w:vAlign w:val="bottom"/>
            <w:gridSpan w:val="3"/>
          </w:tcPr>
          <w:p>
            <w:pPr>
              <w:jc w:val="right"/>
              <w:ind w:right="65"/>
              <w:spacing w:after="0"/>
              <w:rPr>
                <w:sz w:val="20"/>
                <w:szCs w:val="20"/>
                <w:color w:val="auto"/>
              </w:rPr>
            </w:pPr>
            <w:r>
              <w:rPr>
                <w:rFonts w:ascii="Arial" w:cs="Arial" w:eastAsia="Arial" w:hAnsi="Arial"/>
                <w:sz w:val="18"/>
                <w:szCs w:val="18"/>
                <w:b w:val="1"/>
                <w:bCs w:val="1"/>
                <w:color w:val="auto"/>
                <w:w w:val="89"/>
              </w:rPr>
              <w:t>Houston, Texas 77002</w:t>
            </w:r>
          </w:p>
        </w:tc>
        <w:tc>
          <w:tcPr>
            <w:tcW w:w="26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713-646-4100 / 800-564-3036</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010101"/>
            </w:tcBorders>
          </w:tcPr>
          <w:p>
            <w:pPr>
              <w:spacing w:after="0"/>
              <w:rPr>
                <w:sz w:val="24"/>
                <w:szCs w:val="24"/>
                <w:color w:val="auto"/>
              </w:rPr>
            </w:pPr>
          </w:p>
        </w:tc>
        <w:tc>
          <w:tcPr>
            <w:tcW w:w="1840" w:type="dxa"/>
            <w:vAlign w:val="bottom"/>
            <w:tcBorders>
              <w:bottom w:val="single" w:sz="8" w:color="010101"/>
            </w:tcBorders>
          </w:tcPr>
          <w:p>
            <w:pPr>
              <w:spacing w:after="0"/>
              <w:rPr>
                <w:sz w:val="24"/>
                <w:szCs w:val="24"/>
                <w:color w:val="auto"/>
              </w:rPr>
            </w:pPr>
          </w:p>
        </w:tc>
        <w:tc>
          <w:tcPr>
            <w:tcW w:w="2900" w:type="dxa"/>
            <w:vAlign w:val="bottom"/>
            <w:tcBorders>
              <w:bottom w:val="single" w:sz="8" w:color="010101"/>
            </w:tcBorders>
          </w:tcPr>
          <w:p>
            <w:pPr>
              <w:spacing w:after="0"/>
              <w:rPr>
                <w:sz w:val="24"/>
                <w:szCs w:val="24"/>
                <w:color w:val="auto"/>
              </w:rPr>
            </w:pPr>
          </w:p>
        </w:tc>
        <w:tc>
          <w:tcPr>
            <w:tcW w:w="14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7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CONSOLIDATED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Borders>
              <w:bottom w:val="single" w:sz="8" w:color="CCEEFF"/>
            </w:tcBorders>
          </w:tcPr>
          <w:p>
            <w:pPr>
              <w:spacing w:after="0"/>
              <w:rPr>
                <w:sz w:val="14"/>
                <w:szCs w:val="14"/>
                <w:color w:val="auto"/>
              </w:rPr>
            </w:pPr>
          </w:p>
        </w:tc>
        <w:tc>
          <w:tcPr>
            <w:tcW w:w="2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Current assets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4,964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Long-term inventory</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 net</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5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Current liabilities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5,411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2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12,657</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2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25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CAPITALIZATION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ectPr>
          <w:pgSz w:w="11900" w:h="16900" w:orient="portrait"/>
          <w:cols w:equalWidth="0" w:num="1">
            <w:col w:w="11460"/>
          </w:cols>
          <w:pgMar w:left="240" w:top="125" w:right="199" w:bottom="0" w:gutter="0" w:footer="0" w:header="0"/>
        </w:sectPr>
      </w:pP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986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r>
      <w:tr>
        <w:trPr>
          <w:trHeight w:val="64"/>
        </w:trPr>
        <w:tc>
          <w:tcPr>
            <w:tcW w:w="87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r>
    </w:tbl>
    <w:p>
      <w:pPr>
        <w:sectPr>
          <w:pgSz w:w="11900" w:h="16900" w:orient="portrait"/>
          <w:cols w:equalWidth="0" w:num="1">
            <w:col w:w="11460"/>
          </w:cols>
          <w:pgMar w:left="240" w:top="125" w:right="199"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28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Long-term debt</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6,715</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6,715</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Partners’ capital</w:t>
            </w:r>
          </w:p>
        </w:tc>
        <w:tc>
          <w:tcPr>
            <w:tcW w:w="2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7,703</w:t>
            </w:r>
          </w:p>
        </w:tc>
        <w:tc>
          <w:tcPr>
            <w:tcW w:w="3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book capitalization</w:t>
            </w:r>
          </w:p>
        </w:tc>
        <w:tc>
          <w:tcPr>
            <w:tcW w:w="25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Total book capitalization, including short-term debt</w:t>
            </w:r>
          </w:p>
        </w:tc>
        <w:tc>
          <w:tcPr>
            <w:tcW w:w="25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220" w:type="dxa"/>
            <w:vAlign w:val="bottom"/>
            <w:gridSpan w:val="2"/>
            <w:vMerge w:val="continue"/>
          </w:tcPr>
          <w:p>
            <w:pPr>
              <w:spacing w:after="0"/>
              <w:rPr>
                <w:sz w:val="20"/>
                <w:szCs w:val="20"/>
                <w:color w:val="auto"/>
              </w:rPr>
            </w:pPr>
          </w:p>
        </w:tc>
        <w:tc>
          <w:tcPr>
            <w:tcW w:w="252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15,531</w:t>
            </w:r>
          </w:p>
        </w:tc>
        <w:tc>
          <w:tcPr>
            <w:tcW w:w="280" w:type="dxa"/>
            <w:vAlign w:val="bottom"/>
            <w:vMerge w:val="continue"/>
          </w:tcPr>
          <w:p>
            <w:pPr>
              <w:spacing w:after="0"/>
              <w:rPr>
                <w:sz w:val="20"/>
                <w:szCs w:val="20"/>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14,552</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2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Long-term debt-to-total book capitalization</w:t>
            </w:r>
          </w:p>
        </w:tc>
        <w:tc>
          <w:tcPr>
            <w:tcW w:w="1980" w:type="dxa"/>
            <w:vAlign w:val="bottom"/>
          </w:tcPr>
          <w:p>
            <w:pPr>
              <w:spacing w:after="0"/>
              <w:rPr>
                <w:sz w:val="18"/>
                <w:szCs w:val="18"/>
                <w:color w:val="auto"/>
              </w:rPr>
            </w:pPr>
          </w:p>
        </w:tc>
        <w:tc>
          <w:tcPr>
            <w:tcW w:w="3820" w:type="dxa"/>
            <w:vAlign w:val="bottom"/>
          </w:tcPr>
          <w:p>
            <w:pPr>
              <w:jc w:val="right"/>
              <w:ind w:right="450"/>
              <w:spacing w:after="0"/>
              <w:rPr>
                <w:sz w:val="20"/>
                <w:szCs w:val="20"/>
                <w:color w:val="auto"/>
              </w:rPr>
            </w:pPr>
            <w:r>
              <w:rPr>
                <w:rFonts w:ascii="Arial" w:cs="Arial" w:eastAsia="Arial" w:hAnsi="Arial"/>
                <w:sz w:val="18"/>
                <w:szCs w:val="18"/>
                <w:color w:val="auto"/>
              </w:rPr>
              <w:t>47%</w:t>
            </w: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debt-to-total book capitalization, including short-term debt</w:t>
            </w:r>
          </w:p>
        </w:tc>
        <w:tc>
          <w:tcPr>
            <w:tcW w:w="1980" w:type="dxa"/>
            <w:vAlign w:val="bottom"/>
            <w:shd w:val="clear" w:color="auto" w:fill="CCEEFF"/>
          </w:tcPr>
          <w:p>
            <w:pPr>
              <w:spacing w:after="0"/>
              <w:rPr>
                <w:sz w:val="18"/>
                <w:szCs w:val="18"/>
                <w:color w:val="auto"/>
              </w:rPr>
            </w:pPr>
          </w:p>
        </w:tc>
        <w:tc>
          <w:tcPr>
            <w:tcW w:w="3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r>
      <w:tr>
        <w:trPr>
          <w:trHeight w:val="439"/>
        </w:trPr>
        <w:tc>
          <w:tcPr>
            <w:tcW w:w="47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more –</w:t>
            </w:r>
          </w:p>
        </w:tc>
        <w:tc>
          <w:tcPr>
            <w:tcW w:w="3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74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tcPr>
          <w:p>
            <w:pPr>
              <w:ind w:left="80"/>
              <w:spacing w:after="0"/>
              <w:rPr>
                <w:sz w:val="20"/>
                <w:szCs w:val="20"/>
                <w:color w:val="auto"/>
              </w:rPr>
            </w:pPr>
            <w:r>
              <w:rPr>
                <w:rFonts w:ascii="Arial" w:cs="Arial" w:eastAsia="Arial" w:hAnsi="Arial"/>
                <w:sz w:val="18"/>
                <w:szCs w:val="18"/>
                <w:b w:val="1"/>
                <w:bCs w:val="1"/>
                <w:color w:val="auto"/>
                <w:w w:val="99"/>
              </w:rPr>
              <w:t>Houston, Texas 77002</w:t>
            </w:r>
          </w:p>
        </w:tc>
        <w:tc>
          <w:tcPr>
            <w:tcW w:w="3820" w:type="dxa"/>
            <w:vAlign w:val="bottom"/>
          </w:tcPr>
          <w:p>
            <w:pPr>
              <w:jc w:val="right"/>
              <w:ind w:right="1330"/>
              <w:spacing w:after="0"/>
              <w:rPr>
                <w:sz w:val="20"/>
                <w:szCs w:val="20"/>
                <w:color w:val="auto"/>
              </w:rPr>
            </w:pPr>
            <w:r>
              <w:rPr>
                <w:rFonts w:ascii="Arial" w:cs="Arial" w:eastAsia="Arial" w:hAnsi="Arial"/>
                <w:sz w:val="18"/>
                <w:szCs w:val="18"/>
                <w:b w:val="1"/>
                <w:bCs w:val="1"/>
                <w:color w:val="auto"/>
                <w:w w:val="99"/>
              </w:rPr>
              <w:t>713-646-4100 / 800-564-3036</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740" w:type="dxa"/>
            <w:vAlign w:val="bottom"/>
            <w:tcBorders>
              <w:bottom w:val="single" w:sz="8" w:color="010101"/>
            </w:tcBorders>
          </w:tcPr>
          <w:p>
            <w:pPr>
              <w:spacing w:after="0"/>
              <w:rPr>
                <w:sz w:val="24"/>
                <w:szCs w:val="24"/>
                <w:color w:val="auto"/>
              </w:rPr>
            </w:pPr>
          </w:p>
        </w:tc>
        <w:tc>
          <w:tcPr>
            <w:tcW w:w="1980" w:type="dxa"/>
            <w:vAlign w:val="bottom"/>
            <w:tcBorders>
              <w:bottom w:val="single" w:sz="8" w:color="010101"/>
            </w:tcBorders>
          </w:tcPr>
          <w:p>
            <w:pPr>
              <w:spacing w:after="0"/>
              <w:rPr>
                <w:sz w:val="24"/>
                <w:szCs w:val="24"/>
                <w:color w:val="auto"/>
              </w:rPr>
            </w:pPr>
          </w:p>
        </w:tc>
        <w:tc>
          <w:tcPr>
            <w:tcW w:w="3820" w:type="dxa"/>
            <w:vAlign w:val="bottom"/>
            <w:tcBorders>
              <w:bottom w:val="single" w:sz="8" w:color="010101"/>
            </w:tcBorders>
          </w:tcPr>
          <w:p>
            <w:pPr>
              <w:spacing w:after="0"/>
              <w:rPr>
                <w:sz w:val="24"/>
                <w:szCs w:val="24"/>
                <w:color w:val="auto"/>
              </w:rPr>
            </w:pPr>
          </w:p>
        </w:tc>
        <w:tc>
          <w:tcPr>
            <w:tcW w:w="8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FINANCIAL DATA BY SEGMENT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center"/>
              <w:ind w:left="893"/>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90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Supply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(9,875)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(8,724)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vMerge w:val="restart"/>
          </w:tcPr>
          <w:p>
            <w:pPr>
              <w:spacing w:after="0" w:line="201" w:lineRule="exact"/>
              <w:rPr>
                <w:sz w:val="20"/>
                <w:szCs w:val="20"/>
                <w:color w:val="auto"/>
              </w:rPr>
            </w:pPr>
            <w:r>
              <w:rPr>
                <w:rFonts w:ascii="Arial" w:cs="Arial" w:eastAsia="Arial" w:hAnsi="Arial"/>
                <w:sz w:val="18"/>
                <w:szCs w:val="18"/>
                <w:color w:val="auto"/>
                <w:w w:val="98"/>
              </w:rPr>
              <w:t>Segment profit excluding selected items impacting</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22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169</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198</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141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267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comparability</w:t>
            </w:r>
          </w:p>
        </w:tc>
        <w:tc>
          <w:tcPr>
            <w:tcW w:w="100" w:type="dxa"/>
            <w:vAlign w:val="bottom"/>
            <w:vMerge w:val="continue"/>
          </w:tcPr>
          <w:p>
            <w:pPr>
              <w:spacing w:after="0"/>
              <w:rPr>
                <w:sz w:val="22"/>
                <w:szCs w:val="22"/>
                <w:color w:val="auto"/>
              </w:rPr>
            </w:pPr>
          </w:p>
        </w:tc>
        <w:tc>
          <w:tcPr>
            <w:tcW w:w="106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110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5"/>
          </w:tcPr>
          <w:p>
            <w:pPr>
              <w:jc w:val="center"/>
              <w:ind w:left="893"/>
              <w:spacing w:after="0"/>
              <w:rPr>
                <w:sz w:val="20"/>
                <w:szCs w:val="20"/>
                <w:color w:val="auto"/>
              </w:rPr>
            </w:pPr>
            <w:r>
              <w:rPr>
                <w:rFonts w:ascii="Arial" w:cs="Arial" w:eastAsia="Arial" w:hAnsi="Arial"/>
                <w:sz w:val="14"/>
                <w:szCs w:val="14"/>
                <w:b w:val="1"/>
                <w:bCs w:val="1"/>
                <w:color w:val="auto"/>
                <w:w w:val="93"/>
              </w:rPr>
              <w:t>Twelve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gridSpan w:val="6"/>
          </w:tcPr>
          <w:p>
            <w:pPr>
              <w:jc w:val="center"/>
              <w:ind w:left="714"/>
              <w:spacing w:after="0"/>
              <w:rPr>
                <w:sz w:val="20"/>
                <w:szCs w:val="20"/>
                <w:color w:val="auto"/>
              </w:rPr>
            </w:pPr>
            <w:r>
              <w:rPr>
                <w:rFonts w:ascii="Arial" w:cs="Arial" w:eastAsia="Arial" w:hAnsi="Arial"/>
                <w:sz w:val="14"/>
                <w:szCs w:val="14"/>
                <w:b w:val="1"/>
                <w:bCs w:val="1"/>
                <w:color w:val="auto"/>
                <w:w w:val="92"/>
              </w:rPr>
              <w:t>Twelve Months Ended</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1"/>
              </w:rPr>
              <w:t>December 31, 2013</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center"/>
              <w:ind w:left="714"/>
              <w:spacing w:after="0"/>
              <w:rPr>
                <w:sz w:val="20"/>
                <w:szCs w:val="20"/>
                <w:color w:val="auto"/>
              </w:rPr>
            </w:pPr>
            <w:r>
              <w:rPr>
                <w:rFonts w:ascii="Arial" w:cs="Arial" w:eastAsia="Arial" w:hAnsi="Arial"/>
                <w:sz w:val="14"/>
                <w:szCs w:val="14"/>
                <w:b w:val="1"/>
                <w:bCs w:val="1"/>
                <w:color w:val="auto"/>
                <w:w w:val="91"/>
              </w:rPr>
              <w:t>December 31, 2012</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3"/>
              </w:rPr>
              <w:t>Transportation</w:t>
            </w:r>
          </w:p>
        </w:tc>
        <w:tc>
          <w:tcPr>
            <w:tcW w:w="140" w:type="dxa"/>
            <w:vAlign w:val="bottom"/>
          </w:tcPr>
          <w:p>
            <w:pPr>
              <w:spacing w:after="0"/>
              <w:rPr>
                <w:sz w:val="10"/>
                <w:szCs w:val="10"/>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6"/>
              </w:rPr>
              <w:t>Facilities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jc w:val="center"/>
              <w:ind w:right="53"/>
              <w:spacing w:after="0" w:line="119" w:lineRule="exact"/>
              <w:rPr>
                <w:sz w:val="20"/>
                <w:szCs w:val="20"/>
                <w:color w:val="auto"/>
              </w:rPr>
            </w:pPr>
            <w:r>
              <w:rPr>
                <w:rFonts w:ascii="Arial" w:cs="Arial" w:eastAsia="Arial" w:hAnsi="Arial"/>
                <w:sz w:val="13"/>
                <w:szCs w:val="13"/>
                <w:b w:val="1"/>
                <w:bCs w:val="1"/>
                <w:color w:val="auto"/>
                <w:w w:val="99"/>
              </w:rPr>
              <w:t>Supply and</w:t>
            </w:r>
          </w:p>
        </w:tc>
        <w:tc>
          <w:tcPr>
            <w:tcW w:w="34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Transportation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Facilities</w:t>
            </w:r>
          </w:p>
        </w:tc>
        <w:tc>
          <w:tcPr>
            <w:tcW w:w="100" w:type="dxa"/>
            <w:vAlign w:val="bottom"/>
          </w:tcPr>
          <w:p>
            <w:pPr>
              <w:spacing w:after="0"/>
              <w:rPr>
                <w:sz w:val="10"/>
                <w:szCs w:val="10"/>
                <w:color w:val="auto"/>
              </w:rPr>
            </w:pPr>
          </w:p>
        </w:tc>
        <w:tc>
          <w:tcPr>
            <w:tcW w:w="8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w w:val="99"/>
              </w:rPr>
              <w:t>Supply and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7"/>
              </w:rPr>
              <w:t>Logistics</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Logistics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Revenues </w:t>
            </w:r>
            <w:r>
              <w:rPr>
                <w:rFonts w:ascii="Arial" w:cs="Arial" w:eastAsia="Arial" w:hAnsi="Arial"/>
                <w:sz w:val="23"/>
                <w:szCs w:val="23"/>
                <w:color w:val="auto"/>
                <w:vertAlign w:val="superscript"/>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40,696</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line="216" w:lineRule="exact"/>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23"/>
                <w:szCs w:val="23"/>
                <w:color w:val="auto"/>
                <w:vertAlign w:val="superscript"/>
              </w:rPr>
              <w:t>(1)</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(39,315)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(35,139)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Field operating costs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(1)</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Equity-indexed compensation expense - operations</w:t>
            </w:r>
          </w:p>
        </w:tc>
        <w:tc>
          <w:tcPr>
            <w:tcW w:w="100" w:type="dxa"/>
            <w:vAlign w:val="bottom"/>
          </w:tcPr>
          <w:p>
            <w:pPr>
              <w:spacing w:after="0"/>
              <w:rPr>
                <w:sz w:val="18"/>
                <w:szCs w:val="18"/>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Segment G&amp;A expenses (excluding equity-indexed</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 xml:space="preserve">compensation expense) </w:t>
            </w:r>
            <w:r>
              <w:rPr>
                <w:rFonts w:ascii="Arial" w:cs="Arial" w:eastAsia="Arial" w:hAnsi="Arial"/>
                <w:sz w:val="23"/>
                <w:szCs w:val="23"/>
                <w:color w:val="auto"/>
                <w:vertAlign w:val="superscript"/>
              </w:rPr>
              <w:t>(2)</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w w:val="94"/>
              </w:rPr>
              <w:t>Equity-indexed compensation expense - general and</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Reported segment profit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8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23"/>
                <w:szCs w:val="23"/>
                <w:color w:val="auto"/>
                <w:vertAlign w:val="superscript"/>
              </w:rPr>
              <w:t>(3)</w:t>
            </w: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Borders>
              <w:right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980" w:type="dxa"/>
            <w:vAlign w:val="bottom"/>
          </w:tcPr>
          <w:p>
            <w:pPr>
              <w:spacing w:after="0" w:line="182" w:lineRule="exact"/>
              <w:rPr>
                <w:sz w:val="20"/>
                <w:szCs w:val="20"/>
                <w:color w:val="auto"/>
              </w:rPr>
            </w:pPr>
            <w:r>
              <w:rPr>
                <w:rFonts w:ascii="Arial" w:cs="Arial" w:eastAsia="Arial" w:hAnsi="Arial"/>
                <w:sz w:val="18"/>
                <w:szCs w:val="18"/>
                <w:color w:val="auto"/>
                <w:w w:val="98"/>
              </w:rPr>
              <w:t>Segment profit excluding selected items impacting</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auto"/>
              </w:rPr>
              <w:t>760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629</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8"/>
                <w:szCs w:val="18"/>
                <w:color w:val="auto"/>
              </w:rPr>
              <w:t>893</w:t>
            </w:r>
          </w:p>
        </w:tc>
        <w:tc>
          <w:tcPr>
            <w:tcW w:w="16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742</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502</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855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comparability</w:t>
            </w:r>
          </w:p>
        </w:tc>
        <w:tc>
          <w:tcPr>
            <w:tcW w:w="10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4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60" w:type="dxa"/>
            <w:vAlign w:val="bottom"/>
            <w:gridSpan w:val="2"/>
            <w:vMerge w:val="continue"/>
          </w:tcPr>
          <w:p>
            <w:pPr>
              <w:spacing w:after="0"/>
              <w:rPr>
                <w:sz w:val="22"/>
                <w:szCs w:val="22"/>
                <w:color w:val="auto"/>
              </w:rPr>
            </w:pPr>
          </w:p>
        </w:tc>
        <w:tc>
          <w:tcPr>
            <w:tcW w:w="1100" w:type="dxa"/>
            <w:vAlign w:val="bottom"/>
            <w:tcBorders>
              <w:right w:val="single" w:sz="8" w:color="auto"/>
            </w:tcBorders>
            <w:gridSpan w:val="2"/>
            <w:vMerge w:val="continue"/>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00" w:type="dxa"/>
            <w:vAlign w:val="bottom"/>
            <w:vMerge w:val="continue"/>
          </w:tcPr>
          <w:p>
            <w:pPr>
              <w:spacing w:after="0"/>
              <w:rPr>
                <w:sz w:val="22"/>
                <w:szCs w:val="22"/>
                <w:color w:val="auto"/>
              </w:rPr>
            </w:pPr>
          </w:p>
        </w:tc>
        <w:tc>
          <w:tcPr>
            <w:tcW w:w="8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righ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Maintenance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48"/>
              <w:spacing w:after="0"/>
              <w:rPr>
                <w:sz w:val="20"/>
                <w:szCs w:val="20"/>
                <w:color w:val="auto"/>
              </w:rPr>
            </w:pPr>
            <w:r>
              <w:rPr>
                <w:rFonts w:ascii="Arial" w:cs="Arial" w:eastAsia="Arial" w:hAnsi="Arial"/>
                <w:sz w:val="18"/>
                <w:szCs w:val="18"/>
                <w:color w:val="auto"/>
              </w:rPr>
              <w:t>123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intersegment amounts.</w:t>
      </w:r>
    </w:p>
    <w:p>
      <w:pPr>
        <w:spacing w:after="0" w:line="1" w:lineRule="exact"/>
        <w:rPr>
          <w:rFonts w:ascii="Arial" w:cs="Arial" w:eastAsia="Arial" w:hAnsi="Arial"/>
          <w:sz w:val="23"/>
          <w:szCs w:val="23"/>
          <w:color w:val="auto"/>
          <w:vertAlign w:val="superscript"/>
        </w:rPr>
      </w:pPr>
    </w:p>
    <w:p>
      <w:pPr>
        <w:jc w:val="both"/>
        <w:ind w:left="340" w:right="80" w:hanging="332"/>
        <w:spacing w:after="0" w:line="228" w:lineRule="auto"/>
        <w:tabs>
          <w:tab w:leader="none" w:pos="32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Segment general and administrative expenses (G&amp;A) reflect direct costs attributable to each segment and an allocation of other expenses to the segments. The proportional allocations by segment require judgment by management and are based on the business activities that exist during each period. Includes acquisition-related expenses for the 2012 period.</w:t>
      </w:r>
    </w:p>
    <w:p>
      <w:pPr>
        <w:spacing w:after="0" w:line="2" w:lineRule="exact"/>
        <w:rPr>
          <w:rFonts w:ascii="Arial" w:cs="Arial" w:eastAsia="Arial" w:hAnsi="Arial"/>
          <w:sz w:val="23"/>
          <w:szCs w:val="23"/>
          <w:color w:val="auto"/>
          <w:vertAlign w:val="superscript"/>
        </w:rPr>
      </w:pPr>
    </w:p>
    <w:p>
      <w:pPr>
        <w:ind w:left="320" w:hanging="312"/>
        <w:spacing w:after="0" w:line="196" w:lineRule="auto"/>
        <w:tabs>
          <w:tab w:leader="none" w:pos="320"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Certain non-GAAP financial measures may not be impacted by each of the selected items impacting comparability.</w:t>
      </w:r>
    </w:p>
    <w:p>
      <w:pPr>
        <w:sectPr>
          <w:pgSz w:w="11900" w:h="16838" w:orient="portrait"/>
          <w:cols w:equalWidth="0" w:num="1">
            <w:col w:w="11460"/>
          </w:cols>
          <w:pgMar w:left="240" w:top="140" w:right="19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 xml:space="preserve">OPERATING DATA </w:t>
      </w:r>
      <w:r>
        <w:rPr>
          <w:rFonts w:ascii="Arial" w:cs="Arial" w:eastAsia="Arial" w:hAnsi="Arial"/>
          <w:sz w:val="23"/>
          <w:szCs w:val="23"/>
          <w:b w:val="1"/>
          <w:bCs w:val="1"/>
          <w:u w:val="single" w:color="auto"/>
          <w:color w:val="auto"/>
          <w:vertAlign w:val="superscript"/>
        </w:rPr>
        <w:t>(1)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360" w:type="dxa"/>
            <w:vAlign w:val="bottom"/>
            <w:gridSpan w:val="4"/>
          </w:tcPr>
          <w:p>
            <w:pPr>
              <w:jc w:val="center"/>
              <w:ind w:left="348"/>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00" w:type="dxa"/>
            <w:vAlign w:val="bottom"/>
            <w:tcBorders>
              <w:bottom w:val="single" w:sz="8" w:color="auto"/>
            </w:tcBorders>
            <w:gridSpan w:val="3"/>
          </w:tcPr>
          <w:p>
            <w:pPr>
              <w:jc w:val="center"/>
              <w:ind w:left="772"/>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gridSpan w:val="2"/>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56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right"/>
              <w:ind w:right="39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jc w:val="right"/>
              <w:ind w:right="391"/>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Transportation activities (average daily volumes in thousands of</w:t>
            </w: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barrels):</w:t>
            </w: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Tariff activities</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Pipelines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All American</w:t>
            </w:r>
          </w:p>
        </w:tc>
        <w:tc>
          <w:tcPr>
            <w:tcW w:w="44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124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Bakken Area Systems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Basin / Mesa</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737</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756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718</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Capline</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Eagle Ford Area Systems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166</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Line 63 / Line 2000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Manito</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Mid-Continent Area Systems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293</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Permian Basin Area Systems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703</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489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581</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Rainbow</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Rangeland</w:t>
            </w:r>
          </w:p>
        </w:tc>
        <w:tc>
          <w:tcPr>
            <w:tcW w:w="44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Salt Lake City Area Systems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128</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South Saskatchewan</w:t>
            </w:r>
          </w:p>
        </w:tc>
        <w:tc>
          <w:tcPr>
            <w:tcW w:w="440" w:type="dxa"/>
            <w:vAlign w:val="bottom"/>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White Cliffs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688</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717</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725</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NGL Pipelines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340"/>
              <w:spacing w:after="0"/>
              <w:rPr>
                <w:sz w:val="20"/>
                <w:szCs w:val="20"/>
                <w:color w:val="auto"/>
              </w:rPr>
            </w:pPr>
            <w:r>
              <w:rPr>
                <w:rFonts w:ascii="Arial" w:cs="Arial" w:eastAsia="Arial" w:hAnsi="Arial"/>
                <w:sz w:val="18"/>
                <w:szCs w:val="18"/>
                <w:color w:val="auto"/>
              </w:rPr>
              <w:t>Co-Ed</w:t>
            </w:r>
          </w:p>
        </w:tc>
        <w:tc>
          <w:tcPr>
            <w:tcW w:w="44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240" w:type="dxa"/>
            <w:vAlign w:val="bottom"/>
          </w:tcPr>
          <w:p>
            <w:pPr>
              <w:jc w:val="right"/>
              <w:spacing w:after="0"/>
              <w:rPr>
                <w:sz w:val="20"/>
                <w:szCs w:val="20"/>
                <w:color w:val="auto"/>
              </w:rPr>
            </w:pPr>
            <w:r>
              <w:rPr>
                <w:rFonts w:ascii="Arial" w:cs="Arial" w:eastAsia="Arial" w:hAnsi="Arial"/>
                <w:sz w:val="18"/>
                <w:szCs w:val="18"/>
                <w:color w:val="auto"/>
              </w:rPr>
              <w:t>56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206</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Refined Products Pipelines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240" w:type="dxa"/>
            <w:vAlign w:val="bottom"/>
          </w:tcPr>
          <w:p>
            <w:pPr>
              <w:jc w:val="right"/>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8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3,730</w:t>
            </w: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3,544</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Trucking</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129</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117</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activities total</w:t>
            </w: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3,859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3,656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Facilities activities (average monthly volumes):</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24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Crude oil, refined products and NGL terminalling and storage</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20" w:type="dxa"/>
            <w:vAlign w:val="bottom"/>
            <w:vMerge w:val="restart"/>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(average monthly capacity in millions of barrels)</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Rail load / unload volumes (average throughput in thousands of</w:t>
            </w:r>
          </w:p>
        </w:tc>
        <w:tc>
          <w:tcPr>
            <w:tcW w:w="8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221</w:t>
            </w:r>
          </w:p>
        </w:tc>
        <w:tc>
          <w:tcPr>
            <w:tcW w:w="8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221</w:t>
            </w:r>
          </w:p>
        </w:tc>
        <w:tc>
          <w:tcPr>
            <w:tcW w:w="380" w:type="dxa"/>
            <w:vAlign w:val="bottom"/>
            <w:shd w:val="clear" w:color="auto" w:fill="CCEEFF"/>
          </w:tcPr>
          <w:p>
            <w:pPr>
              <w:spacing w:after="0"/>
              <w:rPr>
                <w:sz w:val="13"/>
                <w:szCs w:val="13"/>
                <w:color w:val="auto"/>
              </w:rPr>
            </w:pPr>
          </w:p>
        </w:tc>
        <w:tc>
          <w:tcPr>
            <w:tcW w:w="98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barrels per day)</w:t>
            </w:r>
          </w:p>
        </w:tc>
        <w:tc>
          <w:tcPr>
            <w:tcW w:w="740" w:type="dxa"/>
            <w:vAlign w:val="bottom"/>
            <w:gridSpan w:val="2"/>
            <w:vMerge w:val="continue"/>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52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Natural gas storage (average monthly capacity in billions of cubic</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280" w:type="dxa"/>
            <w:vAlign w:val="bottom"/>
            <w:vMerge w:val="restart"/>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restart"/>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feet)</w:t>
            </w:r>
          </w:p>
        </w:tc>
        <w:tc>
          <w:tcPr>
            <w:tcW w:w="8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vMerge w:val="continue"/>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shd w:val="clear" w:color="auto" w:fill="CCEEFF"/>
          </w:tcPr>
          <w:p>
            <w:pPr>
              <w:ind w:left="160"/>
              <w:spacing w:after="0" w:line="156" w:lineRule="exact"/>
              <w:rPr>
                <w:sz w:val="20"/>
                <w:szCs w:val="20"/>
                <w:color w:val="auto"/>
              </w:rPr>
            </w:pPr>
            <w:r>
              <w:rPr>
                <w:rFonts w:ascii="Arial" w:cs="Arial" w:eastAsia="Arial" w:hAnsi="Arial"/>
                <w:sz w:val="18"/>
                <w:szCs w:val="18"/>
                <w:color w:val="auto"/>
              </w:rPr>
              <w:t>NGL fractionation (average throughput in thousands of barrels per</w:t>
            </w:r>
          </w:p>
        </w:tc>
        <w:tc>
          <w:tcPr>
            <w:tcW w:w="8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97</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day)</w:t>
            </w:r>
          </w:p>
        </w:tc>
        <w:tc>
          <w:tcPr>
            <w:tcW w:w="4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ind w:left="160"/>
              <w:spacing w:after="0" w:line="195" w:lineRule="exact"/>
              <w:rPr>
                <w:sz w:val="20"/>
                <w:szCs w:val="20"/>
                <w:color w:val="auto"/>
              </w:rPr>
            </w:pPr>
            <w:r>
              <w:rPr>
                <w:rFonts w:ascii="Arial" w:cs="Arial" w:eastAsia="Arial" w:hAnsi="Arial"/>
                <w:sz w:val="18"/>
                <w:szCs w:val="18"/>
                <w:color w:val="auto"/>
              </w:rPr>
              <w:t>Facilities activities total (average monthly capacity in millions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44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120</w:t>
            </w:r>
          </w:p>
        </w:tc>
        <w:tc>
          <w:tcPr>
            <w:tcW w:w="820" w:type="dxa"/>
            <w:vAlign w:val="bottom"/>
          </w:tcPr>
          <w:p>
            <w:pPr>
              <w:spacing w:after="0"/>
              <w:rPr>
                <w:sz w:val="13"/>
                <w:szCs w:val="13"/>
                <w:color w:val="auto"/>
              </w:rPr>
            </w:pPr>
          </w:p>
        </w:tc>
        <w:tc>
          <w:tcPr>
            <w:tcW w:w="7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113</w:t>
            </w:r>
          </w:p>
        </w:tc>
        <w:tc>
          <w:tcPr>
            <w:tcW w:w="15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120</w:t>
            </w:r>
          </w:p>
        </w:tc>
        <w:tc>
          <w:tcPr>
            <w:tcW w:w="380" w:type="dxa"/>
            <w:vAlign w:val="bottom"/>
          </w:tcPr>
          <w:p>
            <w:pPr>
              <w:spacing w:after="0"/>
              <w:rPr>
                <w:sz w:val="13"/>
                <w:szCs w:val="13"/>
                <w:color w:val="auto"/>
              </w:rPr>
            </w:pP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40" w:type="dxa"/>
            <w:vAlign w:val="bottom"/>
            <w:gridSpan w:val="2"/>
          </w:tcPr>
          <w:p>
            <w:pPr>
              <w:ind w:left="340"/>
              <w:spacing w:after="0" w:line="216" w:lineRule="exact"/>
              <w:rPr>
                <w:sz w:val="20"/>
                <w:szCs w:val="20"/>
                <w:color w:val="auto"/>
              </w:rPr>
            </w:pPr>
            <w:r>
              <w:rPr>
                <w:rFonts w:ascii="Arial" w:cs="Arial" w:eastAsia="Arial" w:hAnsi="Arial"/>
                <w:sz w:val="18"/>
                <w:szCs w:val="18"/>
                <w:color w:val="auto"/>
              </w:rPr>
              <w:t xml:space="preserve">barrels) </w:t>
            </w:r>
            <w:r>
              <w:rPr>
                <w:rFonts w:ascii="Arial" w:cs="Arial" w:eastAsia="Arial" w:hAnsi="Arial"/>
                <w:sz w:val="23"/>
                <w:szCs w:val="23"/>
                <w:color w:val="auto"/>
                <w:vertAlign w:val="superscript"/>
              </w:rPr>
              <w:t>(2)</w:t>
            </w:r>
          </w:p>
        </w:tc>
        <w:tc>
          <w:tcPr>
            <w:tcW w:w="740" w:type="dxa"/>
            <w:vAlign w:val="bottom"/>
            <w:gridSpan w:val="2"/>
            <w:vMerge w:val="continue"/>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gridSpan w:val="2"/>
            <w:vMerge w:val="continue"/>
          </w:tcPr>
          <w:p>
            <w:pPr>
              <w:spacing w:after="0"/>
              <w:rPr>
                <w:sz w:val="22"/>
                <w:szCs w:val="22"/>
                <w:color w:val="auto"/>
              </w:rPr>
            </w:pPr>
          </w:p>
        </w:tc>
        <w:tc>
          <w:tcPr>
            <w:tcW w:w="1520" w:type="dxa"/>
            <w:vAlign w:val="bottom"/>
            <w:gridSpan w:val="2"/>
            <w:vMerge w:val="continue"/>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2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Supply and Logistics activities (average daily volumes in</w:t>
            </w: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thousands of barrels):</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Crude oil lease gathering purchases</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870</w:t>
            </w:r>
          </w:p>
        </w:tc>
        <w:tc>
          <w:tcPr>
            <w:tcW w:w="8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NGL sales</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272</w:t>
            </w:r>
          </w:p>
        </w:tc>
        <w:tc>
          <w:tcPr>
            <w:tcW w:w="8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259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3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Waterborne cargos</w:t>
            </w:r>
          </w:p>
        </w:tc>
        <w:tc>
          <w:tcPr>
            <w:tcW w:w="156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Supply and Logistics activities total</w:t>
            </w: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1,142</w:t>
            </w: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1,113</w:t>
            </w:r>
          </w:p>
        </w:tc>
        <w:tc>
          <w:tcPr>
            <w:tcW w:w="28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240" w:hanging="172"/>
        <w:spacing w:after="0" w:line="274" w:lineRule="auto"/>
        <w:tabs>
          <w:tab w:leader="none" w:pos="164"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Volumes associated with acquisitions represent total volumes (attributable to our interest) for the number of days or months we actually owned the assets divided by the number of days or months in the period.</w:t>
      </w:r>
    </w:p>
    <w:p>
      <w:pPr>
        <w:ind w:left="180" w:right="40" w:hanging="172"/>
        <w:spacing w:after="0" w:line="294" w:lineRule="auto"/>
        <w:tabs>
          <w:tab w:leader="none" w:pos="164"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Facilities total is calculated as the sum of: (i) crude oil, refined products and NGL terminalling and storage capacity; (ii) rail load and unload volumes multiplied by the number of days in the period and divided by the number of months in the period; (iii) natural gas storage capacity divided by 6 to account for the 6:1 mcf of gas to crude Btu equivalent ratio and further divided by 1,000 to convert to monthly volumes in millions; and (iv) NGL fractionation volumes multiplied by the number of days in the period and divided by the number of months in the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6"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4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EARNINGS PER LIMITED PARTNER UNIT </w:t>
      </w:r>
      <w:r>
        <w:rPr>
          <w:rFonts w:ascii="Arial" w:cs="Arial" w:eastAsia="Arial" w:hAnsi="Arial"/>
          <w:sz w:val="18"/>
          <w:szCs w:val="18"/>
          <w:color w:val="auto"/>
        </w:rPr>
        <w:t>(in millions, except per unit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per Limited Partner Unit:</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203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limited partners in accordance with</w:t>
            </w: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vMerge w:val="continue"/>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960</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1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limited partner units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limited partner unit</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Limited Partner Unit: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0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(1)</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available to limited partners</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203</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ind w:left="160"/>
              <w:spacing w:after="0" w:line="201" w:lineRule="exact"/>
              <w:rPr>
                <w:sz w:val="20"/>
                <w:szCs w:val="20"/>
                <w:color w:val="auto"/>
              </w:rPr>
            </w:pPr>
            <w:r>
              <w:rPr>
                <w:rFonts w:ascii="Arial" w:cs="Arial" w:eastAsia="Arial" w:hAnsi="Arial"/>
                <w:sz w:val="18"/>
                <w:szCs w:val="18"/>
                <w:color w:val="auto"/>
                <w:w w:val="98"/>
              </w:rPr>
              <w:t>Less: Undistributed earnings allocated and distributions to</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(1)</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Net income available to limited partners in accordance with</w:t>
            </w: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vMerge w:val="continue"/>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201</w:t>
            </w:r>
          </w:p>
        </w:tc>
        <w:tc>
          <w:tcPr>
            <w:tcW w:w="54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233</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961</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application of the two-class method for MLPs</w:t>
            </w:r>
          </w:p>
        </w:tc>
        <w:tc>
          <w:tcPr>
            <w:tcW w:w="110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limited partner units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line="216" w:lineRule="exact"/>
              <w:rPr>
                <w:sz w:val="20"/>
                <w:szCs w:val="20"/>
                <w:color w:val="auto"/>
              </w:rPr>
            </w:pPr>
            <w:r>
              <w:rPr>
                <w:rFonts w:ascii="Arial" w:cs="Arial" w:eastAsia="Arial" w:hAnsi="Arial"/>
                <w:sz w:val="18"/>
                <w:szCs w:val="18"/>
                <w:color w:val="auto"/>
                <w:w w:val="95"/>
              </w:rPr>
              <w:t xml:space="preserve">Effect of dilutive securities: Weighted average LTIP units </w:t>
            </w:r>
            <w:r>
              <w:rPr>
                <w:rFonts w:ascii="Arial" w:cs="Arial" w:eastAsia="Arial" w:hAnsi="Arial"/>
                <w:sz w:val="23"/>
                <w:szCs w:val="23"/>
                <w:color w:val="auto"/>
                <w:w w:val="95"/>
                <w:vertAlign w:val="superscript"/>
              </w:rPr>
              <w:t>(2)</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number of limited partner units</w:t>
            </w: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720" w:type="dxa"/>
            <w:vAlign w:val="bottom"/>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5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limited partner unit</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0" w:right="120" w:hanging="172"/>
        <w:spacing w:after="0" w:line="298" w:lineRule="auto"/>
        <w:tabs>
          <w:tab w:leader="none" w:pos="164"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We calculate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179" w:lineRule="exact"/>
        <w:rPr>
          <w:rFonts w:ascii="Arial" w:cs="Arial" w:eastAsia="Arial" w:hAnsi="Arial"/>
          <w:sz w:val="19"/>
          <w:szCs w:val="19"/>
          <w:color w:val="auto"/>
          <w:vertAlign w:val="superscript"/>
        </w:rPr>
      </w:pPr>
    </w:p>
    <w:p>
      <w:pPr>
        <w:ind w:left="180" w:right="80" w:hanging="172"/>
        <w:spacing w:after="0" w:line="424" w:lineRule="auto"/>
        <w:tabs>
          <w:tab w:leader="none" w:pos="164"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Our Long-term Incentive Plan (“LTIP”) awards that contemplate the issuance of common units are considered dilutive unless (i) vesting occurs only upon the satisfaction of a performance condition and (ii) that performance condition has yet to be satisfied. LTIP awards that are deemed to be dilutive are reduced by a hypothetical unit repurchase based on the remaining unamortized fair value, as prescribed by the treasury stock method in guidance issued by the FASB.</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ITEMS IMPACTING COMPARABILITY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40" w:type="dxa"/>
            <w:vAlign w:val="bottom"/>
            <w:gridSpan w:val="4"/>
          </w:tcPr>
          <w:p>
            <w:pPr>
              <w:jc w:val="center"/>
              <w:ind w:left="268"/>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3"/>
              </w:rPr>
              <w:t>Twelve Months Ended</w:t>
            </w:r>
          </w:p>
        </w:tc>
      </w:tr>
      <w:tr>
        <w:trPr>
          <w:trHeight w:val="17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December 31,</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196"/>
        </w:trPr>
        <w:tc>
          <w:tcPr>
            <w:tcW w:w="5120" w:type="dxa"/>
            <w:vAlign w:val="bottom"/>
            <w:shd w:val="clear" w:color="auto" w:fill="CCEEFF"/>
          </w:tcPr>
          <w:p>
            <w:pPr>
              <w:spacing w:after="0" w:line="197" w:lineRule="exact"/>
              <w:rPr>
                <w:sz w:val="20"/>
                <w:szCs w:val="20"/>
                <w:color w:val="auto"/>
              </w:rPr>
            </w:pPr>
            <w:r>
              <w:rPr>
                <w:rFonts w:ascii="Arial" w:cs="Arial" w:eastAsia="Arial" w:hAnsi="Arial"/>
                <w:sz w:val="17"/>
                <w:szCs w:val="17"/>
                <w:b w:val="1"/>
                <w:bCs w:val="1"/>
                <w:color w:val="auto"/>
              </w:rPr>
              <w:t xml:space="preserve">Selected Items Impacting Comparability - Income/(Loss) </w:t>
            </w:r>
            <w:r>
              <w:rPr>
                <w:rFonts w:ascii="Arial" w:cs="Arial" w:eastAsia="Arial" w:hAnsi="Arial"/>
                <w:sz w:val="22"/>
                <w:szCs w:val="22"/>
                <w:b w:val="1"/>
                <w:bCs w:val="1"/>
                <w:color w:val="auto"/>
                <w:vertAlign w:val="superscript"/>
              </w:rPr>
              <w:t>(1)</w:t>
            </w:r>
            <w:r>
              <w:rPr>
                <w:rFonts w:ascii="Arial" w:cs="Arial" w:eastAsia="Arial" w:hAnsi="Arial"/>
                <w:sz w:val="17"/>
                <w:szCs w:val="17"/>
                <w:b w:val="1"/>
                <w:bCs w:val="1"/>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120" w:type="dxa"/>
            <w:vAlign w:val="bottom"/>
          </w:tcPr>
          <w:p>
            <w:pPr>
              <w:spacing w:after="0" w:line="201" w:lineRule="exact"/>
              <w:rPr>
                <w:sz w:val="20"/>
                <w:szCs w:val="20"/>
                <w:color w:val="auto"/>
              </w:rPr>
            </w:pPr>
            <w:r>
              <w:rPr>
                <w:rFonts w:ascii="Arial" w:cs="Arial" w:eastAsia="Arial" w:hAnsi="Arial"/>
                <w:sz w:val="18"/>
                <w:szCs w:val="18"/>
                <w:color w:val="auto"/>
                <w:w w:val="98"/>
              </w:rPr>
              <w:t>Gains/(losses) from derivative activities net of inventory valuation</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120" w:type="dxa"/>
            <w:vAlign w:val="bottom"/>
          </w:tcPr>
          <w:p>
            <w:pPr>
              <w:ind w:left="180"/>
              <w:spacing w:after="0" w:line="231"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(2)</w:t>
            </w:r>
          </w:p>
        </w:tc>
        <w:tc>
          <w:tcPr>
            <w:tcW w:w="1200" w:type="dxa"/>
            <w:vAlign w:val="bottom"/>
            <w:gridSpan w:val="2"/>
          </w:tcPr>
          <w:p>
            <w:pPr>
              <w:jc w:val="right"/>
              <w:ind w:right="70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97"/>
        </w:trPr>
        <w:tc>
          <w:tcPr>
            <w:tcW w:w="512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20"/>
          </w:cols>
          <w:pgMar w:left="240" w:top="584" w:right="239" w:bottom="0" w:gutter="0" w:footer="0" w:header="0"/>
        </w:sectPr>
      </w:pPr>
    </w:p>
    <w:bookmarkStart w:id="10" w:name="page11"/>
    <w:bookmarkEnd w:id="10"/>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line="216" w:lineRule="exact"/>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23"/>
                <w:szCs w:val="23"/>
                <w:color w:val="auto"/>
                <w:vertAlign w:val="superscript"/>
              </w:rPr>
              <w:t>(4)</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gain/(loss) on foreign currency revaluation</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Tax effect on selected items impacting comparability</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Significant acquisition-related expenses</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line="216"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260" w:type="dxa"/>
            <w:vAlign w:val="bottom"/>
            <w:tcBorders>
              <w:top w:val="single" w:sz="8" w:color="CCEEFF"/>
            </w:tcBorders>
            <w:shd w:val="clear" w:color="auto" w:fill="CCEEFF"/>
          </w:tcPr>
          <w:p>
            <w:pPr>
              <w:ind w:left="160"/>
              <w:spacing w:after="0" w:line="182" w:lineRule="exact"/>
              <w:rPr>
                <w:sz w:val="20"/>
                <w:szCs w:val="20"/>
                <w:color w:val="auto"/>
              </w:rPr>
            </w:pPr>
            <w:r>
              <w:rPr>
                <w:rFonts w:ascii="Arial" w:cs="Arial" w:eastAsia="Arial" w:hAnsi="Arial"/>
                <w:sz w:val="18"/>
                <w:szCs w:val="18"/>
                <w:color w:val="auto"/>
                <w:w w:val="94"/>
              </w:rPr>
              <w:t>Selected items impacting comparability of net income attributable to</w:t>
            </w: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PAA</w:t>
            </w:r>
          </w:p>
        </w:tc>
        <w:tc>
          <w:tcPr>
            <w:tcW w:w="6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Impact to basic net income per limited partner unit</w:t>
            </w:r>
          </w:p>
        </w:tc>
        <w:tc>
          <w:tcPr>
            <w:tcW w:w="6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(0.31)</w:t>
            </w:r>
          </w:p>
        </w:tc>
        <w:tc>
          <w:tcPr>
            <w:tcW w:w="60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Impact to diluted net income per limited partner unit</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16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(0.18</w:t>
            </w:r>
          </w:p>
        </w:tc>
        <w:tc>
          <w:tcPr>
            <w:tcW w:w="30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(0.32</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(0.30</w:t>
            </w:r>
          </w:p>
        </w:tc>
        <w:tc>
          <w:tcPr>
            <w:tcW w:w="280" w:type="dxa"/>
            <w:vAlign w:val="bottom"/>
            <w:vMerge w:val="continue"/>
          </w:tcPr>
          <w:p>
            <w:pPr>
              <w:spacing w:after="0"/>
              <w:rPr>
                <w:sz w:val="17"/>
                <w:szCs w:val="17"/>
                <w:color w:val="auto"/>
              </w:rPr>
            </w:pPr>
          </w:p>
        </w:tc>
        <w:tc>
          <w:tcPr>
            <w:tcW w:w="48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(0.95</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1" w:lineRule="exact"/>
        <w:rPr>
          <w:rFonts w:ascii="Arial" w:cs="Arial" w:eastAsia="Arial" w:hAnsi="Arial"/>
          <w:sz w:val="21"/>
          <w:szCs w:val="21"/>
          <w:color w:val="auto"/>
          <w:vertAlign w:val="superscript"/>
        </w:rPr>
      </w:pPr>
    </w:p>
    <w:p>
      <w:pPr>
        <w:ind w:left="180" w:right="220" w:hanging="172"/>
        <w:spacing w:after="0" w:line="264" w:lineRule="auto"/>
        <w:tabs>
          <w:tab w:leader="none" w:pos="164"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Includes mark-to-market gains and losses resulting from derivative instruments that are related to underlying activities in future periods or the reversal of mark-to-market gains and losses from the prior period, net of inventory valuation adjustments.</w:t>
      </w:r>
    </w:p>
    <w:p>
      <w:pPr>
        <w:ind w:left="180" w:right="560" w:hanging="172"/>
        <w:spacing w:after="0" w:line="265" w:lineRule="auto"/>
        <w:tabs>
          <w:tab w:leader="none" w:pos="164"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Asset impairments are reflected in “Depreciation and amortization” on our Condensed Consolidated Statements of Operations and do not impact the comparability of EBITDA.</w:t>
      </w:r>
    </w:p>
    <w:p>
      <w:pPr>
        <w:ind w:left="180" w:right="20" w:hanging="172"/>
        <w:spacing w:after="0" w:line="265" w:lineRule="auto"/>
        <w:tabs>
          <w:tab w:leader="none" w:pos="164"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Equity-indexed compensation expense above excludes the portion of equity-indexed compensation expense represented by grants under LTIP that, pursuant to the terms of the grant, will be settled in cash only and have no impact on diluted units.</w:t>
      </w:r>
    </w:p>
    <w:p>
      <w:pPr>
        <w:ind w:left="180" w:hanging="172"/>
        <w:spacing w:after="0" w:line="214" w:lineRule="auto"/>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Includes other immaterial selected items impacting comparability, as well as the noncontrolling interests’ portion of selected items.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0"/>
          <w:szCs w:val="20"/>
          <w:color w:val="auto"/>
        </w:rPr>
      </w:pPr>
    </w:p>
    <w:p>
      <w:pPr>
        <w:ind w:right="32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ADJUSTED BASIC AND DILUTED EARNINGS PER LIMITED PARTNER UNIT </w:t>
      </w:r>
      <w:r>
        <w:rPr>
          <w:rFonts w:ascii="Arial" w:cs="Arial" w:eastAsia="Arial" w:hAnsi="Arial"/>
          <w:sz w:val="18"/>
          <w:szCs w:val="18"/>
          <w:color w:val="auto"/>
        </w:rPr>
        <w:t>(in millions, except per unit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w w:val="89"/>
              </w:rPr>
              <w:t>2012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Adjusted Net Income per Limited Partner Unit</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 net income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weighted average number of limited partner units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341</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income per limited partner unit</w:t>
            </w:r>
          </w:p>
        </w:tc>
        <w:tc>
          <w:tcPr>
            <w:tcW w:w="11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Adjusted Net Income per Limited Partner Unit</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income attributable to PAA</w:t>
            </w:r>
          </w:p>
        </w:tc>
        <w:tc>
          <w:tcPr>
            <w:tcW w:w="116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1,361</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Selected items impacting comparability of net income</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340"/>
              <w:spacing w:after="0" w:line="231" w:lineRule="exact"/>
              <w:rPr>
                <w:sz w:val="20"/>
                <w:szCs w:val="20"/>
                <w:color w:val="auto"/>
              </w:rPr>
            </w:pPr>
            <w:r>
              <w:rPr>
                <w:rFonts w:ascii="Arial" w:cs="Arial" w:eastAsia="Arial" w:hAnsi="Arial"/>
                <w:sz w:val="18"/>
                <w:szCs w:val="18"/>
                <w:color w:val="auto"/>
              </w:rPr>
              <w:t xml:space="preserve">attributable to PAA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Adjusted net income attributable to PAA</w:t>
            </w:r>
          </w:p>
        </w:tc>
        <w:tc>
          <w:tcPr>
            <w:tcW w:w="3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line="216" w:lineRule="exact"/>
              <w:rPr>
                <w:sz w:val="20"/>
                <w:szCs w:val="20"/>
                <w:color w:val="auto"/>
              </w:rPr>
            </w:pPr>
            <w:r>
              <w:rPr>
                <w:rFonts w:ascii="Arial" w:cs="Arial" w:eastAsia="Arial" w:hAnsi="Arial"/>
                <w:sz w:val="18"/>
                <w:szCs w:val="18"/>
                <w:color w:val="auto"/>
              </w:rPr>
              <w:t xml:space="preserve">Less: General partner’s incentive distribution </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w:t>
            </w:r>
          </w:p>
        </w:tc>
        <w:tc>
          <w:tcPr>
            <w:tcW w:w="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General partner 2% ownership </w:t>
            </w:r>
            <w:r>
              <w:rPr>
                <w:rFonts w:ascii="Arial" w:cs="Arial" w:eastAsia="Arial" w:hAnsi="Arial"/>
                <w:sz w:val="23"/>
                <w:szCs w:val="23"/>
                <w:color w:val="auto"/>
                <w:vertAlign w:val="superscript"/>
              </w:rPr>
              <w:t>(2)</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Adjusted net income available to limited partners</w:t>
            </w:r>
          </w:p>
        </w:tc>
        <w:tc>
          <w:tcPr>
            <w:tcW w:w="3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Undistributed earnings allocated and distributions to</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tcPr>
          <w:p>
            <w:pPr>
              <w:ind w:left="340"/>
              <w:spacing w:after="0" w:line="231" w:lineRule="exact"/>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23"/>
                <w:szCs w:val="23"/>
                <w:color w:val="auto"/>
                <w:vertAlign w:val="superscript"/>
              </w:rPr>
              <w:t>(2)</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limited partners’ net income</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weighted average number of limited partner units</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343</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Diluted adjusted net income per limited partner unit</w:t>
            </w:r>
          </w:p>
        </w:tc>
        <w:tc>
          <w:tcPr>
            <w:tcW w:w="116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0.76</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70" w:orient="portrait"/>
          <w:cols w:equalWidth="0" w:num="1">
            <w:col w:w="11420"/>
          </w:cols>
          <w:pgMar w:left="240" w:top="91" w:right="239" w:bottom="0" w:gutter="0" w:footer="0" w:header="0"/>
        </w:sectPr>
      </w:pPr>
    </w:p>
    <w:p>
      <w:pPr>
        <w:spacing w:after="0" w:line="200" w:lineRule="exact"/>
        <w:rPr>
          <w:sz w:val="20"/>
          <w:szCs w:val="20"/>
          <w:color w:val="auto"/>
        </w:rPr>
      </w:pPr>
    </w:p>
    <w:p>
      <w:pPr>
        <w:spacing w:after="0" w:line="220"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ectPr>
          <w:pgSz w:w="11900" w:h="16870" w:orient="portrait"/>
          <w:cols w:equalWidth="0" w:num="1">
            <w:col w:w="11420"/>
          </w:cols>
          <w:pgMar w:left="240" w:top="91" w:right="239" w:bottom="0" w:gutter="0" w:footer="0" w:header="0"/>
          <w:type w:val="continuous"/>
        </w:sectPr>
      </w:pPr>
    </w:p>
    <w:bookmarkStart w:id="11" w:name="page12"/>
    <w:bookmarkEnd w:id="11"/>
    <w:p>
      <w:pPr>
        <w:ind w:left="180" w:right="100" w:hanging="172"/>
        <w:spacing w:after="0" w:line="298" w:lineRule="auto"/>
        <w:tabs>
          <w:tab w:leader="none" w:pos="164"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We calculate adjusted net income available to limited partners based on the distributions pertaining to the current period’s net income. After adjusting for the appropriate period’s distributions, the remaining undistributed earnings or excess distributions over earnings, if any, are allocated to the general partner, limited partners and participating securities in accordance with the contractual terms of the partnership agreement and as further prescribed under the two-class method.</w:t>
      </w:r>
    </w:p>
    <w:p>
      <w:pPr>
        <w:spacing w:after="0" w:line="3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ALL AMERICAN PIPELINE, L.P.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DATA RECONCILIATIONS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ind w:left="32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8"/>
        </w:trPr>
        <w:tc>
          <w:tcPr>
            <w:tcW w:w="56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Income to Earnings Before Interest, Taxes, Depreciation and</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Amortization (“EBITDA”) and Excluding Selected Items Impacting</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Comparability (“Adjusted EBITDA”) Reconciliations</w:t>
            </w: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9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330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1,391</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Arial" w:cs="Arial" w:eastAsia="Arial" w:hAnsi="Arial"/>
                <w:sz w:val="18"/>
                <w:szCs w:val="18"/>
                <w:color w:val="auto"/>
              </w:rPr>
              <w:t>Add: Income tax 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and amortization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18"/>
                <w:szCs w:val="18"/>
                <w:color w:val="auto"/>
              </w:rPr>
            </w:pPr>
          </w:p>
        </w:tc>
        <w:tc>
          <w:tcPr>
            <w:tcW w:w="80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300" w:type="dxa"/>
            <w:vAlign w:val="bottom"/>
          </w:tcPr>
          <w:p>
            <w:pPr>
              <w:spacing w:after="0"/>
              <w:rPr>
                <w:sz w:val="18"/>
                <w:szCs w:val="18"/>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Selected items impacting comparability of EBITDA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w:t>
            </w:r>
          </w:p>
        </w:tc>
        <w:tc>
          <w:tcPr>
            <w:tcW w:w="3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Certain of our non-GAAP financial measures may not be impacted by each of the selected items impacting comparability.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60" w:type="dxa"/>
            <w:vAlign w:val="bottom"/>
            <w:gridSpan w:val="5"/>
          </w:tcPr>
          <w:p>
            <w:pPr>
              <w:jc w:val="right"/>
              <w:ind w:right="225"/>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r>
      <w:tr>
        <w:trPr>
          <w:trHeight w:val="171"/>
        </w:trPr>
        <w:tc>
          <w:tcPr>
            <w:tcW w:w="5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ind w:right="465"/>
              <w:spacing w:after="0"/>
              <w:rPr>
                <w:sz w:val="20"/>
                <w:szCs w:val="20"/>
                <w:color w:val="auto"/>
              </w:rPr>
            </w:pPr>
            <w:r>
              <w:rPr>
                <w:rFonts w:ascii="Arial" w:cs="Arial" w:eastAsia="Arial" w:hAnsi="Arial"/>
                <w:sz w:val="14"/>
                <w:szCs w:val="14"/>
                <w:b w:val="1"/>
                <w:bCs w:val="1"/>
                <w:color w:val="auto"/>
                <w:w w:val="98"/>
              </w:rPr>
              <w:t>December 31,</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5"/>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5"/>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2"/>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 to Implied Distributable Cash Flow (“DCF”)</w:t>
            </w:r>
          </w:p>
        </w:tc>
        <w:tc>
          <w:tcPr>
            <w:tcW w:w="4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Adjusted EBITDA</w:t>
            </w:r>
          </w:p>
        </w:tc>
        <w:tc>
          <w:tcPr>
            <w:tcW w:w="12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595</w:t>
            </w:r>
          </w:p>
        </w:tc>
        <w:tc>
          <w:tcPr>
            <w:tcW w:w="92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609</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2,292</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2,107</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(303)</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Maintenance capital</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r>
      <w:tr>
        <w:trPr>
          <w:trHeight w:val="216"/>
        </w:trPr>
        <w:tc>
          <w:tcPr>
            <w:tcW w:w="5420" w:type="dxa"/>
            <w:vAlign w:val="bottom"/>
          </w:tcPr>
          <w:p>
            <w:pPr>
              <w:ind w:left="180"/>
              <w:spacing w:after="0"/>
              <w:rPr>
                <w:sz w:val="20"/>
                <w:szCs w:val="20"/>
                <w:color w:val="auto"/>
              </w:rPr>
            </w:pPr>
            <w:r>
              <w:rPr>
                <w:rFonts w:ascii="Arial" w:cs="Arial" w:eastAsia="Arial" w:hAnsi="Arial"/>
                <w:sz w:val="18"/>
                <w:szCs w:val="18"/>
                <w:color w:val="auto"/>
              </w:rPr>
              <w:t>Equity earnings in unconsolidated entities, net of distributions</w:t>
            </w: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 xml:space="preserve">Distributions to noncontrolling interests </w:t>
            </w:r>
            <w:r>
              <w:rPr>
                <w:rFonts w:ascii="Arial" w:cs="Arial" w:eastAsia="Arial" w:hAnsi="Arial"/>
                <w:sz w:val="23"/>
                <w:szCs w:val="23"/>
                <w:color w:val="auto"/>
                <w:vertAlign w:val="superscript"/>
              </w:rPr>
              <w:t>(1)</w:t>
            </w: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10"/>
        </w:trPr>
        <w:tc>
          <w:tcPr>
            <w:tcW w:w="5420" w:type="dxa"/>
            <w:vAlign w:val="bottom"/>
          </w:tcPr>
          <w:p>
            <w:pPr>
              <w:spacing w:after="0"/>
              <w:rPr>
                <w:sz w:val="20"/>
                <w:szCs w:val="20"/>
                <w:color w:val="auto"/>
              </w:rPr>
            </w:pPr>
            <w:r>
              <w:rPr>
                <w:rFonts w:ascii="Arial" w:cs="Arial" w:eastAsia="Arial" w:hAnsi="Arial"/>
                <w:sz w:val="18"/>
                <w:szCs w:val="18"/>
                <w:color w:val="auto"/>
              </w:rPr>
              <w:t>Implied DCF</w:t>
            </w:r>
          </w:p>
        </w:tc>
        <w:tc>
          <w:tcPr>
            <w:tcW w:w="4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200" w:hanging="192"/>
        <w:spacing w:after="0"/>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Includes distributions that pertain to the current period’s net income, which are paid in the subsequent period.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20" w:type="dxa"/>
            <w:vAlign w:val="bottom"/>
            <w:gridSpan w:val="5"/>
          </w:tcPr>
          <w:p>
            <w:pPr>
              <w:jc w:val="right"/>
              <w:ind w:right="185"/>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Twelve Months Ended</w:t>
            </w:r>
          </w:p>
        </w:tc>
        <w:tc>
          <w:tcPr>
            <w:tcW w:w="40" w:type="dxa"/>
            <w:vAlign w:val="bottom"/>
          </w:tcPr>
          <w:p>
            <w:pPr>
              <w:spacing w:after="0"/>
              <w:rPr>
                <w:sz w:val="14"/>
                <w:szCs w:val="14"/>
                <w:color w:val="auto"/>
              </w:rPr>
            </w:pPr>
          </w:p>
        </w:tc>
      </w:tr>
      <w:tr>
        <w:trPr>
          <w:trHeight w:val="171"/>
        </w:trPr>
        <w:tc>
          <w:tcPr>
            <w:tcW w:w="4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4"/>
                <w:szCs w:val="14"/>
                <w:b w:val="1"/>
                <w:bCs w:val="1"/>
                <w:color w:val="auto"/>
                <w:w w:val="98"/>
              </w:rPr>
              <w:t>December 31,</w:t>
            </w:r>
          </w:p>
        </w:tc>
        <w:tc>
          <w:tcPr>
            <w:tcW w:w="3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jc w:val="right"/>
              <w:ind w:right="2"/>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jc w:val="right"/>
              <w:ind w:right="316"/>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jc w:val="right"/>
              <w:ind w:right="33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 Reconciliation</w:t>
            </w:r>
          </w:p>
        </w:tc>
        <w:tc>
          <w:tcPr>
            <w:tcW w:w="1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EBITDA</w:t>
            </w:r>
          </w:p>
        </w:tc>
        <w:tc>
          <w:tcPr>
            <w:tcW w:w="1980" w:type="dxa"/>
            <w:vAlign w:val="bottom"/>
            <w:gridSpan w:val="2"/>
          </w:tcPr>
          <w:p>
            <w:pPr>
              <w:jc w:val="right"/>
              <w:ind w:right="622"/>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526</w:t>
            </w:r>
          </w:p>
        </w:tc>
        <w:tc>
          <w:tcPr>
            <w:tcW w:w="880" w:type="dxa"/>
            <w:vAlign w:val="bottom"/>
            <w:gridSpan w:val="2"/>
          </w:tcPr>
          <w:p>
            <w:pPr>
              <w:jc w:val="right"/>
              <w:ind w:right="605"/>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541</w:t>
            </w:r>
          </w:p>
        </w:tc>
        <w:tc>
          <w:tcPr>
            <w:tcW w:w="4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2,168</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1,951</w:t>
            </w: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income tax expense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r>
      <w:tr>
        <w:trPr>
          <w:trHeight w:val="216"/>
        </w:trPr>
        <w:tc>
          <w:tcPr>
            <w:tcW w:w="47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(303)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change in assets and liabilities, net of acquisitions</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w:t>
            </w:r>
          </w:p>
        </w:tc>
        <w:tc>
          <w:tcPr>
            <w:tcW w:w="4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w w:val="94"/>
              </w:rPr>
              <w:t>Other items to reconcile to cash flows from operating activities:</w:t>
            </w: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Equity-indexed compensation expense</w:t>
            </w:r>
          </w:p>
        </w:tc>
        <w:tc>
          <w:tcPr>
            <w:tcW w:w="1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w:t>
            </w:r>
          </w:p>
        </w:tc>
        <w:tc>
          <w:tcPr>
            <w:tcW w:w="3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0"/>
        </w:trPr>
        <w:tc>
          <w:tcPr>
            <w:tcW w:w="47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582"/>
              <w:spacing w:after="0"/>
              <w:rPr>
                <w:sz w:val="20"/>
                <w:szCs w:val="20"/>
                <w:color w:val="auto"/>
              </w:rPr>
            </w:pPr>
            <w:r>
              <w:rPr>
                <w:rFonts w:ascii="Arial" w:cs="Arial" w:eastAsia="Arial" w:hAnsi="Arial"/>
                <w:sz w:val="18"/>
                <w:szCs w:val="18"/>
                <w:color w:val="auto"/>
              </w:rPr>
              <w:t>– more –</w:t>
            </w: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4720" w:type="dxa"/>
            <w:vAlign w:val="bottom"/>
          </w:tcPr>
          <w:p>
            <w:pPr>
              <w:ind w:left="2300"/>
              <w:spacing w:after="0"/>
              <w:rPr>
                <w:sz w:val="20"/>
                <w:szCs w:val="20"/>
                <w:color w:val="auto"/>
              </w:rPr>
            </w:pPr>
            <w:r>
              <w:rPr>
                <w:rFonts w:ascii="Arial" w:cs="Arial" w:eastAsia="Arial" w:hAnsi="Arial"/>
                <w:sz w:val="18"/>
                <w:szCs w:val="18"/>
                <w:b w:val="1"/>
                <w:bCs w:val="1"/>
                <w:color w:val="auto"/>
              </w:rPr>
              <w:t>333 Clay Street, Suite 1600</w:t>
            </w:r>
          </w:p>
        </w:tc>
        <w:tc>
          <w:tcPr>
            <w:tcW w:w="1980" w:type="dxa"/>
            <w:vAlign w:val="bottom"/>
            <w:gridSpan w:val="2"/>
          </w:tcPr>
          <w:p>
            <w:pPr>
              <w:jc w:val="right"/>
              <w:ind w:right="142"/>
              <w:spacing w:after="0"/>
              <w:rPr>
                <w:sz w:val="20"/>
                <w:szCs w:val="20"/>
                <w:color w:val="auto"/>
              </w:rPr>
            </w:pPr>
            <w:r>
              <w:rPr>
                <w:rFonts w:ascii="Arial" w:cs="Arial" w:eastAsia="Arial" w:hAnsi="Arial"/>
                <w:sz w:val="18"/>
                <w:szCs w:val="18"/>
                <w:b w:val="1"/>
                <w:bCs w:val="1"/>
                <w:color w:val="auto"/>
                <w:w w:val="92"/>
              </w:rPr>
              <w:t>Houston, Texas 77002</w:t>
            </w:r>
          </w:p>
        </w:tc>
        <w:tc>
          <w:tcPr>
            <w:tcW w:w="2460" w:type="dxa"/>
            <w:vAlign w:val="bottom"/>
            <w:gridSpan w:val="8"/>
          </w:tcPr>
          <w:p>
            <w:pPr>
              <w:jc w:val="right"/>
              <w:spacing w:after="0"/>
              <w:rPr>
                <w:sz w:val="20"/>
                <w:szCs w:val="20"/>
                <w:color w:val="auto"/>
              </w:rPr>
            </w:pPr>
            <w:r>
              <w:rPr>
                <w:rFonts w:ascii="Arial" w:cs="Arial" w:eastAsia="Arial" w:hAnsi="Arial"/>
                <w:sz w:val="18"/>
                <w:szCs w:val="18"/>
                <w:b w:val="1"/>
                <w:bCs w:val="1"/>
                <w:color w:val="auto"/>
              </w:rPr>
              <w:t>713-646-4100 / 800-564-3036</w:t>
            </w: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0"/>
        </w:trPr>
        <w:tc>
          <w:tcPr>
            <w:tcW w:w="4720" w:type="dxa"/>
            <w:vAlign w:val="bottom"/>
            <w:tcBorders>
              <w:bottom w:val="single" w:sz="8" w:color="010101"/>
            </w:tcBorders>
          </w:tcPr>
          <w:p>
            <w:pPr>
              <w:spacing w:after="0"/>
              <w:rPr>
                <w:sz w:val="24"/>
                <w:szCs w:val="24"/>
                <w:color w:val="auto"/>
              </w:rPr>
            </w:pPr>
          </w:p>
        </w:tc>
        <w:tc>
          <w:tcPr>
            <w:tcW w:w="1180" w:type="dxa"/>
            <w:vAlign w:val="bottom"/>
            <w:tcBorders>
              <w:bottom w:val="single" w:sz="8" w:color="010101"/>
            </w:tcBorders>
          </w:tcPr>
          <w:p>
            <w:pPr>
              <w:spacing w:after="0"/>
              <w:rPr>
                <w:sz w:val="24"/>
                <w:szCs w:val="24"/>
                <w:color w:val="auto"/>
              </w:rPr>
            </w:pPr>
          </w:p>
        </w:tc>
        <w:tc>
          <w:tcPr>
            <w:tcW w:w="80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74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ectPr>
          <w:pgSz w:w="11900" w:h="16838" w:orient="portrait"/>
          <w:cols w:equalWidth="0" w:num="1">
            <w:col w:w="11460"/>
          </w:cols>
          <w:pgMar w:left="240" w:top="125" w:right="19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Twelve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2013</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December 31, 2013</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180" w:type="dxa"/>
            <w:vAlign w:val="bottom"/>
          </w:tcPr>
          <w:p>
            <w:pPr>
              <w:spacing w:after="0"/>
              <w:rPr>
                <w:sz w:val="10"/>
                <w:szCs w:val="10"/>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 xml:space="preserve">PAGP </w:t>
            </w:r>
            <w:r>
              <w:rPr>
                <w:rFonts w:ascii="Arial" w:cs="Arial" w:eastAsia="Arial" w:hAnsi="Arial"/>
                <w:sz w:val="8"/>
                <w:szCs w:val="8"/>
                <w:b w:val="1"/>
                <w:bCs w:val="1"/>
                <w:color w:val="auto"/>
              </w:rPr>
              <w:t>(2)</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PAA</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xml:space="preserve">PAGP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1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 xml:space="preserve">Adjustments </w:t>
            </w:r>
            <w:r>
              <w:rPr>
                <w:rFonts w:ascii="Arial" w:cs="Arial" w:eastAsia="Arial" w:hAnsi="Arial"/>
                <w:sz w:val="8"/>
                <w:szCs w:val="8"/>
                <w:b w:val="1"/>
                <w:bCs w:val="1"/>
                <w:color w:val="auto"/>
                <w:w w:val="95"/>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Purchases and related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9,731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38,465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10,237</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b w:val="1"/>
                <w:bCs w:val="1"/>
                <w:color w:val="auto"/>
              </w:rPr>
              <w:t>OTHER INCOME/(EXPENSE)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Current income tax expense</w:t>
            </w: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ind w:left="160"/>
              <w:spacing w:after="0" w:line="201" w:lineRule="exact"/>
              <w:rPr>
                <w:sz w:val="20"/>
                <w:szCs w:val="20"/>
                <w:color w:val="auto"/>
              </w:rPr>
            </w:pPr>
            <w:r>
              <w:rPr>
                <w:rFonts w:ascii="Arial" w:cs="Arial" w:eastAsia="Arial" w:hAnsi="Arial"/>
                <w:sz w:val="18"/>
                <w:szCs w:val="18"/>
                <w:color w:val="auto"/>
              </w:rPr>
              <w:t>Net income attributable to noncontrolling</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(284)</w:t>
            </w: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(1,329)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w:t>
            </w: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3540" w:type="dxa"/>
            <w:vAlign w:val="bottom"/>
            <w:vMerge w:val="continue"/>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vMerge w:val="restart"/>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(297)</w:t>
            </w: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5"/>
                <w:szCs w:val="15"/>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1,361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(1,346)</w:t>
            </w: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PAGP</w:t>
            </w:r>
          </w:p>
        </w:tc>
        <w:tc>
          <w:tcPr>
            <w:tcW w:w="2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BASIC NET INCOME PER CLASS A</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line="221" w:lineRule="exact"/>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23"/>
                <w:szCs w:val="23"/>
                <w:b w:val="1"/>
                <w:bCs w:val="1"/>
                <w:color w:val="auto"/>
                <w:vertAlign w:val="superscript"/>
              </w:rPr>
              <w:t>(3)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NET INCOME PER</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line="221" w:lineRule="exact"/>
              <w:rPr>
                <w:sz w:val="20"/>
                <w:szCs w:val="20"/>
                <w:color w:val="auto"/>
              </w:rPr>
            </w:pPr>
            <w:r>
              <w:rPr>
                <w:rFonts w:ascii="Arial" w:cs="Arial" w:eastAsia="Arial" w:hAnsi="Arial"/>
                <w:sz w:val="18"/>
                <w:szCs w:val="18"/>
                <w:b w:val="1"/>
                <w:bCs w:val="1"/>
                <w:color w:val="auto"/>
              </w:rPr>
              <w:t xml:space="preserve">CLASS A SHARE </w:t>
            </w:r>
            <w:r>
              <w:rPr>
                <w:rFonts w:ascii="Arial" w:cs="Arial" w:eastAsia="Arial" w:hAnsi="Arial"/>
                <w:sz w:val="23"/>
                <w:szCs w:val="23"/>
                <w:b w:val="1"/>
                <w:bCs w:val="1"/>
                <w:color w:val="auto"/>
                <w:vertAlign w:val="superscript"/>
              </w:rPr>
              <w:t>(3)</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BASIC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(3)</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40" w:type="dxa"/>
            <w:vAlign w:val="bottom"/>
            <w:shd w:val="clear" w:color="auto" w:fill="CCEEFF"/>
          </w:tcPr>
          <w:p>
            <w:pPr>
              <w:ind w:left="160"/>
              <w:spacing w:after="0" w:line="198" w:lineRule="exact"/>
              <w:rPr>
                <w:sz w:val="20"/>
                <w:szCs w:val="20"/>
                <w:color w:val="auto"/>
              </w:rPr>
            </w:pPr>
            <w:r>
              <w:rPr>
                <w:rFonts w:ascii="Arial" w:cs="Arial" w:eastAsia="Arial" w:hAnsi="Arial"/>
                <w:sz w:val="18"/>
                <w:szCs w:val="18"/>
                <w:b w:val="1"/>
                <w:bCs w:val="1"/>
                <w:color w:val="auto"/>
              </w:rPr>
              <w:t>DILUTED WEIGHTED AVERAGE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line="181" w:lineRule="exact"/>
              <w:rPr>
                <w:sz w:val="20"/>
                <w:szCs w:val="20"/>
                <w:color w:val="auto"/>
              </w:rPr>
            </w:pPr>
            <w:r>
              <w:rPr>
                <w:rFonts w:ascii="Arial" w:cs="Arial" w:eastAsia="Arial" w:hAnsi="Arial"/>
                <w:sz w:val="18"/>
                <w:szCs w:val="18"/>
                <w:b w:val="1"/>
                <w:bCs w:val="1"/>
                <w:color w:val="auto"/>
              </w:rPr>
              <w:t>CLASS A SHARES OUTSTANDING</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2"/>
                <w:szCs w:val="12"/>
                <w:b w:val="1"/>
                <w:bCs w:val="1"/>
                <w:color w:val="auto"/>
              </w:rPr>
              <w:t>(3)</w:t>
            </w: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77"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Represents the aggregate consolidating adjustments necessary to produce consolidated financial statements for PAGP.</w:t>
      </w:r>
    </w:p>
    <w:p>
      <w:pPr>
        <w:spacing w:after="0" w:line="1" w:lineRule="exact"/>
        <w:rPr>
          <w:rFonts w:ascii="Arial" w:cs="Arial" w:eastAsia="Arial" w:hAnsi="Arial"/>
          <w:sz w:val="23"/>
          <w:szCs w:val="23"/>
          <w:color w:val="auto"/>
          <w:vertAlign w:val="superscript"/>
        </w:rPr>
      </w:pPr>
    </w:p>
    <w:p>
      <w:pPr>
        <w:ind w:left="340" w:right="320" w:hanging="332"/>
        <w:spacing w:after="0" w:line="219"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results attributable to PAGP from October 21, 2013 (the date of closing PAGP’s IPO) through December 31, 2013, plus results for Plains All American GP LLC, the predecessor entity to PAGP, prior to October 21, 2013.</w:t>
      </w:r>
    </w:p>
    <w:p>
      <w:pPr>
        <w:ind w:left="320" w:hanging="312"/>
        <w:spacing w:after="0" w:line="196" w:lineRule="auto"/>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Attributable to post-IPO period, October 21, 2013 through December 31,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CONDENSED CONSOLIDATING BALANCE SHEET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2013</w:t>
            </w: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4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PAA</w:t>
            </w: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Consolidating</w:t>
            </w:r>
          </w:p>
        </w:tc>
        <w:tc>
          <w:tcPr>
            <w:tcW w:w="280" w:type="dxa"/>
            <w:vAlign w:val="bottom"/>
          </w:tcPr>
          <w:p>
            <w:pPr>
              <w:spacing w:after="0"/>
              <w:rPr>
                <w:sz w:val="10"/>
                <w:szCs w:val="10"/>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PAGP</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 xml:space="preserve">Adjustments </w:t>
            </w:r>
            <w:r>
              <w:rPr>
                <w:rFonts w:ascii="Arial" w:cs="Arial" w:eastAsia="Arial" w:hAnsi="Arial"/>
                <w:sz w:val="8"/>
                <w:szCs w:val="8"/>
                <w:b w:val="1"/>
                <w:bCs w:val="1"/>
                <w:color w:val="auto"/>
                <w:w w:val="93"/>
              </w:rPr>
              <w:t>(1)</w:t>
            </w: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4,964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10,819</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10,841</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Goodwill</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2,503</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Linefill and base gas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Long-term inventory</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540</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1,070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86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20,360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4" w:right="23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Current liabilities</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5,411</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 of unamortized discount</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6,710</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Long-term debt under credit facilities and other</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531</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12,657</w:t>
            </w:r>
          </w:p>
        </w:tc>
        <w:tc>
          <w:tcPr>
            <w:tcW w:w="3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Partners’ capital excluding noncontrolling interests</w:t>
            </w:r>
          </w:p>
        </w:tc>
        <w:tc>
          <w:tcPr>
            <w:tcW w:w="4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7,644</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(6,609)</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partners’ capital</w:t>
            </w: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w:t>
            </w:r>
          </w:p>
        </w:tc>
        <w:tc>
          <w:tcPr>
            <w:tcW w:w="3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20,360</w:t>
            </w:r>
          </w:p>
        </w:tc>
        <w:tc>
          <w:tcPr>
            <w:tcW w:w="3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2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400"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Represents the aggregate consolidating adjustments necessary to produce consolidated financial statements for PAGP.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46"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DISTRIBUTION SUMMARY </w:t>
      </w:r>
      <w:r>
        <w:rPr>
          <w:rFonts w:ascii="Arial" w:cs="Arial" w:eastAsia="Arial" w:hAnsi="Arial"/>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Q4 2013 PAGP DISTRIBUTION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unit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xml:space="preserve">Q4 2013 </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PAA Distribution/LP Unit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GP Distribution/LP Unit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0.29730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Distribution/LP Unit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0.91230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PAA LP Units Outstanding at 1/31/14</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GP Distribution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line="216" w:lineRule="exact"/>
              <w:rPr>
                <w:sz w:val="20"/>
                <w:szCs w:val="20"/>
                <w:color w:val="auto"/>
              </w:rPr>
            </w:pPr>
            <w:r>
              <w:rPr>
                <w:rFonts w:ascii="Arial" w:cs="Arial" w:eastAsia="Arial" w:hAnsi="Arial"/>
                <w:sz w:val="18"/>
                <w:szCs w:val="18"/>
                <w:color w:val="auto"/>
              </w:rPr>
              <w:t xml:space="preserve">Less: IDR Reduction </w:t>
            </w:r>
            <w:r>
              <w:rPr>
                <w:rFonts w:ascii="Arial" w:cs="Arial" w:eastAsia="Arial" w:hAnsi="Arial"/>
                <w:sz w:val="23"/>
                <w:szCs w:val="23"/>
                <w:color w:val="auto"/>
                <w:vertAlign w:val="superscript"/>
              </w:rPr>
              <w:t>(2)</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Distribution from PAA to AAP</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Less: Debt Service</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G&amp;A Expense</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Plus: Cash Balance</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Available for Distribution by AAP</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AAP Partners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 period from 10/01/13 to 10/20/13: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(100% economic interest)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For period from 10/21/13 to 12/31/13:</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AAP Owners &amp; AAP Management (79.4% economic interest)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PAGP (20.6% economic interest)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distributions to AAP Partners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Distribution to PAGP Investors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PAGP Class A Shares Outstanding at 1/31/14</w:t>
            </w: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Borders>
              <w:bottom w:val="single" w:sz="8" w:color="CCEEFF"/>
            </w:tcBorders>
            <w:shd w:val="clear" w:color="auto" w:fill="CCEEFF"/>
          </w:tcPr>
          <w:p>
            <w:pPr>
              <w:spacing w:after="0" w:line="210" w:lineRule="exact"/>
              <w:rPr>
                <w:sz w:val="20"/>
                <w:szCs w:val="20"/>
                <w:color w:val="auto"/>
              </w:rPr>
            </w:pPr>
            <w:r>
              <w:rPr>
                <w:rFonts w:ascii="Arial" w:cs="Arial" w:eastAsia="Arial" w:hAnsi="Arial"/>
                <w:sz w:val="18"/>
                <w:szCs w:val="18"/>
                <w:color w:val="auto"/>
              </w:rPr>
              <w:t xml:space="preserve">PAGP Distribution/Class A Share </w:t>
            </w:r>
            <w:r>
              <w:rPr>
                <w:rFonts w:ascii="Arial" w:cs="Arial" w:eastAsia="Arial" w:hAnsi="Arial"/>
                <w:sz w:val="23"/>
                <w:szCs w:val="23"/>
                <w:color w:val="auto"/>
                <w:vertAlign w:val="superscript"/>
              </w:rPr>
              <w:t>(3)</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0.12505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PAGP Distribution/Class A Share (non-prorated) </w:t>
            </w:r>
            <w:r>
              <w:rPr>
                <w:rFonts w:ascii="Arial" w:cs="Arial" w:eastAsia="Arial" w:hAnsi="Arial"/>
                <w:sz w:val="23"/>
                <w:szCs w:val="23"/>
                <w:color w:val="auto"/>
                <w:vertAlign w:val="superscript"/>
              </w:rPr>
              <w:t>(4)</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9960" w:type="dxa"/>
            <w:vAlign w:val="bottom"/>
            <w:gridSpan w:val="2"/>
            <w:vMerge w:val="continue"/>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0.15979</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95" w:lineRule="exact"/>
        <w:rPr>
          <w:sz w:val="20"/>
          <w:szCs w:val="20"/>
          <w:color w:val="auto"/>
        </w:rPr>
      </w:pPr>
    </w:p>
    <w:p>
      <w:pPr>
        <w:ind w:left="220" w:hanging="212"/>
        <w:spacing w:after="0"/>
        <w:tabs>
          <w:tab w:leader="none" w:pos="2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Amounts may not recalculate due to rounding.</w:t>
      </w:r>
    </w:p>
    <w:p>
      <w:pPr>
        <w:spacing w:after="0" w:line="1" w:lineRule="exact"/>
        <w:rPr>
          <w:rFonts w:ascii="Arial" w:cs="Arial" w:eastAsia="Arial" w:hAnsi="Arial"/>
          <w:sz w:val="23"/>
          <w:szCs w:val="23"/>
          <w:color w:val="auto"/>
          <w:vertAlign w:val="superscript"/>
        </w:rPr>
      </w:pPr>
    </w:p>
    <w:p>
      <w:pPr>
        <w:ind w:left="240" w:right="80" w:hanging="232"/>
        <w:spacing w:after="0" w:line="219" w:lineRule="auto"/>
        <w:tabs>
          <w:tab w:leader="none" w:pos="22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Includes reductions associated with the BP NGL Acquisition and PNG Merger. The reduction associated with the BP NGL Acquisition will reduce to $2.5 million per quarter from $3.75 million per quarter beginning with the May 2014 distribution.</w:t>
      </w:r>
    </w:p>
    <w:p>
      <w:pPr>
        <w:ind w:left="220" w:hanging="212"/>
        <w:spacing w:after="0" w:line="196" w:lineRule="auto"/>
        <w:tabs>
          <w:tab w:leader="none" w:pos="22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Distribution prorated for the portion of the period following the closing of PAGP’s IPO on October 21, 2013.</w:t>
      </w:r>
    </w:p>
    <w:p>
      <w:pPr>
        <w:spacing w:after="0" w:line="1" w:lineRule="exact"/>
        <w:rPr>
          <w:rFonts w:ascii="Arial" w:cs="Arial" w:eastAsia="Arial" w:hAnsi="Arial"/>
          <w:sz w:val="23"/>
          <w:szCs w:val="23"/>
          <w:color w:val="auto"/>
          <w:vertAlign w:val="superscript"/>
        </w:rPr>
      </w:pPr>
    </w:p>
    <w:p>
      <w:pPr>
        <w:ind w:left="240" w:right="440" w:hanging="232"/>
        <w:spacing w:after="0" w:line="219" w:lineRule="auto"/>
        <w:tabs>
          <w:tab w:leader="none" w:pos="224"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Reflects a full fourth quarter distribution per Class A share (before proration), assuming PAGP’s current ownership interest in AAP for the full fourth quarter of 2013.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more –</w:t>
      </w:r>
    </w:p>
    <w:p>
      <w:pPr>
        <w:spacing w:after="0" w:line="32" w:lineRule="exact"/>
        <w:rPr>
          <w:sz w:val="20"/>
          <w:szCs w:val="20"/>
          <w:color w:val="auto"/>
        </w:rPr>
      </w:pPr>
    </w:p>
    <w:p>
      <w:pPr>
        <w:ind w:left="2300"/>
        <w:spacing w:after="0"/>
        <w:tabs>
          <w:tab w:leader="none" w:pos="4800" w:val="left"/>
          <w:tab w:leader="none" w:pos="6920" w:val="left"/>
        </w:tabs>
        <w:rPr>
          <w:sz w:val="20"/>
          <w:szCs w:val="20"/>
          <w:color w:val="auto"/>
        </w:rPr>
      </w:pPr>
      <w:r>
        <w:rPr>
          <w:rFonts w:ascii="Arial" w:cs="Arial" w:eastAsia="Arial" w:hAnsi="Arial"/>
          <w:sz w:val="18"/>
          <w:szCs w:val="18"/>
          <w:b w:val="1"/>
          <w:bCs w:val="1"/>
          <w:color w:val="auto"/>
        </w:rPr>
        <w:t>333 Clay Street, Suite 1600</w:t>
      </w:r>
      <w:r>
        <w:rPr>
          <w:sz w:val="20"/>
          <w:szCs w:val="20"/>
          <w:color w:val="auto"/>
        </w:rPr>
        <w:tab/>
      </w:r>
      <w:r>
        <w:rPr>
          <w:rFonts w:ascii="Arial" w:cs="Arial" w:eastAsia="Arial" w:hAnsi="Arial"/>
          <w:sz w:val="18"/>
          <w:szCs w:val="18"/>
          <w:b w:val="1"/>
          <w:bCs w:val="1"/>
          <w:color w:val="auto"/>
        </w:rPr>
        <w:t>Houston, Texas 77002</w:t>
      </w:r>
      <w:r>
        <w:rPr>
          <w:sz w:val="20"/>
          <w:szCs w:val="20"/>
          <w:color w:val="auto"/>
        </w:rPr>
        <w:tab/>
      </w:r>
      <w:r>
        <w:rPr>
          <w:rFonts w:ascii="Arial" w:cs="Arial" w:eastAsia="Arial" w:hAnsi="Arial"/>
          <w:sz w:val="16"/>
          <w:szCs w:val="16"/>
          <w:b w:val="1"/>
          <w:bCs w:val="1"/>
          <w:color w:val="auto"/>
        </w:rPr>
        <w:t>713-646-4100 / 800-564-3036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 18</w:t>
      </w:r>
    </w:p>
    <w:p>
      <w:pPr>
        <w:sectPr>
          <w:pgSz w:w="11900" w:h="16838" w:orient="portrait"/>
          <w:cols w:equalWidth="0" w:num="1">
            <w:col w:w="11420"/>
          </w:cols>
          <w:pgMar w:left="240" w:top="356"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PLAINS GP HOLDINGS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4820"/>
        <w:spacing w:after="0" w:line="282" w:lineRule="auto"/>
        <w:rPr>
          <w:sz w:val="20"/>
          <w:szCs w:val="20"/>
          <w:color w:val="auto"/>
        </w:rPr>
      </w:pPr>
      <w:r>
        <w:rPr>
          <w:rFonts w:ascii="Arial" w:cs="Arial" w:eastAsia="Arial" w:hAnsi="Arial"/>
          <w:sz w:val="18"/>
          <w:szCs w:val="18"/>
          <w:b w:val="1"/>
          <w:bCs w:val="1"/>
          <w:u w:val="single" w:color="auto"/>
          <w:color w:val="auto"/>
        </w:rPr>
        <w:t xml:space="preserve">COMPUTATION OF BASIC AND DILUTED NET INCOME PER CLASS A SHARE </w:t>
      </w:r>
      <w:r>
        <w:rPr>
          <w:rFonts w:ascii="Arial" w:cs="Arial" w:eastAsia="Arial" w:hAnsi="Arial"/>
          <w:sz w:val="18"/>
          <w:szCs w:val="18"/>
          <w:color w:val="auto"/>
        </w:rPr>
        <w:t>(in millions, except per share data)</w:t>
      </w:r>
    </w:p>
    <w:p>
      <w:pPr>
        <w:sectPr>
          <w:pgSz w:w="11900" w:h="16838" w:orient="portrait"/>
          <w:cols w:equalWidth="0" w:num="1">
            <w:col w:w="11460"/>
          </w:cols>
          <w:pgMar w:left="240" w:top="121" w:right="19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attributable to PAGP</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Less net income attributable to PAGP for the period from January 1, 2013 to October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income attributable to PAGP for the period from October 21, 2013 to December 31, 2013</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Basic and diluted weighted average number of Class A shares outstanding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Basic and diluted net income per Class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wp:posOffset>
            </wp:positionV>
            <wp:extent cx="18268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October 21, 2013</w:t>
            </w:r>
          </w:p>
        </w:tc>
      </w:tr>
      <w:tr>
        <w:trPr>
          <w:trHeight w:val="171"/>
        </w:trPr>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 December 31, 2013</w:t>
            </w:r>
          </w:p>
        </w:tc>
        <w:tc>
          <w:tcPr>
            <w:tcW w:w="60" w:type="dxa"/>
            <w:vAlign w:val="bottom"/>
          </w:tcPr>
          <w:p>
            <w:pPr>
              <w:spacing w:after="0"/>
              <w:rPr>
                <w:sz w:val="14"/>
                <w:szCs w:val="14"/>
                <w:color w:val="auto"/>
              </w:rPr>
            </w:pPr>
          </w:p>
        </w:tc>
      </w:tr>
      <w:tr>
        <w:trPr>
          <w:trHeight w:val="398"/>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195"/>
        </w:trPr>
        <w:tc>
          <w:tcPr>
            <w:tcW w:w="20" w:type="dxa"/>
            <w:vAlign w:val="bottom"/>
          </w:tcPr>
          <w:p>
            <w:pPr>
              <w:spacing w:after="0"/>
              <w:rPr>
                <w:sz w:val="16"/>
                <w:szCs w:val="16"/>
                <w:color w:val="auto"/>
              </w:rPr>
            </w:pPr>
          </w:p>
        </w:tc>
        <w:tc>
          <w:tcPr>
            <w:tcW w:w="200" w:type="dxa"/>
            <w:vAlign w:val="bottom"/>
            <w:tcBorders>
              <w:top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w:t>
            </w: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20"/>
                <w:szCs w:val="20"/>
                <w:color w:val="auto"/>
              </w:rPr>
            </w:pPr>
          </w:p>
        </w:tc>
      </w:tr>
      <w:tr>
        <w:trPr>
          <w:trHeight w:val="432"/>
        </w:trPr>
        <w:tc>
          <w:tcPr>
            <w:tcW w:w="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60" w:space="720"/>
            <w:col w:w="2180"/>
          </w:cols>
          <w:pgMar w:left="240" w:top="121" w:right="199" w:bottom="1440" w:gutter="0" w:footer="0" w:header="0"/>
          <w:type w:val="continuous"/>
        </w:sectPr>
      </w:pPr>
    </w:p>
    <w:p>
      <w:pPr>
        <w:spacing w:after="0" w:line="231" w:lineRule="exact"/>
        <w:rPr>
          <w:sz w:val="20"/>
          <w:szCs w:val="20"/>
          <w:color w:val="auto"/>
        </w:rPr>
      </w:pPr>
    </w:p>
    <w:p>
      <w:pPr>
        <w:ind w:left="240" w:right="80" w:hanging="232"/>
        <w:spacing w:after="0" w:line="234" w:lineRule="auto"/>
        <w:tabs>
          <w:tab w:leader="none" w:pos="224"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Basic weighted average number of Class A shares outstanding is weighted for the period following the closing of our IPO. Approximately 128 million Class A shares were issued upon closing of our IPO with approximately 4 million additional Class A shares issued through the exercise in October 2013 of an over-allotment option. Subsequent conversions of AAP units were immaterial.</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auto"/>
              </w:rPr>
              <w:t>Contacts:</w:t>
            </w:r>
          </w:p>
        </w:tc>
        <w:tc>
          <w:tcPr>
            <w:tcW w:w="23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rPr>
              <w:t>Roy I. Lamoreaux</w:t>
            </w:r>
          </w:p>
        </w:tc>
        <w:tc>
          <w:tcPr>
            <w:tcW w:w="2300" w:type="dxa"/>
            <w:vAlign w:val="bottom"/>
          </w:tcPr>
          <w:p>
            <w:pPr>
              <w:ind w:left="1400"/>
              <w:spacing w:after="0"/>
              <w:rPr>
                <w:sz w:val="20"/>
                <w:szCs w:val="20"/>
                <w:color w:val="auto"/>
              </w:rPr>
            </w:pPr>
            <w:r>
              <w:rPr>
                <w:rFonts w:ascii="Arial" w:cs="Arial" w:eastAsia="Arial" w:hAnsi="Arial"/>
                <w:sz w:val="18"/>
                <w:szCs w:val="18"/>
                <w:color w:val="auto"/>
                <w:w w:val="92"/>
              </w:rPr>
              <w:t>Al Swanson</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Director, Investor Relations</w:t>
            </w:r>
          </w:p>
        </w:tc>
        <w:tc>
          <w:tcPr>
            <w:tcW w:w="6820" w:type="dxa"/>
            <w:vAlign w:val="bottom"/>
            <w:gridSpan w:val="2"/>
          </w:tcPr>
          <w:p>
            <w:pPr>
              <w:ind w:left="1400"/>
              <w:spacing w:after="0"/>
              <w:rPr>
                <w:sz w:val="20"/>
                <w:szCs w:val="20"/>
                <w:color w:val="auto"/>
              </w:rPr>
            </w:pPr>
            <w:r>
              <w:rPr>
                <w:rFonts w:ascii="Arial" w:cs="Arial" w:eastAsia="Arial" w:hAnsi="Arial"/>
                <w:sz w:val="18"/>
                <w:szCs w:val="18"/>
                <w:color w:val="auto"/>
              </w:rPr>
              <w:t>Executive Vice President, CFO</w:t>
            </w:r>
          </w:p>
        </w:tc>
        <w:tc>
          <w:tcPr>
            <w:tcW w:w="40" w:type="dxa"/>
            <w:vAlign w:val="bottom"/>
          </w:tcPr>
          <w:p>
            <w:pPr>
              <w:spacing w:after="0"/>
              <w:rPr>
                <w:sz w:val="24"/>
                <w:szCs w:val="24"/>
                <w:color w:val="auto"/>
              </w:rPr>
            </w:pPr>
          </w:p>
        </w:tc>
      </w:tr>
      <w:tr>
        <w:trPr>
          <w:trHeight w:val="432"/>
        </w:trPr>
        <w:tc>
          <w:tcPr>
            <w:tcW w:w="4600" w:type="dxa"/>
            <w:vAlign w:val="bottom"/>
            <w:gridSpan w:val="2"/>
          </w:tcPr>
          <w:p>
            <w:pPr>
              <w:spacing w:after="0"/>
              <w:rPr>
                <w:sz w:val="20"/>
                <w:szCs w:val="20"/>
                <w:color w:val="auto"/>
              </w:rPr>
            </w:pPr>
            <w:r>
              <w:rPr>
                <w:rFonts w:ascii="Arial" w:cs="Arial" w:eastAsia="Arial" w:hAnsi="Arial"/>
                <w:sz w:val="18"/>
                <w:szCs w:val="18"/>
                <w:color w:val="auto"/>
              </w:rPr>
              <w:t>(866) 809-1291</w:t>
            </w:r>
          </w:p>
        </w:tc>
        <w:tc>
          <w:tcPr>
            <w:tcW w:w="6820" w:type="dxa"/>
            <w:vAlign w:val="bottom"/>
            <w:gridSpan w:val="2"/>
          </w:tcPr>
          <w:p>
            <w:pPr>
              <w:ind w:left="1400"/>
              <w:spacing w:after="0"/>
              <w:rPr>
                <w:sz w:val="20"/>
                <w:szCs w:val="20"/>
                <w:color w:val="auto"/>
              </w:rPr>
            </w:pPr>
            <w:r>
              <w:rPr>
                <w:rFonts w:ascii="Arial" w:cs="Arial" w:eastAsia="Arial" w:hAnsi="Arial"/>
                <w:sz w:val="18"/>
                <w:szCs w:val="18"/>
                <w:color w:val="auto"/>
              </w:rPr>
              <w:t>(800) 564-3036</w:t>
            </w:r>
          </w:p>
        </w:tc>
        <w:tc>
          <w:tcPr>
            <w:tcW w:w="40" w:type="dxa"/>
            <w:vAlign w:val="bottom"/>
          </w:tcPr>
          <w:p>
            <w:pPr>
              <w:spacing w:after="0"/>
              <w:rPr>
                <w:sz w:val="24"/>
                <w:szCs w:val="24"/>
                <w:color w:val="auto"/>
              </w:rPr>
            </w:pPr>
          </w:p>
        </w:tc>
      </w:tr>
      <w:tr>
        <w:trPr>
          <w:trHeight w:val="432"/>
        </w:trPr>
        <w:tc>
          <w:tcPr>
            <w:tcW w:w="6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00" w:type="dxa"/>
            <w:vAlign w:val="bottom"/>
          </w:tcPr>
          <w:p>
            <w:pPr>
              <w:jc w:val="right"/>
              <w:ind w:right="970"/>
              <w:spacing w:after="0"/>
              <w:rPr>
                <w:sz w:val="20"/>
                <w:szCs w:val="20"/>
                <w:color w:val="auto"/>
              </w:rPr>
            </w:pPr>
            <w:r>
              <w:rPr>
                <w:rFonts w:ascii="Arial" w:cs="Arial" w:eastAsia="Arial" w:hAnsi="Arial"/>
                <w:sz w:val="18"/>
                <w:szCs w:val="18"/>
                <w:color w:val="auto"/>
              </w:rPr>
              <w:t>###</w:t>
            </w:r>
          </w:p>
        </w:tc>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28"/>
        </w:trPr>
        <w:tc>
          <w:tcPr>
            <w:tcW w:w="640" w:type="dxa"/>
            <w:vAlign w:val="bottom"/>
          </w:tcPr>
          <w:p>
            <w:pPr>
              <w:spacing w:after="0"/>
              <w:rPr>
                <w:sz w:val="19"/>
                <w:szCs w:val="19"/>
                <w:color w:val="auto"/>
              </w:rPr>
            </w:pPr>
          </w:p>
        </w:tc>
        <w:tc>
          <w:tcPr>
            <w:tcW w:w="3960" w:type="dxa"/>
            <w:vAlign w:val="bottom"/>
          </w:tcPr>
          <w:p>
            <w:pPr>
              <w:ind w:left="1660"/>
              <w:spacing w:after="0"/>
              <w:rPr>
                <w:sz w:val="20"/>
                <w:szCs w:val="20"/>
                <w:color w:val="auto"/>
              </w:rPr>
            </w:pPr>
            <w:r>
              <w:rPr>
                <w:rFonts w:ascii="Arial" w:cs="Arial" w:eastAsia="Arial" w:hAnsi="Arial"/>
                <w:sz w:val="18"/>
                <w:szCs w:val="18"/>
                <w:b w:val="1"/>
                <w:bCs w:val="1"/>
                <w:color w:val="auto"/>
                <w:w w:val="99"/>
              </w:rPr>
              <w:t>333 Clay Street, Suite 1600</w:t>
            </w:r>
          </w:p>
        </w:tc>
        <w:tc>
          <w:tcPr>
            <w:tcW w:w="2300" w:type="dxa"/>
            <w:vAlign w:val="bottom"/>
          </w:tcPr>
          <w:p>
            <w:pPr>
              <w:ind w:left="220"/>
              <w:spacing w:after="0"/>
              <w:rPr>
                <w:sz w:val="20"/>
                <w:szCs w:val="20"/>
                <w:color w:val="auto"/>
              </w:rPr>
            </w:pPr>
            <w:r>
              <w:rPr>
                <w:rFonts w:ascii="Arial" w:cs="Arial" w:eastAsia="Arial" w:hAnsi="Arial"/>
                <w:sz w:val="18"/>
                <w:szCs w:val="18"/>
                <w:b w:val="1"/>
                <w:bCs w:val="1"/>
                <w:color w:val="auto"/>
              </w:rPr>
              <w:t>Houston, Texas 77002</w:t>
            </w:r>
          </w:p>
        </w:tc>
        <w:tc>
          <w:tcPr>
            <w:tcW w:w="4520" w:type="dxa"/>
            <w:vAlign w:val="bottom"/>
          </w:tcPr>
          <w:p>
            <w:pPr>
              <w:jc w:val="right"/>
              <w:ind w:right="2210"/>
              <w:spacing w:after="0"/>
              <w:rPr>
                <w:sz w:val="20"/>
                <w:szCs w:val="20"/>
                <w:color w:val="auto"/>
              </w:rPr>
            </w:pPr>
            <w:r>
              <w:rPr>
                <w:rFonts w:ascii="Arial" w:cs="Arial" w:eastAsia="Arial" w:hAnsi="Arial"/>
                <w:sz w:val="18"/>
                <w:szCs w:val="18"/>
                <w:b w:val="1"/>
                <w:bCs w:val="1"/>
                <w:color w:val="auto"/>
                <w:w w:val="91"/>
              </w:rPr>
              <w:t>713-646-4100 / 800-564-3036</w:t>
            </w:r>
          </w:p>
        </w:tc>
        <w:tc>
          <w:tcPr>
            <w:tcW w:w="40" w:type="dxa"/>
            <w:vAlign w:val="bottom"/>
          </w:tcPr>
          <w:p>
            <w:pPr>
              <w:spacing w:after="0"/>
              <w:rPr>
                <w:sz w:val="19"/>
                <w:szCs w:val="19"/>
                <w:color w:val="auto"/>
              </w:rPr>
            </w:pPr>
          </w:p>
        </w:tc>
      </w:tr>
      <w:tr>
        <w:trPr>
          <w:trHeight w:val="330"/>
        </w:trPr>
        <w:tc>
          <w:tcPr>
            <w:tcW w:w="640" w:type="dxa"/>
            <w:vAlign w:val="bottom"/>
            <w:tcBorders>
              <w:bottom w:val="single" w:sz="8" w:color="010101"/>
            </w:tcBorders>
          </w:tcPr>
          <w:p>
            <w:pPr>
              <w:spacing w:after="0"/>
              <w:rPr>
                <w:sz w:val="24"/>
                <w:szCs w:val="24"/>
                <w:color w:val="auto"/>
              </w:rPr>
            </w:pPr>
          </w:p>
        </w:tc>
        <w:tc>
          <w:tcPr>
            <w:tcW w:w="396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lowerRoman"/>
      <w:start w:val="4"/>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2020-01-25T21:38:56Z</dcterms:created>
  <dcterms:modified xsi:type="dcterms:W3CDTF">2020-01-25T21:38:56Z</dcterms:modified>
</cp:coreProperties>
</file>