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9, 2006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2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DELAWARE</w:t>
            </w:r>
          </w:p>
        </w:tc>
        <w:tc>
          <w:tcPr>
            <w:tcW w:w="5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1-14569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76-0582150</w:t>
            </w:r>
          </w:p>
        </w:tc>
      </w:tr>
      <w:tr>
        <w:trPr>
          <w:trHeight w:val="216"/>
        </w:trPr>
        <w:tc>
          <w:tcPr>
            <w:tcW w:w="230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jc w:val="center"/>
              <w:ind w:right="130"/>
              <w:spacing w:after="0"/>
              <w:rPr>
                <w:sz w:val="20"/>
                <w:szCs w:val="20"/>
                <w:color w:val="auto"/>
              </w:rPr>
            </w:pPr>
            <w:r>
              <w:rPr>
                <w:rFonts w:ascii="Arial" w:cs="Arial" w:eastAsia="Arial" w:hAnsi="Arial"/>
                <w:sz w:val="18"/>
                <w:szCs w:val="18"/>
                <w:color w:val="auto"/>
                <w:w w:val="94"/>
              </w:rPr>
              <w:t>incorporation)</w:t>
            </w:r>
          </w:p>
        </w:tc>
        <w:tc>
          <w:tcPr>
            <w:tcW w:w="5400" w:type="dxa"/>
            <w:vAlign w:val="bottom"/>
          </w:tcPr>
          <w:p>
            <w:pPr>
              <w:spacing w:after="0"/>
              <w:rPr>
                <w:sz w:val="20"/>
                <w:szCs w:val="20"/>
                <w:color w:val="auto"/>
              </w:rPr>
            </w:pP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300" w:type="dxa"/>
            <w:vAlign w:val="bottom"/>
          </w:tcPr>
          <w:p>
            <w:pPr>
              <w:spacing w:after="0"/>
              <w:rPr>
                <w:sz w:val="24"/>
                <w:szCs w:val="24"/>
                <w:color w:val="auto"/>
              </w:rPr>
            </w:pPr>
          </w:p>
        </w:tc>
        <w:tc>
          <w:tcPr>
            <w:tcW w:w="5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333 Clay Street, Suite 1600, Houston, Texas 77002</w:t>
            </w:r>
          </w:p>
        </w:tc>
        <w:tc>
          <w:tcPr>
            <w:tcW w:w="176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540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713-646-4100</w:t>
            </w:r>
          </w:p>
        </w:tc>
        <w:tc>
          <w:tcPr>
            <w:tcW w:w="176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Purchase Agreement. </w:t>
      </w:r>
      <w:r>
        <w:rPr>
          <w:rFonts w:ascii="Arial" w:cs="Arial" w:eastAsia="Arial" w:hAnsi="Arial"/>
          <w:sz w:val="17"/>
          <w:szCs w:val="17"/>
          <w:color w:val="auto"/>
        </w:rPr>
        <w:t>On May 9, 2006, Plains All American Pipeline, L.P. (the “Partnership”), PAA Finance Corp. (“PAA Finance” and together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the “Issuers”) and certain subsidiary guarantors, entered into a Purchase Agreement (the “Purchase Agreement”) with Citigroup Global Markets Inc. and UBS Securities LLC, each acting on behalf of itself and acting together as the representatives of BNP Paribas Securities Corp., Banc of America Securities LLC, Fortis Securities LLC, J.P. Morgan Securities Inc., Piper Jaffray &amp; Co., Wachovia Capital Markets, LLC, Amegy Bank National Association, Commerzbank Capital Markets Corp., DnB NOR Markets, Inc., HSBC Securities (USA) Inc. and Mitsubishi UFJ Securities International plc (collectively, the “Initial Purchasers”), to sell $250 million aggregate principal amount of 6.70% Senior Notes due 2036 (the “Notes”) in accordance with a private placement conducted pursuant to Rule 144A under the Securities Act of 1933, as amended (the “Offering”). The Notes were issued at 99.819% of the face amount and pursuant to the Purchase Agreement the Issuers agreed to sell the Notes to the Initial Purchasers at a purchase price of 98.944% of the principal amount thereof. The material terms of the Notes are described below in Item 2.03.</w:t>
      </w:r>
    </w:p>
    <w:p>
      <w:pPr>
        <w:spacing w:after="0" w:line="182" w:lineRule="exact"/>
        <w:rPr>
          <w:sz w:val="24"/>
          <w:szCs w:val="24"/>
          <w:color w:val="auto"/>
        </w:rPr>
      </w:pPr>
    </w:p>
    <w:p>
      <w:pPr>
        <w:jc w:val="both"/>
        <w:ind w:right="80" w:firstLine="648"/>
        <w:spacing w:after="0" w:line="259" w:lineRule="auto"/>
        <w:rPr>
          <w:sz w:val="20"/>
          <w:szCs w:val="20"/>
          <w:color w:val="auto"/>
        </w:rPr>
      </w:pPr>
      <w:r>
        <w:rPr>
          <w:rFonts w:ascii="Arial" w:cs="Arial" w:eastAsia="Arial" w:hAnsi="Arial"/>
          <w:sz w:val="18"/>
          <w:szCs w:val="18"/>
          <w:i w:val="1"/>
          <w:iCs w:val="1"/>
          <w:color w:val="auto"/>
        </w:rPr>
        <w:t xml:space="preserve">Sixth Supplemental Indenture. </w:t>
      </w:r>
      <w:r>
        <w:rPr>
          <w:rFonts w:ascii="Arial" w:cs="Arial" w:eastAsia="Arial" w:hAnsi="Arial"/>
          <w:sz w:val="18"/>
          <w:szCs w:val="18"/>
          <w:color w:val="auto"/>
        </w:rPr>
        <w:t>On May 12, 2006, the Issuers and certain subsidiary guarantors entered into a Sixth Supplemental Indenture, dated as</w:t>
      </w:r>
      <w:r>
        <w:rPr>
          <w:rFonts w:ascii="Arial" w:cs="Arial" w:eastAsia="Arial" w:hAnsi="Arial"/>
          <w:sz w:val="18"/>
          <w:szCs w:val="18"/>
          <w:i w:val="1"/>
          <w:iCs w:val="1"/>
          <w:color w:val="auto"/>
        </w:rPr>
        <w:t xml:space="preserve"> </w:t>
      </w:r>
      <w:r>
        <w:rPr>
          <w:rFonts w:ascii="Arial" w:cs="Arial" w:eastAsia="Arial" w:hAnsi="Arial"/>
          <w:sz w:val="18"/>
          <w:szCs w:val="18"/>
          <w:color w:val="auto"/>
        </w:rPr>
        <w:t>of May 12, 2006 (the “Supplemental Indenture”), to the Indenture, dated as of September 25, 2002 (the “Original Indenture,” together with the Supplemental Indenture, the “Indenture”), with Wachovia Bank, National Association, as Trustee. The material terms of the Notes issued under the Supplemental Indenture are described below in Item 2.03.</w:t>
      </w:r>
    </w:p>
    <w:p>
      <w:pPr>
        <w:spacing w:after="0" w:line="187" w:lineRule="exact"/>
        <w:rPr>
          <w:sz w:val="24"/>
          <w:szCs w:val="24"/>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Registration Rights Agreement. </w:t>
      </w:r>
      <w:r>
        <w:rPr>
          <w:rFonts w:ascii="Arial" w:cs="Arial" w:eastAsia="Arial" w:hAnsi="Arial"/>
          <w:sz w:val="18"/>
          <w:szCs w:val="18"/>
          <w:color w:val="auto"/>
        </w:rPr>
        <w:t>On May 12, 2006, the Issuers and certain subsidiary guarantors entered into an Exchange and Registration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the Initial Purchasers providing the holders of the Notes certain rights relating to registration of the Notes under the Securities Act. The material terms of the exchange offer are described below in Item 2.03.</w:t>
      </w:r>
    </w:p>
    <w:p>
      <w:pPr>
        <w:spacing w:after="0" w:line="181" w:lineRule="exact"/>
        <w:rPr>
          <w:sz w:val="24"/>
          <w:szCs w:val="24"/>
          <w:color w:val="auto"/>
        </w:rPr>
      </w:pPr>
    </w:p>
    <w:p>
      <w:pPr>
        <w:ind w:right="100" w:firstLine="648"/>
        <w:spacing w:after="0" w:line="288" w:lineRule="auto"/>
        <w:rPr>
          <w:sz w:val="20"/>
          <w:szCs w:val="20"/>
          <w:color w:val="auto"/>
        </w:rPr>
      </w:pPr>
      <w:r>
        <w:rPr>
          <w:rFonts w:ascii="Arial" w:cs="Arial" w:eastAsia="Arial" w:hAnsi="Arial"/>
          <w:sz w:val="16"/>
          <w:szCs w:val="16"/>
          <w:i w:val="1"/>
          <w:iCs w:val="1"/>
          <w:color w:val="auto"/>
        </w:rPr>
        <w:t xml:space="preserve">Seventh Supplemental Indenture. </w:t>
      </w:r>
      <w:r>
        <w:rPr>
          <w:rFonts w:ascii="Arial" w:cs="Arial" w:eastAsia="Arial" w:hAnsi="Arial"/>
          <w:sz w:val="16"/>
          <w:szCs w:val="16"/>
          <w:color w:val="auto"/>
        </w:rPr>
        <w:t>On May 12, 2006, the Issuers and Plains LPG Services GP LLC, Plains LPG Services, L.P. and Lone Star</w:t>
      </w:r>
      <w:r>
        <w:rPr>
          <w:rFonts w:ascii="Arial" w:cs="Arial" w:eastAsia="Arial" w:hAnsi="Arial"/>
          <w:sz w:val="16"/>
          <w:szCs w:val="16"/>
          <w:i w:val="1"/>
          <w:iCs w:val="1"/>
          <w:color w:val="auto"/>
        </w:rPr>
        <w:t xml:space="preserve"> </w:t>
      </w:r>
      <w:r>
        <w:rPr>
          <w:rFonts w:ascii="Arial" w:cs="Arial" w:eastAsia="Arial" w:hAnsi="Arial"/>
          <w:sz w:val="16"/>
          <w:szCs w:val="16"/>
          <w:color w:val="auto"/>
        </w:rPr>
        <w:t>Trucking, LLC (collectively, the “Additional Subsidiary Guarantors”) entered into a Seventh Supplemental Indenture, dated as of May 12, 2006, to the Original Indenture with Wachovia Bank, National Association, as Trustee, pursuant to which the Additional Subsidiary Guarantors agreed to unconditionally</w:t>
      </w:r>
    </w:p>
    <w:p>
      <w:pPr>
        <w:ind w:right="440"/>
        <w:spacing w:after="0" w:line="211" w:lineRule="auto"/>
        <w:rPr>
          <w:sz w:val="20"/>
          <w:szCs w:val="20"/>
          <w:color w:val="auto"/>
        </w:rPr>
      </w:pPr>
      <w:r>
        <w:rPr>
          <w:rFonts w:ascii="Arial" w:cs="Arial" w:eastAsia="Arial" w:hAnsi="Arial"/>
          <w:sz w:val="18"/>
          <w:szCs w:val="18"/>
          <w:color w:val="auto"/>
        </w:rPr>
        <w:t>guarantee all of the Issuers’ obligations under their 7¾% Senior Notes due 2012, 5</w:t>
      </w:r>
      <w:r>
        <w:rPr>
          <w:rFonts w:ascii="Arial" w:cs="Arial" w:eastAsia="Arial" w:hAnsi="Arial"/>
          <w:sz w:val="30"/>
          <w:szCs w:val="30"/>
          <w:color w:val="auto"/>
          <w:vertAlign w:val="superscript"/>
        </w:rPr>
        <w:t>5</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Notes due 2013, 4.750% Senior Notes due 2009, 5.875% Senior Notes due 2016 and 5.25% Senior Notes due 2015.</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ectPr>
          <w:pgSz w:w="11900" w:h="16838" w:orient="portrait"/>
          <w:cols w:equalWidth="0" w:num="1">
            <w:col w:w="11420"/>
          </w:cols>
          <w:pgMar w:left="240" w:top="585" w:right="239" w:bottom="0" w:gutter="0" w:footer="0" w:header="0"/>
        </w:sectPr>
      </w:pPr>
    </w:p>
    <w:bookmarkStart w:id="1" w:name="page2"/>
    <w:bookmarkEnd w:id="1"/>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is incorporated herein by reference.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12, 2006 the Issuers offered and sold to the Initial Purchasers $250 million aggregate principal amount of 6.70% Notes due 2036.</w:t>
      </w:r>
    </w:p>
    <w:p>
      <w:pPr>
        <w:spacing w:after="0" w:line="23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Notes will be general senior unsecured obligations of the Issuers and will rank equally with the existing and future senior unsecured indebtedness of the Issuers. Initially, all payments with respect to the Notes (including principal and interest) will be fully and unconditionally guaranteed, jointly and severally, by substantially all of the Issuer’s existing subsidiaries. In the future, the subsidiaries that guarantee other indebtedness of the Issuer or another subsidiary must also guarantee the Notes. The guarantees are also subject to release in certain circumstances. The guarantees are general unsecured obligations of the subsidiary guarantors and rank equally with the existing and future senior unsecured indebtedness of the subsidiary guarantors.</w:t>
      </w:r>
    </w:p>
    <w:p>
      <w:pPr>
        <w:spacing w:after="0" w:line="158"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Interest on the Notes will accrue from May 12, 2006 and will be payable semi-annually in arrears on May 15 and November 15 of each year, commencing November 15, 2006. Interest will be payable to the holders of record at the close of business on the May 1 and November 1 preceding such interest payment dates. Interest will be computed on the basis of a 360-day year consisting of twelve 30-day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Issuers may redeem the Notes, in whole or in part, at any time and from time to time at a price equal to the greater of (i) 100% of the principal amount of the Notes to be redeemed or (ii) the sum of the present values of the remaining scheduled payments of principal of and interest on the Notes to be redeemed, discounted to the redemption date on a semi-annual basis at the adjusted treasury rate plus 25 basis points, together with accrued interest to the date of redemption.</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Indenture contains covenants that limit the Issuers and their subsidiaries from creating liens on its or their principal properties to secure debt and from engaging in certain sale-leaseback transactions. The indenture also limits the Issuers’ ability to engage in certain mergers, consolidations and sales of properties or assets.</w:t>
      </w:r>
    </w:p>
    <w:p>
      <w:pPr>
        <w:spacing w:after="0" w:line="18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Upon a continuing event of default, the trustee or the holders of 25% principal amount of the then-outstanding Notes may declare all the Notes immediately due and payable, except that a default resulting from the Issuers’ entry into a bankruptcy, insolvency or reorganization will automatically cause all outstanding Notes to become due and payable. Each of the following shall constitute an event of default under the Indenture with respect to the Notes:</w:t>
      </w:r>
    </w:p>
    <w:p>
      <w:pPr>
        <w:spacing w:after="0" w:line="151" w:lineRule="exact"/>
        <w:rPr>
          <w:sz w:val="20"/>
          <w:szCs w:val="20"/>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18"/>
          <w:szCs w:val="18"/>
          <w:color w:val="auto"/>
        </w:rPr>
        <w:t>default for 60 days in the payment when due of interest on any note;</w:t>
      </w:r>
    </w:p>
    <w:p>
      <w:pPr>
        <w:spacing w:after="0" w:line="228" w:lineRule="exact"/>
        <w:rPr>
          <w:rFonts w:ascii="Arial" w:cs="Arial" w:eastAsia="Arial" w:hAnsi="Arial"/>
          <w:sz w:val="22"/>
          <w:szCs w:val="22"/>
          <w:color w:val="auto"/>
        </w:rPr>
      </w:pPr>
    </w:p>
    <w:p>
      <w:pPr>
        <w:ind w:left="980" w:right="80" w:hanging="324"/>
        <w:spacing w:after="0" w:line="285" w:lineRule="auto"/>
        <w:tabs>
          <w:tab w:leader="none" w:pos="975" w:val="left"/>
        </w:tabs>
        <w:numPr>
          <w:ilvl w:val="0"/>
          <w:numId w:val="1"/>
        </w:numPr>
        <w:rPr>
          <w:rFonts w:ascii="Arial" w:cs="Arial" w:eastAsia="Arial" w:hAnsi="Arial"/>
          <w:sz w:val="19"/>
          <w:szCs w:val="19"/>
          <w:color w:val="auto"/>
        </w:rPr>
      </w:pPr>
      <w:r>
        <w:rPr>
          <w:rFonts w:ascii="Arial" w:cs="Arial" w:eastAsia="Arial" w:hAnsi="Arial"/>
          <w:sz w:val="16"/>
          <w:szCs w:val="16"/>
          <w:color w:val="auto"/>
        </w:rPr>
        <w:t>failure by the Issuers or, so long as the Notes are guaranteed by a subsidiary guarantor, by such subsidiary guarantor, for 30 days after receipt of notice from the trustee or the holders to comply with any other term, covenant or warranty in the Indenture or the Notes (provided that notice need not be given, and an Event of Default will occur, 30 days after any breach of the covenants described in the Indenture);</w:t>
      </w:r>
    </w:p>
    <w:p>
      <w:pPr>
        <w:spacing w:after="0" w:line="194" w:lineRule="exact"/>
        <w:rPr>
          <w:rFonts w:ascii="Arial" w:cs="Arial" w:eastAsia="Arial" w:hAnsi="Arial"/>
          <w:sz w:val="19"/>
          <w:szCs w:val="19"/>
          <w:color w:val="auto"/>
        </w:rPr>
      </w:pPr>
    </w:p>
    <w:p>
      <w:pPr>
        <w:jc w:val="both"/>
        <w:ind w:left="980" w:right="140" w:hanging="324"/>
        <w:spacing w:after="0" w:line="271" w:lineRule="auto"/>
        <w:tabs>
          <w:tab w:leader="none" w:pos="975" w:val="left"/>
        </w:tabs>
        <w:numPr>
          <w:ilvl w:val="0"/>
          <w:numId w:val="1"/>
        </w:numPr>
        <w:rPr>
          <w:rFonts w:ascii="Arial" w:cs="Arial" w:eastAsia="Arial" w:hAnsi="Arial"/>
          <w:sz w:val="19"/>
          <w:szCs w:val="19"/>
          <w:color w:val="auto"/>
        </w:rPr>
      </w:pPr>
      <w:r>
        <w:rPr>
          <w:rFonts w:ascii="Arial" w:cs="Arial" w:eastAsia="Arial" w:hAnsi="Arial"/>
          <w:sz w:val="16"/>
          <w:szCs w:val="16"/>
          <w:color w:val="auto"/>
        </w:rPr>
        <w:t>default under any mortgage, indenture or instrument under which there may be issued or by which there may be secured or evidenced any debt for money borrowed of the Issuers or any of the subsidiaries of Plains All American Pipeline (or the payment of which is guaranteed by Plains All American Pipeline or any of its subsidiaries), whether such debt or guarantee now exists or is created after the Issue Date, if (a) that default</w:t>
      </w:r>
    </w:p>
    <w:p>
      <w:pPr>
        <w:ind w:left="980" w:right="60"/>
        <w:spacing w:after="0" w:line="268" w:lineRule="auto"/>
        <w:rPr>
          <w:rFonts w:ascii="Arial" w:cs="Arial" w:eastAsia="Arial" w:hAnsi="Arial"/>
          <w:sz w:val="19"/>
          <w:szCs w:val="19"/>
          <w:color w:val="auto"/>
        </w:rPr>
      </w:pPr>
      <w:r>
        <w:rPr>
          <w:rFonts w:ascii="Arial" w:cs="Arial" w:eastAsia="Arial" w:hAnsi="Arial"/>
          <w:sz w:val="17"/>
          <w:szCs w:val="17"/>
          <w:color w:val="auto"/>
        </w:rPr>
        <w:t>(x)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211" w:lineRule="exact"/>
        <w:rPr>
          <w:rFonts w:ascii="Arial" w:cs="Arial" w:eastAsia="Arial" w:hAnsi="Arial"/>
          <w:sz w:val="19"/>
          <w:szCs w:val="19"/>
          <w:color w:val="auto"/>
        </w:rPr>
      </w:pPr>
    </w:p>
    <w:p>
      <w:pPr>
        <w:ind w:left="980" w:right="160" w:hanging="324"/>
        <w:spacing w:after="0" w:line="232" w:lineRule="auto"/>
        <w:tabs>
          <w:tab w:leader="none" w:pos="975" w:val="left"/>
        </w:tabs>
        <w:numPr>
          <w:ilvl w:val="0"/>
          <w:numId w:val="1"/>
        </w:numPr>
        <w:rPr>
          <w:rFonts w:ascii="Arial" w:cs="Arial" w:eastAsia="Arial" w:hAnsi="Arial"/>
          <w:sz w:val="22"/>
          <w:szCs w:val="22"/>
          <w:color w:val="auto"/>
        </w:rPr>
      </w:pPr>
      <w:r>
        <w:rPr>
          <w:rFonts w:ascii="Arial" w:cs="Arial" w:eastAsia="Arial" w:hAnsi="Arial"/>
          <w:sz w:val="18"/>
          <w:szCs w:val="18"/>
          <w:color w:val="auto"/>
        </w:rPr>
        <w:t>specified events in bankruptcy, insolvency or reorganization of the Issuers or, so long as the Notes are guaranteed by a subsidiary guarantor, by such subsidiary guarantor;</w:t>
      </w:r>
    </w:p>
    <w:p>
      <w:pPr>
        <w:spacing w:after="0" w:line="208"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 long as the Notes are guaranteed by a subsidiary guarantor:</w:t>
      </w:r>
    </w:p>
    <w:p>
      <w:pPr>
        <w:spacing w:after="0" w:line="194"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the guarantee by such subsidiary guarantor ceases to be in full force and effect, except as otherwise provided in the Indenture;</w:t>
      </w:r>
    </w:p>
    <w:p>
      <w:pPr>
        <w:spacing w:after="0" w:line="206"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the guarantee by such subsidiary guarantor is declared null and void in a judicial proceeding; or</w:t>
      </w:r>
    </w:p>
    <w:p>
      <w:pPr>
        <w:spacing w:after="0" w:line="218"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18"/>
          <w:szCs w:val="18"/>
          <w:color w:val="auto"/>
        </w:rPr>
        <w:t>such subsidiary guarantor denies or disaffirms its obligations under the Indenture or its guarantee.</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Notes have not been registered under the Securities Act and may not be offered or sold in the United States absent registration or an applicable exemption from the registration requirements of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terms of the Exchange and Registration Rights Agreement described in Item 1.01 above requires the Issuers to register under the Securities Act exchange notes (and related guarantees) having substantially identical terms as the Notes (and related guarantees), and to complete offers to exchange such exchange notes for the Notes. If an exchange offer cannot be effected, the Issuers have agreed to file and keep effective a shelf registration statement for resale of the Notes. Failure of the Issuers to comply with the registration and exchange requirements set forth in the Exchange and Registration Rights Agreement will require the Issuers to pay additional interest semi-annually, over and above the state interest rate, on the Notes in an amount not to exceed a rate of 0.50% per year.</w:t>
      </w:r>
    </w:p>
    <w:p>
      <w:pPr>
        <w:sectPr>
          <w:pgSz w:w="11900" w:h="16906" w:orient="portrait"/>
          <w:cols w:equalWidth="0" w:num="1">
            <w:col w:w="11420"/>
          </w:cols>
          <w:pgMar w:left="240" w:top="125"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In accordance with General Instruction B.2 of Form 8-K, the information presented herein under Item 7.01 shall not be deemed “filed” for purposes of Section 18 of the Securities Exchange Act of 1934, as amended, nor shall it be deemed incorporated by </w:t>
      </w:r>
      <w:r>
        <w:rPr>
          <w:rFonts w:ascii="Arial" w:cs="Arial" w:eastAsia="Arial" w:hAnsi="Arial"/>
          <w:sz w:val="17"/>
          <w:szCs w:val="17"/>
          <w:color w:val="auto"/>
        </w:rPr>
        <w:t>reference</w:t>
      </w:r>
      <w:r>
        <w:rPr>
          <w:rFonts w:ascii="Arial" w:cs="Arial" w:eastAsia="Arial" w:hAnsi="Arial"/>
          <w:sz w:val="18"/>
          <w:szCs w:val="18"/>
          <w:color w:val="auto"/>
        </w:rPr>
        <w:t xml:space="preserve"> in any filing under the Securities Act of 1933, as amended, except as expressly set forth by specific reference in such a filing.</w:t>
      </w:r>
    </w:p>
    <w:p>
      <w:pPr>
        <w:spacing w:after="0" w:line="181" w:lineRule="exact"/>
        <w:rPr>
          <w:sz w:val="20"/>
          <w:szCs w:val="20"/>
          <w:color w:val="auto"/>
        </w:rPr>
      </w:pPr>
    </w:p>
    <w:p>
      <w:pPr>
        <w:ind w:right="400" w:firstLine="648"/>
        <w:spacing w:after="0" w:line="27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May 12, 2006, the Partnership issued a press release announcing that it has completed the Offering. The Partnership is furnishing a copy of such</w:t>
      </w:r>
      <w:r>
        <w:rPr>
          <w:rFonts w:ascii="Arial" w:cs="Arial" w:eastAsia="Arial" w:hAnsi="Arial"/>
          <w:sz w:val="18"/>
          <w:szCs w:val="18"/>
          <w:color w:val="auto"/>
        </w:rPr>
        <w:t xml:space="preserve"> </w:t>
      </w:r>
      <w:r>
        <w:rPr>
          <w:rFonts w:ascii="Arial" w:cs="Arial" w:eastAsia="Arial" w:hAnsi="Arial"/>
          <w:sz w:val="17"/>
          <w:szCs w:val="17"/>
          <w:color w:val="auto"/>
        </w:rPr>
        <w:t>press release as Exhibit 99.1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(d) Exhibits.</w:t>
            </w:r>
          </w:p>
        </w:tc>
        <w:tc>
          <w:tcPr>
            <w:tcW w:w="9560" w:type="dxa"/>
            <w:vAlign w:val="bottom"/>
          </w:tcPr>
          <w:p>
            <w:pPr>
              <w:spacing w:after="0"/>
              <w:rPr>
                <w:sz w:val="20"/>
                <w:szCs w:val="20"/>
                <w:color w:val="auto"/>
              </w:rPr>
            </w:pPr>
          </w:p>
        </w:tc>
      </w:tr>
      <w:tr>
        <w:trPr>
          <w:trHeight w:val="418"/>
        </w:trPr>
        <w:tc>
          <w:tcPr>
            <w:tcW w:w="1880" w:type="dxa"/>
            <w:vAlign w:val="bottom"/>
          </w:tcPr>
          <w:p>
            <w:pPr>
              <w:ind w:left="660"/>
              <w:spacing w:after="0"/>
              <w:rPr>
                <w:sz w:val="20"/>
                <w:szCs w:val="20"/>
                <w:color w:val="auto"/>
              </w:rPr>
            </w:pPr>
            <w:r>
              <w:rPr>
                <w:rFonts w:ascii="Arial" w:cs="Arial" w:eastAsia="Arial" w:hAnsi="Arial"/>
                <w:sz w:val="18"/>
                <w:szCs w:val="18"/>
                <w:color w:val="auto"/>
              </w:rPr>
              <w:t>Exhibit 4.1</w:t>
            </w:r>
          </w:p>
        </w:tc>
        <w:tc>
          <w:tcPr>
            <w:tcW w:w="9560" w:type="dxa"/>
            <w:vAlign w:val="bottom"/>
          </w:tcPr>
          <w:p>
            <w:pPr>
              <w:ind w:left="320"/>
              <w:spacing w:after="0"/>
              <w:rPr>
                <w:sz w:val="20"/>
                <w:szCs w:val="20"/>
                <w:color w:val="auto"/>
              </w:rPr>
            </w:pPr>
            <w:r>
              <w:rPr>
                <w:rFonts w:ascii="Arial" w:cs="Arial" w:eastAsia="Arial" w:hAnsi="Arial"/>
                <w:sz w:val="18"/>
                <w:szCs w:val="18"/>
                <w:color w:val="auto"/>
                <w:w w:val="95"/>
              </w:rPr>
              <w:t>Sixth Supplemental Indenture, dated as of May 12, 2006, to Indenture, dated as of September 25, 2002, among Plains All</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7"/>
              </w:rPr>
              <w:t>American Pipeline, L.P., PAA Finance Corp. and subsidiary guarantors signatory thereto and Wachovia Bank, National</w:t>
            </w:r>
          </w:p>
        </w:tc>
      </w:tr>
      <w:tr>
        <w:trPr>
          <w:trHeight w:val="230"/>
        </w:trPr>
        <w:tc>
          <w:tcPr>
            <w:tcW w:w="188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Association, as trustee.</w:t>
            </w:r>
          </w:p>
        </w:tc>
      </w:tr>
      <w:tr>
        <w:trPr>
          <w:trHeight w:val="424"/>
        </w:trPr>
        <w:tc>
          <w:tcPr>
            <w:tcW w:w="1880" w:type="dxa"/>
            <w:vAlign w:val="bottom"/>
          </w:tcPr>
          <w:p>
            <w:pPr>
              <w:ind w:left="660"/>
              <w:spacing w:after="0"/>
              <w:rPr>
                <w:sz w:val="20"/>
                <w:szCs w:val="20"/>
                <w:color w:val="auto"/>
              </w:rPr>
            </w:pPr>
            <w:r>
              <w:rPr>
                <w:rFonts w:ascii="Arial" w:cs="Arial" w:eastAsia="Arial" w:hAnsi="Arial"/>
                <w:sz w:val="18"/>
                <w:szCs w:val="18"/>
                <w:color w:val="auto"/>
              </w:rPr>
              <w:t>Exhibit 4.2</w:t>
            </w:r>
          </w:p>
        </w:tc>
        <w:tc>
          <w:tcPr>
            <w:tcW w:w="9560" w:type="dxa"/>
            <w:vAlign w:val="bottom"/>
          </w:tcPr>
          <w:p>
            <w:pPr>
              <w:ind w:left="320"/>
              <w:spacing w:after="0"/>
              <w:rPr>
                <w:sz w:val="20"/>
                <w:szCs w:val="20"/>
                <w:color w:val="auto"/>
              </w:rPr>
            </w:pPr>
            <w:r>
              <w:rPr>
                <w:rFonts w:ascii="Arial" w:cs="Arial" w:eastAsia="Arial" w:hAnsi="Arial"/>
                <w:sz w:val="18"/>
                <w:szCs w:val="18"/>
                <w:color w:val="auto"/>
              </w:rPr>
              <w:t xml:space="preserve">Exchange and Registration </w:t>
            </w:r>
            <w:r>
              <w:rPr>
                <w:rFonts w:ascii="Arial" w:cs="Arial" w:eastAsia="Arial" w:hAnsi="Arial"/>
                <w:sz w:val="17"/>
                <w:szCs w:val="17"/>
                <w:color w:val="auto"/>
              </w:rPr>
              <w:t>Rights Agreement, dated as of May 12, 2006, among Plains All American Pipeline, L.P., PAA</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5"/>
              </w:rPr>
              <w:t>Finance Corp. Plains Marketing, L.P., Plains Pipeline, L.P., Plains Marketing GP Inc., Plains Marketing Canada LLC, PMC</w:t>
            </w:r>
          </w:p>
        </w:tc>
      </w:tr>
      <w:tr>
        <w:trPr>
          <w:trHeight w:val="210"/>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6"/>
              </w:rPr>
              <w:t>(Nova Scotia) Company, Plains Marketing Canada, L.P., Basin Holdings GP LLC, Basin Pipeline Holdings, L.P., Rancho</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7"/>
              </w:rPr>
              <w:t>Holdings GP LLC, Rancho Pipeline Holdings, L.P., Plains LPG Services GP LLC, Plains LPG Services, L.P., Lone Star</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Trucking, LLC, Citigroup Global Markets Inc., UBS Securities LLC, BNP Paribas Securities Corp., Banc of America</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7"/>
              </w:rPr>
              <w:t>Securities LLC, Fortis Securities LLC, J.P. Morgan Securities Inc., Piper Jaffray &amp; Co., Wachovia Capital Markets, LLC,</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Amegy Bank National Association, Commerzbank Capital Markets Corp., DnB NOR Markets, Inc., HSBC Securities</w:t>
            </w:r>
          </w:p>
        </w:tc>
      </w:tr>
      <w:tr>
        <w:trPr>
          <w:trHeight w:val="230"/>
        </w:trPr>
        <w:tc>
          <w:tcPr>
            <w:tcW w:w="188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(USA) Inc. and Mitsubishi UFJ Securities International plc.</w:t>
            </w:r>
          </w:p>
        </w:tc>
      </w:tr>
      <w:tr>
        <w:trPr>
          <w:trHeight w:val="418"/>
        </w:trPr>
        <w:tc>
          <w:tcPr>
            <w:tcW w:w="1880" w:type="dxa"/>
            <w:vAlign w:val="bottom"/>
          </w:tcPr>
          <w:p>
            <w:pPr>
              <w:ind w:left="660"/>
              <w:spacing w:after="0"/>
              <w:rPr>
                <w:sz w:val="20"/>
                <w:szCs w:val="20"/>
                <w:color w:val="auto"/>
              </w:rPr>
            </w:pPr>
            <w:r>
              <w:rPr>
                <w:rFonts w:ascii="Arial" w:cs="Arial" w:eastAsia="Arial" w:hAnsi="Arial"/>
                <w:sz w:val="18"/>
                <w:szCs w:val="18"/>
                <w:color w:val="auto"/>
              </w:rPr>
              <w:t>Exhibit 4.3</w:t>
            </w:r>
          </w:p>
        </w:tc>
        <w:tc>
          <w:tcPr>
            <w:tcW w:w="9560" w:type="dxa"/>
            <w:vAlign w:val="bottom"/>
          </w:tcPr>
          <w:p>
            <w:pPr>
              <w:ind w:left="320"/>
              <w:spacing w:after="0"/>
              <w:rPr>
                <w:sz w:val="20"/>
                <w:szCs w:val="20"/>
                <w:color w:val="auto"/>
              </w:rPr>
            </w:pPr>
            <w:r>
              <w:rPr>
                <w:rFonts w:ascii="Arial" w:cs="Arial" w:eastAsia="Arial" w:hAnsi="Arial"/>
                <w:sz w:val="18"/>
                <w:szCs w:val="18"/>
                <w:color w:val="auto"/>
                <w:w w:val="95"/>
              </w:rPr>
              <w:t>Seventh Supplemental Indenture, dated as of May 12, 2006, to Indenture, dated as of September 25, 2002, among Plains</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6"/>
              </w:rPr>
              <w:t>All American Pipeline, L.P., PAA Finance Corp., Plains LPG Services GP LLC, Plains LPG Services, L.P. and Lone Star</w:t>
            </w:r>
          </w:p>
        </w:tc>
      </w:tr>
      <w:tr>
        <w:trPr>
          <w:trHeight w:val="230"/>
        </w:trPr>
        <w:tc>
          <w:tcPr>
            <w:tcW w:w="188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Trucking, LLC and Wachovia Bank, National Association, as trustee.</w:t>
            </w:r>
          </w:p>
        </w:tc>
      </w:tr>
      <w:tr>
        <w:trPr>
          <w:trHeight w:val="424"/>
        </w:trPr>
        <w:tc>
          <w:tcPr>
            <w:tcW w:w="1880" w:type="dxa"/>
            <w:vAlign w:val="bottom"/>
          </w:tcPr>
          <w:p>
            <w:pPr>
              <w:ind w:left="660"/>
              <w:spacing w:after="0"/>
              <w:rPr>
                <w:sz w:val="20"/>
                <w:szCs w:val="20"/>
                <w:color w:val="auto"/>
              </w:rPr>
            </w:pPr>
            <w:r>
              <w:rPr>
                <w:rFonts w:ascii="Arial" w:cs="Arial" w:eastAsia="Arial" w:hAnsi="Arial"/>
                <w:sz w:val="18"/>
                <w:szCs w:val="18"/>
                <w:color w:val="auto"/>
              </w:rPr>
              <w:t>Exhibit 10.1</w:t>
            </w:r>
          </w:p>
        </w:tc>
        <w:tc>
          <w:tcPr>
            <w:tcW w:w="9560" w:type="dxa"/>
            <w:vAlign w:val="bottom"/>
          </w:tcPr>
          <w:p>
            <w:pPr>
              <w:ind w:left="320"/>
              <w:spacing w:after="0"/>
              <w:rPr>
                <w:sz w:val="20"/>
                <w:szCs w:val="20"/>
                <w:color w:val="auto"/>
              </w:rPr>
            </w:pPr>
            <w:r>
              <w:rPr>
                <w:rFonts w:ascii="Arial" w:cs="Arial" w:eastAsia="Arial" w:hAnsi="Arial"/>
                <w:sz w:val="18"/>
                <w:szCs w:val="18"/>
                <w:color w:val="auto"/>
                <w:w w:val="98"/>
              </w:rPr>
              <w:t xml:space="preserve">Purchase Agreement, dated May 9, 2006 among </w:t>
            </w:r>
            <w:r>
              <w:rPr>
                <w:rFonts w:ascii="Arial" w:cs="Arial" w:eastAsia="Arial" w:hAnsi="Arial"/>
                <w:sz w:val="17"/>
                <w:szCs w:val="17"/>
                <w:color w:val="auto"/>
                <w:w w:val="98"/>
              </w:rPr>
              <w:t>Plains All American Pipeline, L.P., PAA Finance Corp., Plains AAP, L.P.,</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9"/>
              </w:rPr>
              <w:t>Plains All American GP LLC, Plains Marketing, L.P., Plains Pipeline, L.P., Plains Marketing GP Inc., Plains Marketing</w:t>
            </w:r>
          </w:p>
        </w:tc>
      </w:tr>
      <w:tr>
        <w:trPr>
          <w:trHeight w:val="210"/>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9"/>
              </w:rPr>
              <w:t>Canada LLC, PMC (Nova Scotia) Company, Plains Marketing Canada, L.P., Basin Holdings GP LLC, Basin Pipeline</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9"/>
              </w:rPr>
              <w:t>Holdings, L.P., Rancho Holdings GP LLC, Rancho Pipeline Holdings, L.P., Plains LPG Services GP LLC, Plains LPG</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9"/>
              </w:rPr>
              <w:t>Services, L.P., Lone Star Trucking, LLC, Citigroup Global Markets Inc., UBS Securities LLC, BNP Paribas Securities</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Corp., Banc of America Securities LLC, Fortis Securities LLC, J.P. Morgan Securities Inc., Piper Jaffray &amp; Co.,</w:t>
            </w:r>
          </w:p>
        </w:tc>
      </w:tr>
      <w:tr>
        <w:trPr>
          <w:trHeight w:val="216"/>
        </w:trPr>
        <w:tc>
          <w:tcPr>
            <w:tcW w:w="188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9"/>
              </w:rPr>
              <w:t>Wachovia Capital Markets, LLC, Amegy Bank National Association, Commerzbank Capital Markets Corp., DnB NOR</w:t>
            </w:r>
          </w:p>
        </w:tc>
      </w:tr>
      <w:tr>
        <w:trPr>
          <w:trHeight w:val="230"/>
        </w:trPr>
        <w:tc>
          <w:tcPr>
            <w:tcW w:w="188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Markets, Inc., HSBC Securities (USA) Inc. and Mitsubishi UFJ Securities International plc.</w:t>
            </w:r>
          </w:p>
        </w:tc>
      </w:tr>
      <w:tr>
        <w:trPr>
          <w:trHeight w:val="432"/>
        </w:trPr>
        <w:tc>
          <w:tcPr>
            <w:tcW w:w="1880" w:type="dxa"/>
            <w:vAlign w:val="bottom"/>
          </w:tcPr>
          <w:p>
            <w:pPr>
              <w:spacing w:after="0"/>
              <w:rPr>
                <w:sz w:val="24"/>
                <w:szCs w:val="24"/>
                <w:color w:val="auto"/>
              </w:rPr>
            </w:pPr>
          </w:p>
        </w:tc>
        <w:tc>
          <w:tcPr>
            <w:tcW w:w="9560" w:type="dxa"/>
            <w:vAlign w:val="bottom"/>
          </w:tcPr>
          <w:p>
            <w:pPr>
              <w:ind w:left="3780"/>
              <w:spacing w:after="0"/>
              <w:rPr>
                <w:sz w:val="20"/>
                <w:szCs w:val="20"/>
                <w:color w:val="auto"/>
              </w:rPr>
            </w:pPr>
            <w:r>
              <w:rPr>
                <w:rFonts w:ascii="Arial" w:cs="Arial" w:eastAsia="Arial" w:hAnsi="Arial"/>
                <w:sz w:val="18"/>
                <w:szCs w:val="18"/>
                <w:color w:val="auto"/>
              </w:rPr>
              <w:t>4</w:t>
            </w:r>
          </w:p>
        </w:tc>
      </w:tr>
      <w:tr>
        <w:trPr>
          <w:trHeight w:val="118"/>
        </w:trPr>
        <w:tc>
          <w:tcPr>
            <w:tcW w:w="1880" w:type="dxa"/>
            <w:vAlign w:val="bottom"/>
            <w:tcBorders>
              <w:bottom w:val="single" w:sz="8" w:color="808080"/>
            </w:tcBorders>
          </w:tcPr>
          <w:p>
            <w:pPr>
              <w:spacing w:after="0"/>
              <w:rPr>
                <w:sz w:val="10"/>
                <w:szCs w:val="10"/>
                <w:color w:val="auto"/>
              </w:rPr>
            </w:pPr>
          </w:p>
        </w:tc>
        <w:tc>
          <w:tcPr>
            <w:tcW w:w="9560" w:type="dxa"/>
            <w:vAlign w:val="bottom"/>
            <w:tcBorders>
              <w:bottom w:val="single" w:sz="8" w:color="808080"/>
            </w:tcBorders>
          </w:tcPr>
          <w:p>
            <w:pPr>
              <w:spacing w:after="0"/>
              <w:rPr>
                <w:sz w:val="10"/>
                <w:szCs w:val="10"/>
                <w:color w:val="auto"/>
              </w:rPr>
            </w:pPr>
          </w:p>
        </w:tc>
      </w:tr>
      <w:tr>
        <w:trPr>
          <w:trHeight w:val="780"/>
        </w:trPr>
        <w:tc>
          <w:tcPr>
            <w:tcW w:w="1880" w:type="dxa"/>
            <w:vAlign w:val="bottom"/>
          </w:tcPr>
          <w:p>
            <w:pPr>
              <w:ind w:left="660"/>
              <w:spacing w:after="0"/>
              <w:rPr>
                <w:sz w:val="20"/>
                <w:szCs w:val="20"/>
                <w:color w:val="auto"/>
              </w:rPr>
            </w:pPr>
            <w:r>
              <w:rPr>
                <w:rFonts w:ascii="Arial" w:cs="Arial" w:eastAsia="Arial" w:hAnsi="Arial"/>
                <w:sz w:val="18"/>
                <w:szCs w:val="18"/>
                <w:color w:val="auto"/>
              </w:rPr>
              <w:t>Exhibit 99.1</w:t>
            </w:r>
          </w:p>
        </w:tc>
        <w:tc>
          <w:tcPr>
            <w:tcW w:w="9560" w:type="dxa"/>
            <w:vAlign w:val="bottom"/>
          </w:tcPr>
          <w:p>
            <w:pPr>
              <w:ind w:left="320"/>
              <w:spacing w:after="0"/>
              <w:rPr>
                <w:sz w:val="20"/>
                <w:szCs w:val="20"/>
                <w:color w:val="auto"/>
              </w:rPr>
            </w:pPr>
            <w:r>
              <w:rPr>
                <w:rFonts w:ascii="Arial" w:cs="Arial" w:eastAsia="Arial" w:hAnsi="Arial"/>
                <w:sz w:val="18"/>
                <w:szCs w:val="18"/>
                <w:color w:val="auto"/>
              </w:rPr>
              <w:t>Press Release of Plains All American Pipeline, L.P. dated May 12, 2006.</w:t>
            </w:r>
          </w:p>
        </w:tc>
      </w:tr>
      <w:tr>
        <w:trPr>
          <w:trHeight w:val="432"/>
        </w:trPr>
        <w:tc>
          <w:tcPr>
            <w:tcW w:w="1880" w:type="dxa"/>
            <w:vAlign w:val="bottom"/>
          </w:tcPr>
          <w:p>
            <w:pPr>
              <w:spacing w:after="0"/>
              <w:rPr>
                <w:sz w:val="24"/>
                <w:szCs w:val="24"/>
                <w:color w:val="auto"/>
              </w:rPr>
            </w:pPr>
          </w:p>
        </w:tc>
        <w:tc>
          <w:tcPr>
            <w:tcW w:w="9560" w:type="dxa"/>
            <w:vAlign w:val="bottom"/>
          </w:tcPr>
          <w:p>
            <w:pPr>
              <w:ind w:left="3780"/>
              <w:spacing w:after="0"/>
              <w:rPr>
                <w:sz w:val="20"/>
                <w:szCs w:val="20"/>
                <w:color w:val="auto"/>
              </w:rPr>
            </w:pPr>
            <w:r>
              <w:rPr>
                <w:rFonts w:ascii="Arial" w:cs="Arial" w:eastAsia="Arial" w:hAnsi="Arial"/>
                <w:sz w:val="18"/>
                <w:szCs w:val="18"/>
                <w:color w:val="auto"/>
              </w:rPr>
              <w:t>5</w:t>
            </w:r>
          </w:p>
        </w:tc>
      </w:tr>
      <w:tr>
        <w:trPr>
          <w:trHeight w:val="118"/>
        </w:trPr>
        <w:tc>
          <w:tcPr>
            <w:tcW w:w="1880" w:type="dxa"/>
            <w:vAlign w:val="bottom"/>
            <w:tcBorders>
              <w:bottom w:val="single" w:sz="8" w:color="808080"/>
            </w:tcBorders>
          </w:tcPr>
          <w:p>
            <w:pPr>
              <w:spacing w:after="0"/>
              <w:rPr>
                <w:sz w:val="10"/>
                <w:szCs w:val="10"/>
                <w:color w:val="auto"/>
              </w:rPr>
            </w:pPr>
          </w:p>
        </w:tc>
        <w:tc>
          <w:tcPr>
            <w:tcW w:w="9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-871855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280"/>
        <w:spacing w:after="0"/>
        <w:tabs>
          <w:tab w:leader="none" w:pos="5740" w:val="left"/>
        </w:tabs>
        <w:rPr>
          <w:sz w:val="20"/>
          <w:szCs w:val="20"/>
          <w:color w:val="auto"/>
        </w:rPr>
      </w:pPr>
      <w:r>
        <w:rPr>
          <w:rFonts w:ascii="Arial" w:cs="Arial" w:eastAsia="Arial" w:hAnsi="Arial"/>
          <w:sz w:val="18"/>
          <w:szCs w:val="18"/>
          <w:color w:val="auto"/>
        </w:rPr>
        <w:t>By:</w:t>
        <w:tab/>
        <w:t>Plains AAP, L.P., its general partner</w:t>
      </w:r>
    </w:p>
    <w:p>
      <w:pPr>
        <w:spacing w:after="0" w:line="225"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00" w:type="dxa"/>
            <w:vAlign w:val="bottom"/>
          </w:tcPr>
          <w:p>
            <w:pPr>
              <w:spacing w:after="0"/>
              <w:rPr>
                <w:sz w:val="24"/>
                <w:szCs w:val="24"/>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By:</w:t>
            </w:r>
          </w:p>
        </w:tc>
        <w:tc>
          <w:tcPr>
            <w:tcW w:w="4600" w:type="dxa"/>
            <w:vAlign w:val="bottom"/>
          </w:tcPr>
          <w:p>
            <w:pPr>
              <w:ind w:left="20"/>
              <w:spacing w:after="0"/>
              <w:rPr>
                <w:sz w:val="20"/>
                <w:szCs w:val="20"/>
                <w:color w:val="auto"/>
              </w:rPr>
            </w:pPr>
            <w:r>
              <w:rPr>
                <w:rFonts w:ascii="Arial" w:cs="Arial" w:eastAsia="Arial" w:hAnsi="Arial"/>
                <w:sz w:val="18"/>
                <w:szCs w:val="18"/>
                <w:color w:val="auto"/>
              </w:rPr>
              <w:t>/s/ Tim Moore</w:t>
            </w:r>
          </w:p>
        </w:tc>
      </w:tr>
      <w:tr>
        <w:trPr>
          <w:trHeight w:val="195"/>
        </w:trPr>
        <w:tc>
          <w:tcPr>
            <w:tcW w:w="400" w:type="dxa"/>
            <w:vAlign w:val="bottom"/>
          </w:tcPr>
          <w:p>
            <w:pPr>
              <w:spacing w:after="0"/>
              <w:rPr>
                <w:sz w:val="16"/>
                <w:szCs w:val="16"/>
                <w:color w:val="auto"/>
              </w:rPr>
            </w:pPr>
          </w:p>
        </w:tc>
        <w:tc>
          <w:tcPr>
            <w:tcW w:w="580" w:type="dxa"/>
            <w:vAlign w:val="bottom"/>
          </w:tcPr>
          <w:p>
            <w:pPr>
              <w:ind w:left="160"/>
              <w:spacing w:after="0" w:line="195" w:lineRule="exact"/>
              <w:rPr>
                <w:sz w:val="20"/>
                <w:szCs w:val="20"/>
                <w:color w:val="auto"/>
              </w:rPr>
            </w:pPr>
            <w:r>
              <w:rPr>
                <w:rFonts w:ascii="Arial" w:cs="Arial" w:eastAsia="Arial" w:hAnsi="Arial"/>
                <w:sz w:val="18"/>
                <w:szCs w:val="18"/>
                <w:color w:val="auto"/>
                <w:w w:val="75"/>
              </w:rPr>
              <w:t>Name:</w:t>
            </w:r>
          </w:p>
        </w:tc>
        <w:tc>
          <w:tcPr>
            <w:tcW w:w="80" w:type="dxa"/>
            <w:vAlign w:val="bottom"/>
            <w:tcBorders>
              <w:top w:val="single" w:sz="8" w:color="auto"/>
            </w:tcBorders>
          </w:tcPr>
          <w:p>
            <w:pPr>
              <w:spacing w:after="0"/>
              <w:rPr>
                <w:sz w:val="16"/>
                <w:szCs w:val="16"/>
                <w:color w:val="auto"/>
              </w:rPr>
            </w:pPr>
          </w:p>
        </w:tc>
        <w:tc>
          <w:tcPr>
            <w:tcW w:w="4600" w:type="dxa"/>
            <w:vAlign w:val="bottom"/>
            <w:tcBorders>
              <w:top w:val="single" w:sz="8" w:color="auto"/>
            </w:tcBorders>
          </w:tcPr>
          <w:p>
            <w:pPr>
              <w:ind w:left="3920"/>
              <w:spacing w:after="0" w:line="195" w:lineRule="exact"/>
              <w:rPr>
                <w:sz w:val="20"/>
                <w:szCs w:val="20"/>
                <w:color w:val="auto"/>
              </w:rPr>
            </w:pPr>
            <w:r>
              <w:rPr>
                <w:rFonts w:ascii="Arial" w:cs="Arial" w:eastAsia="Arial" w:hAnsi="Arial"/>
                <w:sz w:val="18"/>
                <w:szCs w:val="18"/>
                <w:color w:val="auto"/>
              </w:rPr>
              <w:t>Tim</w:t>
            </w: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0" w:type="dxa"/>
            <w:vAlign w:val="bottom"/>
          </w:tcPr>
          <w:p>
            <w:pPr>
              <w:ind w:left="3920"/>
              <w:spacing w:after="0"/>
              <w:rPr>
                <w:sz w:val="20"/>
                <w:szCs w:val="20"/>
                <w:color w:val="auto"/>
              </w:rPr>
            </w:pPr>
            <w:r>
              <w:rPr>
                <w:rFonts w:ascii="Arial" w:cs="Arial" w:eastAsia="Arial" w:hAnsi="Arial"/>
                <w:sz w:val="18"/>
                <w:szCs w:val="18"/>
                <w:color w:val="auto"/>
              </w:rPr>
              <w:t>Moore</w:t>
            </w:r>
          </w:p>
        </w:tc>
      </w:tr>
      <w:tr>
        <w:trPr>
          <w:trHeight w:val="216"/>
        </w:trPr>
        <w:tc>
          <w:tcPr>
            <w:tcW w:w="4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4600" w:type="dxa"/>
            <w:vAlign w:val="bottom"/>
          </w:tcPr>
          <w:p>
            <w:pPr>
              <w:ind w:left="3920"/>
              <w:spacing w:after="0"/>
              <w:rPr>
                <w:sz w:val="20"/>
                <w:szCs w:val="20"/>
                <w:color w:val="auto"/>
              </w:rPr>
            </w:pPr>
            <w:r>
              <w:rPr>
                <w:rFonts w:ascii="Arial" w:cs="Arial" w:eastAsia="Arial" w:hAnsi="Arial"/>
                <w:sz w:val="18"/>
                <w:szCs w:val="18"/>
                <w:color w:val="auto"/>
              </w:rPr>
              <w:t>Vice</w:t>
            </w:r>
          </w:p>
        </w:tc>
      </w:tr>
      <w:tr>
        <w:trPr>
          <w:trHeight w:val="230"/>
        </w:trPr>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0" w:type="dxa"/>
            <w:vAlign w:val="bottom"/>
          </w:tcPr>
          <w:p>
            <w:pPr>
              <w:ind w:left="3920"/>
              <w:spacing w:after="0"/>
              <w:rPr>
                <w:sz w:val="20"/>
                <w:szCs w:val="20"/>
                <w:color w:val="auto"/>
              </w:rPr>
            </w:pPr>
            <w:r>
              <w:rPr>
                <w:rFonts w:ascii="Arial" w:cs="Arial" w:eastAsia="Arial" w:hAnsi="Arial"/>
                <w:sz w:val="18"/>
                <w:szCs w:val="18"/>
                <w:color w:val="auto"/>
                <w:w w:val="86"/>
              </w:rPr>
              <w:t>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12, 2006</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37" w:right="219" w:bottom="91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FINANCE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Issuers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SUBSIDIARY GUARANTORS NAMED HEREIN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Guarantors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A AND SERIES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6.70% SENIOR NOTES DUE 2036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WACHOVIA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TABLE OF CONTENTS</w:t>
            </w:r>
          </w:p>
        </w:tc>
        <w:tc>
          <w:tcPr>
            <w:tcW w:w="4800" w:type="dxa"/>
            <w:vAlign w:val="bottom"/>
          </w:tcPr>
          <w:p>
            <w:pPr>
              <w:spacing w:after="0"/>
              <w:rPr>
                <w:sz w:val="18"/>
                <w:szCs w:val="18"/>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ARTICLE I</w:t>
            </w:r>
          </w:p>
        </w:tc>
        <w:tc>
          <w:tcPr>
            <w:tcW w:w="3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Establishment</w:t>
            </w:r>
          </w:p>
        </w:tc>
        <w:tc>
          <w:tcPr>
            <w:tcW w:w="4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6620" w:type="dxa"/>
            <w:vAlign w:val="bottom"/>
            <w:gridSpan w:val="3"/>
          </w:tcPr>
          <w:p>
            <w:pPr>
              <w:spacing w:after="0"/>
              <w:rPr>
                <w:sz w:val="20"/>
                <w:szCs w:val="20"/>
                <w:color w:val="auto"/>
              </w:rPr>
            </w:pPr>
            <w:r>
              <w:rPr>
                <w:rFonts w:ascii="Arial" w:cs="Arial" w:eastAsia="Arial" w:hAnsi="Arial"/>
                <w:sz w:val="18"/>
                <w:szCs w:val="18"/>
                <w:color w:val="auto"/>
              </w:rPr>
              <w:t>ARTICLE II DEFINITIONS AND INCORPORATION BY REFERENCE</w:t>
            </w:r>
          </w:p>
        </w:tc>
        <w:tc>
          <w:tcPr>
            <w:tcW w:w="4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2.01.</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Definitions</w:t>
            </w:r>
          </w:p>
        </w:tc>
        <w:tc>
          <w:tcPr>
            <w:tcW w:w="4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Section 2.02.</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Other Definitions</w:t>
            </w:r>
          </w:p>
        </w:tc>
        <w:tc>
          <w:tcPr>
            <w:tcW w:w="4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6620" w:type="dxa"/>
            <w:vAlign w:val="bottom"/>
            <w:gridSpan w:val="3"/>
          </w:tcPr>
          <w:p>
            <w:pPr>
              <w:spacing w:after="0"/>
              <w:rPr>
                <w:sz w:val="20"/>
                <w:szCs w:val="20"/>
                <w:color w:val="auto"/>
              </w:rPr>
            </w:pPr>
            <w:r>
              <w:rPr>
                <w:rFonts w:ascii="Arial" w:cs="Arial" w:eastAsia="Arial" w:hAnsi="Arial"/>
                <w:sz w:val="18"/>
                <w:szCs w:val="18"/>
                <w:color w:val="auto"/>
              </w:rPr>
              <w:t>ARTICLE III THE NOTES</w:t>
            </w:r>
          </w:p>
        </w:tc>
        <w:tc>
          <w:tcPr>
            <w:tcW w:w="4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3.01.</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Form</w:t>
            </w:r>
          </w:p>
        </w:tc>
        <w:tc>
          <w:tcPr>
            <w:tcW w:w="4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3.02.</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Issuance of Additional Notes</w:t>
            </w:r>
          </w:p>
        </w:tc>
        <w:tc>
          <w:tcPr>
            <w:tcW w:w="4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3.03.</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Transfer of Transfer Restricted Securities</w:t>
            </w:r>
          </w:p>
        </w:tc>
        <w:tc>
          <w:tcPr>
            <w:tcW w:w="4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Section 3.04.</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Restrictive Legends</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6620" w:type="dxa"/>
            <w:vAlign w:val="bottom"/>
            <w:gridSpan w:val="3"/>
          </w:tcPr>
          <w:p>
            <w:pPr>
              <w:spacing w:after="0"/>
              <w:rPr>
                <w:sz w:val="20"/>
                <w:szCs w:val="20"/>
                <w:color w:val="auto"/>
              </w:rPr>
            </w:pPr>
            <w:r>
              <w:rPr>
                <w:rFonts w:ascii="Arial" w:cs="Arial" w:eastAsia="Arial" w:hAnsi="Arial"/>
                <w:sz w:val="18"/>
                <w:szCs w:val="18"/>
                <w:color w:val="auto"/>
              </w:rPr>
              <w:t>ARTICLE IV REDEMPTION AND PREPAYMENT</w:t>
            </w:r>
          </w:p>
        </w:tc>
        <w:tc>
          <w:tcPr>
            <w:tcW w:w="4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4.01.</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Optional Redemption</w:t>
            </w:r>
          </w:p>
        </w:tc>
        <w:tc>
          <w:tcPr>
            <w:tcW w:w="4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Section 4.02.</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Mandatory Redemption</w:t>
            </w:r>
          </w:p>
        </w:tc>
        <w:tc>
          <w:tcPr>
            <w:tcW w:w="4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6620" w:type="dxa"/>
            <w:vAlign w:val="bottom"/>
            <w:gridSpan w:val="3"/>
          </w:tcPr>
          <w:p>
            <w:pPr>
              <w:spacing w:after="0"/>
              <w:rPr>
                <w:sz w:val="20"/>
                <w:szCs w:val="20"/>
                <w:color w:val="auto"/>
              </w:rPr>
            </w:pPr>
            <w:r>
              <w:rPr>
                <w:rFonts w:ascii="Arial" w:cs="Arial" w:eastAsia="Arial" w:hAnsi="Arial"/>
                <w:sz w:val="18"/>
                <w:szCs w:val="18"/>
                <w:color w:val="auto"/>
              </w:rPr>
              <w:t>ARTICLE V COVENANTS</w:t>
            </w:r>
          </w:p>
        </w:tc>
        <w:tc>
          <w:tcPr>
            <w:tcW w:w="4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5.01.</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Compliance Certificate</w:t>
            </w:r>
          </w:p>
        </w:tc>
        <w:tc>
          <w:tcPr>
            <w:tcW w:w="4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5.02.</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Limitations on Liens</w:t>
            </w:r>
          </w:p>
        </w:tc>
        <w:tc>
          <w:tcPr>
            <w:tcW w:w="4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5.03.</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Restriction of Sale-Leaseback Transactions</w:t>
            </w:r>
          </w:p>
        </w:tc>
        <w:tc>
          <w:tcPr>
            <w:tcW w:w="4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5.04.</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SEC Reports; Financial Statements</w:t>
            </w:r>
          </w:p>
        </w:tc>
        <w:tc>
          <w:tcPr>
            <w:tcW w:w="4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Section 5.05.</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Additional Subsidiary Guarantees</w:t>
            </w:r>
          </w:p>
        </w:tc>
        <w:tc>
          <w:tcPr>
            <w:tcW w:w="4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6620" w:type="dxa"/>
            <w:vAlign w:val="bottom"/>
            <w:gridSpan w:val="3"/>
          </w:tcPr>
          <w:p>
            <w:pPr>
              <w:spacing w:after="0"/>
              <w:rPr>
                <w:sz w:val="20"/>
                <w:szCs w:val="20"/>
                <w:color w:val="auto"/>
              </w:rPr>
            </w:pPr>
            <w:r>
              <w:rPr>
                <w:rFonts w:ascii="Arial" w:cs="Arial" w:eastAsia="Arial" w:hAnsi="Arial"/>
                <w:sz w:val="18"/>
                <w:szCs w:val="18"/>
                <w:color w:val="auto"/>
              </w:rPr>
              <w:t>ARTICLE VI SUCCESSORS</w:t>
            </w:r>
          </w:p>
        </w:tc>
        <w:tc>
          <w:tcPr>
            <w:tcW w:w="4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6.01.</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Consolidation and Mergers of the Issuers</w:t>
            </w:r>
          </w:p>
        </w:tc>
        <w:tc>
          <w:tcPr>
            <w:tcW w:w="4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6.02.</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Rights and Duties of Successor</w:t>
            </w:r>
          </w:p>
        </w:tc>
        <w:tc>
          <w:tcPr>
            <w:tcW w:w="4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Section 6.03.</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Supplemental Indenture</w:t>
            </w:r>
          </w:p>
        </w:tc>
        <w:tc>
          <w:tcPr>
            <w:tcW w:w="4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6620" w:type="dxa"/>
            <w:vAlign w:val="bottom"/>
            <w:gridSpan w:val="3"/>
          </w:tcPr>
          <w:p>
            <w:pPr>
              <w:spacing w:after="0"/>
              <w:rPr>
                <w:sz w:val="20"/>
                <w:szCs w:val="20"/>
                <w:color w:val="auto"/>
              </w:rPr>
            </w:pPr>
            <w:r>
              <w:rPr>
                <w:rFonts w:ascii="Arial" w:cs="Arial" w:eastAsia="Arial" w:hAnsi="Arial"/>
                <w:sz w:val="18"/>
                <w:szCs w:val="18"/>
                <w:color w:val="auto"/>
              </w:rPr>
              <w:t>ARTICLE VII DEFAULTS AND REMEDIES</w:t>
            </w:r>
          </w:p>
        </w:tc>
        <w:tc>
          <w:tcPr>
            <w:tcW w:w="480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7.01.</w:t>
            </w:r>
          </w:p>
        </w:tc>
        <w:tc>
          <w:tcPr>
            <w:tcW w:w="946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VIII LEGAL DEFEASANCE AND COVENANT DEFEASANCE</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8.01.</w:t>
            </w:r>
          </w:p>
        </w:tc>
        <w:tc>
          <w:tcPr>
            <w:tcW w:w="9460" w:type="dxa"/>
            <w:vAlign w:val="bottom"/>
          </w:tcPr>
          <w:p>
            <w:pPr>
              <w:ind w:left="200"/>
              <w:spacing w:after="0"/>
              <w:rPr>
                <w:sz w:val="20"/>
                <w:szCs w:val="20"/>
                <w:color w:val="auto"/>
              </w:rPr>
            </w:pPr>
            <w:r>
              <w:rPr>
                <w:rFonts w:ascii="Arial" w:cs="Arial" w:eastAsia="Arial" w:hAnsi="Arial"/>
                <w:sz w:val="18"/>
                <w:szCs w:val="18"/>
                <w:color w:val="auto"/>
              </w:rPr>
              <w:t>Option to Effect Legal Defeasance or Covenant Defeasance</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8.02.</w:t>
            </w:r>
          </w:p>
        </w:tc>
        <w:tc>
          <w:tcPr>
            <w:tcW w:w="9460" w:type="dxa"/>
            <w:vAlign w:val="bottom"/>
          </w:tcPr>
          <w:p>
            <w:pPr>
              <w:ind w:left="200"/>
              <w:spacing w:after="0"/>
              <w:rPr>
                <w:sz w:val="20"/>
                <w:szCs w:val="20"/>
                <w:color w:val="auto"/>
              </w:rPr>
            </w:pPr>
            <w:r>
              <w:rPr>
                <w:rFonts w:ascii="Arial" w:cs="Arial" w:eastAsia="Arial" w:hAnsi="Arial"/>
                <w:sz w:val="18"/>
                <w:szCs w:val="18"/>
                <w:color w:val="auto"/>
              </w:rPr>
              <w:t>Legal Defeasance and Discharge</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8.03.</w:t>
            </w:r>
          </w:p>
        </w:tc>
        <w:tc>
          <w:tcPr>
            <w:tcW w:w="9460" w:type="dxa"/>
            <w:vAlign w:val="bottom"/>
          </w:tcPr>
          <w:p>
            <w:pPr>
              <w:ind w:left="200"/>
              <w:spacing w:after="0"/>
              <w:rPr>
                <w:sz w:val="20"/>
                <w:szCs w:val="20"/>
                <w:color w:val="auto"/>
              </w:rPr>
            </w:pPr>
            <w:r>
              <w:rPr>
                <w:rFonts w:ascii="Arial" w:cs="Arial" w:eastAsia="Arial" w:hAnsi="Arial"/>
                <w:sz w:val="18"/>
                <w:szCs w:val="18"/>
                <w:color w:val="auto"/>
              </w:rPr>
              <w:t>Covenant Defeasance</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8.04.</w:t>
            </w:r>
          </w:p>
        </w:tc>
        <w:tc>
          <w:tcPr>
            <w:tcW w:w="9460" w:type="dxa"/>
            <w:vAlign w:val="bottom"/>
          </w:tcPr>
          <w:p>
            <w:pPr>
              <w:ind w:left="200"/>
              <w:spacing w:after="0"/>
              <w:rPr>
                <w:sz w:val="20"/>
                <w:szCs w:val="20"/>
                <w:color w:val="auto"/>
              </w:rPr>
            </w:pPr>
            <w:r>
              <w:rPr>
                <w:rFonts w:ascii="Arial" w:cs="Arial" w:eastAsia="Arial" w:hAnsi="Arial"/>
                <w:sz w:val="18"/>
                <w:szCs w:val="18"/>
                <w:color w:val="auto"/>
              </w:rPr>
              <w:t>Conditions to Legal or Covenant Defeasance</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8.05.</w:t>
            </w:r>
          </w:p>
        </w:tc>
        <w:tc>
          <w:tcPr>
            <w:tcW w:w="9460" w:type="dxa"/>
            <w:vAlign w:val="bottom"/>
          </w:tcPr>
          <w:p>
            <w:pPr>
              <w:ind w:left="20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8.06.</w:t>
            </w:r>
          </w:p>
        </w:tc>
        <w:tc>
          <w:tcPr>
            <w:tcW w:w="9460" w:type="dxa"/>
            <w:vAlign w:val="bottom"/>
          </w:tcPr>
          <w:p>
            <w:pPr>
              <w:ind w:left="200"/>
              <w:spacing w:after="0"/>
              <w:rPr>
                <w:sz w:val="20"/>
                <w:szCs w:val="20"/>
                <w:color w:val="auto"/>
              </w:rPr>
            </w:pPr>
            <w:r>
              <w:rPr>
                <w:rFonts w:ascii="Arial" w:cs="Arial" w:eastAsia="Arial" w:hAnsi="Arial"/>
                <w:sz w:val="18"/>
                <w:szCs w:val="18"/>
                <w:color w:val="auto"/>
              </w:rPr>
              <w:t>Repayment to Issuers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8.07.</w:t>
            </w:r>
          </w:p>
        </w:tc>
        <w:tc>
          <w:tcPr>
            <w:tcW w:w="9460" w:type="dxa"/>
            <w:vAlign w:val="bottom"/>
          </w:tcPr>
          <w:p>
            <w:pPr>
              <w:ind w:left="200"/>
              <w:spacing w:after="0"/>
              <w:rPr>
                <w:sz w:val="20"/>
                <w:szCs w:val="20"/>
                <w:color w:val="auto"/>
              </w:rPr>
            </w:pPr>
            <w:r>
              <w:rPr>
                <w:rFonts w:ascii="Arial" w:cs="Arial" w:eastAsia="Arial" w:hAnsi="Arial"/>
                <w:sz w:val="18"/>
                <w:szCs w:val="18"/>
                <w:color w:val="auto"/>
              </w:rPr>
              <w:t>Reinstatement</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IX SUBSIDIARY GUARANTEES</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9.01.</w:t>
            </w:r>
          </w:p>
        </w:tc>
        <w:tc>
          <w:tcPr>
            <w:tcW w:w="946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420" w:type="dxa"/>
            <w:vAlign w:val="bottom"/>
          </w:tcPr>
          <w:p>
            <w:pPr>
              <w:spacing w:after="0"/>
              <w:rPr>
                <w:sz w:val="24"/>
                <w:szCs w:val="24"/>
                <w:color w:val="auto"/>
              </w:rPr>
            </w:pPr>
          </w:p>
        </w:tc>
        <w:tc>
          <w:tcPr>
            <w:tcW w:w="9460" w:type="dxa"/>
            <w:vAlign w:val="bottom"/>
          </w:tcPr>
          <w:p>
            <w:pPr>
              <w:ind w:left="4260"/>
              <w:spacing w:after="0"/>
              <w:rPr>
                <w:sz w:val="20"/>
                <w:szCs w:val="20"/>
                <w:color w:val="auto"/>
              </w:rPr>
            </w:pPr>
            <w:r>
              <w:rPr>
                <w:rFonts w:ascii="Arial" w:cs="Arial" w:eastAsia="Arial" w:hAnsi="Arial"/>
                <w:sz w:val="18"/>
                <w:szCs w:val="18"/>
                <w:color w:val="auto"/>
              </w:rPr>
              <w:t>i</w:t>
            </w:r>
          </w:p>
        </w:tc>
        <w:tc>
          <w:tcPr>
            <w:tcW w:w="560" w:type="dxa"/>
            <w:vAlign w:val="bottom"/>
          </w:tcPr>
          <w:p>
            <w:pPr>
              <w:spacing w:after="0"/>
              <w:rPr>
                <w:sz w:val="24"/>
                <w:szCs w:val="24"/>
                <w:color w:val="auto"/>
              </w:rPr>
            </w:pPr>
          </w:p>
        </w:tc>
      </w:tr>
      <w:tr>
        <w:trPr>
          <w:trHeight w:val="118"/>
        </w:trPr>
        <w:tc>
          <w:tcPr>
            <w:tcW w:w="1420" w:type="dxa"/>
            <w:vAlign w:val="bottom"/>
            <w:tcBorders>
              <w:bottom w:val="single" w:sz="8" w:color="808080"/>
            </w:tcBorders>
          </w:tcPr>
          <w:p>
            <w:pPr>
              <w:spacing w:after="0"/>
              <w:rPr>
                <w:sz w:val="10"/>
                <w:szCs w:val="10"/>
                <w:color w:val="auto"/>
              </w:rPr>
            </w:pPr>
          </w:p>
        </w:tc>
        <w:tc>
          <w:tcPr>
            <w:tcW w:w="94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r>
        <w:trPr>
          <w:trHeight w:val="766"/>
        </w:trPr>
        <w:tc>
          <w:tcPr>
            <w:tcW w:w="1420" w:type="dxa"/>
            <w:vAlign w:val="bottom"/>
          </w:tcPr>
          <w:p>
            <w:pPr>
              <w:ind w:left="180"/>
              <w:spacing w:after="0"/>
              <w:rPr>
                <w:sz w:val="20"/>
                <w:szCs w:val="20"/>
                <w:color w:val="auto"/>
              </w:rPr>
            </w:pPr>
            <w:r>
              <w:rPr>
                <w:rFonts w:ascii="Arial" w:cs="Arial" w:eastAsia="Arial" w:hAnsi="Arial"/>
                <w:sz w:val="18"/>
                <w:szCs w:val="18"/>
                <w:color w:val="auto"/>
              </w:rPr>
              <w:t>Section 9.02.</w:t>
            </w:r>
          </w:p>
        </w:tc>
        <w:tc>
          <w:tcPr>
            <w:tcW w:w="9460" w:type="dxa"/>
            <w:vAlign w:val="bottom"/>
          </w:tcPr>
          <w:p>
            <w:pPr>
              <w:ind w:left="200"/>
              <w:spacing w:after="0"/>
              <w:rPr>
                <w:sz w:val="20"/>
                <w:szCs w:val="20"/>
                <w:color w:val="auto"/>
              </w:rPr>
            </w:pPr>
            <w:r>
              <w:rPr>
                <w:rFonts w:ascii="Arial" w:cs="Arial" w:eastAsia="Arial" w:hAnsi="Arial"/>
                <w:sz w:val="18"/>
                <w:szCs w:val="18"/>
                <w:color w:val="auto"/>
              </w:rPr>
              <w:t>Limitation on Liability</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9.03.</w:t>
            </w:r>
          </w:p>
        </w:tc>
        <w:tc>
          <w:tcPr>
            <w:tcW w:w="946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9.04.</w:t>
            </w:r>
          </w:p>
        </w:tc>
        <w:tc>
          <w:tcPr>
            <w:tcW w:w="9460" w:type="dxa"/>
            <w:vAlign w:val="bottom"/>
          </w:tcPr>
          <w:p>
            <w:pPr>
              <w:ind w:left="200"/>
              <w:spacing w:after="0"/>
              <w:rPr>
                <w:sz w:val="20"/>
                <w:szCs w:val="20"/>
                <w:color w:val="auto"/>
              </w:rPr>
            </w:pPr>
            <w:r>
              <w:rPr>
                <w:rFonts w:ascii="Arial" w:cs="Arial" w:eastAsia="Arial" w:hAnsi="Arial"/>
                <w:sz w:val="18"/>
                <w:szCs w:val="18"/>
                <w:color w:val="auto"/>
              </w:rPr>
              <w:t>No Waiver</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9.05.</w:t>
            </w:r>
          </w:p>
        </w:tc>
        <w:tc>
          <w:tcPr>
            <w:tcW w:w="9460" w:type="dxa"/>
            <w:vAlign w:val="bottom"/>
          </w:tcPr>
          <w:p>
            <w:pPr>
              <w:ind w:left="200"/>
              <w:spacing w:after="0"/>
              <w:rPr>
                <w:sz w:val="20"/>
                <w:szCs w:val="20"/>
                <w:color w:val="auto"/>
              </w:rPr>
            </w:pPr>
            <w:r>
              <w:rPr>
                <w:rFonts w:ascii="Arial" w:cs="Arial" w:eastAsia="Arial" w:hAnsi="Arial"/>
                <w:sz w:val="18"/>
                <w:szCs w:val="18"/>
                <w:color w:val="auto"/>
              </w:rPr>
              <w:t>Modification</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9.06.</w:t>
            </w:r>
          </w:p>
        </w:tc>
        <w:tc>
          <w:tcPr>
            <w:tcW w:w="9460" w:type="dxa"/>
            <w:vAlign w:val="bottom"/>
          </w:tcPr>
          <w:p>
            <w:pPr>
              <w:ind w:left="200"/>
              <w:spacing w:after="0"/>
              <w:rPr>
                <w:sz w:val="20"/>
                <w:szCs w:val="20"/>
                <w:color w:val="auto"/>
              </w:rPr>
            </w:pPr>
            <w:r>
              <w:rPr>
                <w:rFonts w:ascii="Arial" w:cs="Arial" w:eastAsia="Arial" w:hAnsi="Arial"/>
                <w:sz w:val="18"/>
                <w:szCs w:val="18"/>
                <w:color w:val="auto"/>
              </w:rPr>
              <w:t>Execution of Supplemental Indenture for Future Subsidiary Guarantors</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9.07.</w:t>
            </w:r>
          </w:p>
        </w:tc>
        <w:tc>
          <w:tcPr>
            <w:tcW w:w="9460" w:type="dxa"/>
            <w:vAlign w:val="bottom"/>
          </w:tcPr>
          <w:p>
            <w:pPr>
              <w:ind w:left="200"/>
              <w:spacing w:after="0"/>
              <w:rPr>
                <w:sz w:val="20"/>
                <w:szCs w:val="20"/>
                <w:color w:val="auto"/>
              </w:rPr>
            </w:pPr>
            <w:r>
              <w:rPr>
                <w:rFonts w:ascii="Arial" w:cs="Arial" w:eastAsia="Arial" w:hAnsi="Arial"/>
                <w:sz w:val="18"/>
                <w:szCs w:val="18"/>
                <w:color w:val="auto"/>
              </w:rPr>
              <w:t>Release of Guarantee</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10.01.</w:t>
            </w:r>
          </w:p>
        </w:tc>
        <w:tc>
          <w:tcPr>
            <w:tcW w:w="9460" w:type="dxa"/>
            <w:vAlign w:val="bottom"/>
          </w:tcPr>
          <w:p>
            <w:pPr>
              <w:ind w:left="200"/>
              <w:spacing w:after="0"/>
              <w:rPr>
                <w:sz w:val="20"/>
                <w:szCs w:val="20"/>
                <w:color w:val="auto"/>
              </w:rPr>
            </w:pPr>
            <w:r>
              <w:rPr>
                <w:rFonts w:ascii="Arial" w:cs="Arial" w:eastAsia="Arial" w:hAnsi="Arial"/>
                <w:sz w:val="18"/>
                <w:szCs w:val="18"/>
                <w:color w:val="auto"/>
              </w:rPr>
              <w:t>Additional Amendments</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10.02.</w:t>
            </w:r>
          </w:p>
        </w:tc>
        <w:tc>
          <w:tcPr>
            <w:tcW w:w="9460" w:type="dxa"/>
            <w:vAlign w:val="bottom"/>
          </w:tcPr>
          <w:p>
            <w:pPr>
              <w:ind w:left="200"/>
              <w:spacing w:after="0"/>
              <w:rPr>
                <w:sz w:val="20"/>
                <w:szCs w:val="20"/>
                <w:color w:val="auto"/>
              </w:rPr>
            </w:pPr>
            <w:r>
              <w:rPr>
                <w:rFonts w:ascii="Arial" w:cs="Arial" w:eastAsia="Arial" w:hAnsi="Arial"/>
                <w:sz w:val="18"/>
                <w:szCs w:val="18"/>
                <w:color w:val="auto"/>
              </w:rPr>
              <w:t>Integral Part</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10.03.</w:t>
            </w:r>
          </w:p>
        </w:tc>
        <w:tc>
          <w:tcPr>
            <w:tcW w:w="9460" w:type="dxa"/>
            <w:vAlign w:val="bottom"/>
          </w:tcPr>
          <w:p>
            <w:pPr>
              <w:ind w:left="200"/>
              <w:spacing w:after="0"/>
              <w:rPr>
                <w:sz w:val="20"/>
                <w:szCs w:val="20"/>
                <w:color w:val="auto"/>
              </w:rPr>
            </w:pPr>
            <w:r>
              <w:rPr>
                <w:rFonts w:ascii="Arial" w:cs="Arial" w:eastAsia="Arial" w:hAnsi="Arial"/>
                <w:sz w:val="18"/>
                <w:szCs w:val="18"/>
                <w:color w:val="auto"/>
              </w:rPr>
              <w:t>Adoption, Ratification and Confirmation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10.04.</w:t>
            </w:r>
          </w:p>
        </w:tc>
        <w:tc>
          <w:tcPr>
            <w:tcW w:w="946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10.05.</w:t>
            </w:r>
          </w:p>
        </w:tc>
        <w:tc>
          <w:tcPr>
            <w:tcW w:w="94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634"/>
        </w:trPr>
        <w:tc>
          <w:tcPr>
            <w:tcW w:w="1420" w:type="dxa"/>
            <w:vAlign w:val="bottom"/>
          </w:tcPr>
          <w:p>
            <w:pPr>
              <w:spacing w:after="0"/>
              <w:rPr>
                <w:sz w:val="20"/>
                <w:szCs w:val="20"/>
                <w:color w:val="auto"/>
              </w:rPr>
            </w:pPr>
            <w:r>
              <w:rPr>
                <w:rFonts w:ascii="Arial" w:cs="Arial" w:eastAsia="Arial" w:hAnsi="Arial"/>
                <w:sz w:val="18"/>
                <w:szCs w:val="18"/>
                <w:color w:val="auto"/>
              </w:rPr>
              <w:t>EXHIBIT A:</w:t>
            </w:r>
          </w:p>
        </w:tc>
        <w:tc>
          <w:tcPr>
            <w:tcW w:w="9460" w:type="dxa"/>
            <w:vAlign w:val="bottom"/>
          </w:tcPr>
          <w:p>
            <w:pPr>
              <w:ind w:left="480"/>
              <w:spacing w:after="0"/>
              <w:rPr>
                <w:sz w:val="20"/>
                <w:szCs w:val="20"/>
                <w:color w:val="auto"/>
              </w:rPr>
            </w:pPr>
            <w:r>
              <w:rPr>
                <w:rFonts w:ascii="Arial" w:cs="Arial" w:eastAsia="Arial" w:hAnsi="Arial"/>
                <w:sz w:val="18"/>
                <w:szCs w:val="18"/>
                <w:color w:val="auto"/>
              </w:rPr>
              <w:t>Form of Note</w:t>
            </w:r>
          </w:p>
        </w:tc>
        <w:tc>
          <w:tcPr>
            <w:tcW w:w="560" w:type="dxa"/>
            <w:vAlign w:val="bottom"/>
          </w:tcPr>
          <w:p>
            <w:pPr>
              <w:spacing w:after="0"/>
              <w:rPr>
                <w:sz w:val="24"/>
                <w:szCs w:val="24"/>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B:</w:t>
            </w:r>
          </w:p>
        </w:tc>
        <w:tc>
          <w:tcPr>
            <w:tcW w:w="9460" w:type="dxa"/>
            <w:vAlign w:val="bottom"/>
          </w:tcPr>
          <w:p>
            <w:pPr>
              <w:ind w:left="480"/>
              <w:spacing w:after="0"/>
              <w:rPr>
                <w:sz w:val="20"/>
                <w:szCs w:val="20"/>
                <w:color w:val="auto"/>
              </w:rPr>
            </w:pPr>
            <w:r>
              <w:rPr>
                <w:rFonts w:ascii="Arial" w:cs="Arial" w:eastAsia="Arial" w:hAnsi="Arial"/>
                <w:sz w:val="18"/>
                <w:szCs w:val="18"/>
                <w:color w:val="auto"/>
              </w:rPr>
              <w:t>Form of Supplemental Indenture</w:t>
            </w:r>
          </w:p>
        </w:tc>
        <w:tc>
          <w:tcPr>
            <w:tcW w:w="560" w:type="dxa"/>
            <w:vAlign w:val="bottom"/>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C:</w:t>
            </w:r>
          </w:p>
        </w:tc>
        <w:tc>
          <w:tcPr>
            <w:tcW w:w="9460" w:type="dxa"/>
            <w:vAlign w:val="bottom"/>
          </w:tcPr>
          <w:p>
            <w:pPr>
              <w:ind w:left="480"/>
              <w:spacing w:after="0"/>
              <w:rPr>
                <w:sz w:val="20"/>
                <w:szCs w:val="20"/>
                <w:color w:val="auto"/>
              </w:rPr>
            </w:pPr>
            <w:r>
              <w:rPr>
                <w:rFonts w:ascii="Arial" w:cs="Arial" w:eastAsia="Arial" w:hAnsi="Arial"/>
                <w:sz w:val="18"/>
                <w:szCs w:val="18"/>
                <w:color w:val="auto"/>
                <w:w w:val="95"/>
              </w:rPr>
              <w:t>Certificate to be Delivered Upon Exchange or Registration of Transfer of Securities Pursuant to Rule 144A or Rule 501</w:t>
            </w:r>
          </w:p>
        </w:tc>
        <w:tc>
          <w:tcPr>
            <w:tcW w:w="560" w:type="dxa"/>
            <w:vAlign w:val="bottom"/>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D:</w:t>
            </w:r>
          </w:p>
        </w:tc>
        <w:tc>
          <w:tcPr>
            <w:tcW w:w="9460" w:type="dxa"/>
            <w:vAlign w:val="bottom"/>
          </w:tcPr>
          <w:p>
            <w:pPr>
              <w:ind w:left="480"/>
              <w:spacing w:after="0"/>
              <w:rPr>
                <w:sz w:val="20"/>
                <w:szCs w:val="20"/>
                <w:color w:val="auto"/>
              </w:rPr>
            </w:pPr>
            <w:r>
              <w:rPr>
                <w:rFonts w:ascii="Arial" w:cs="Arial" w:eastAsia="Arial" w:hAnsi="Arial"/>
                <w:sz w:val="18"/>
                <w:szCs w:val="18"/>
                <w:color w:val="auto"/>
              </w:rPr>
              <w:t>Transferee Letter of Representations</w:t>
            </w:r>
          </w:p>
        </w:tc>
        <w:tc>
          <w:tcPr>
            <w:tcW w:w="56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EXHIBIT E:</w:t>
            </w:r>
          </w:p>
        </w:tc>
        <w:tc>
          <w:tcPr>
            <w:tcW w:w="9460" w:type="dxa"/>
            <w:vAlign w:val="bottom"/>
          </w:tcPr>
          <w:p>
            <w:pPr>
              <w:ind w:left="480"/>
              <w:spacing w:after="0"/>
              <w:rPr>
                <w:sz w:val="20"/>
                <w:szCs w:val="20"/>
                <w:color w:val="auto"/>
              </w:rPr>
            </w:pPr>
            <w:r>
              <w:rPr>
                <w:rFonts w:ascii="Arial" w:cs="Arial" w:eastAsia="Arial" w:hAnsi="Arial"/>
                <w:sz w:val="18"/>
                <w:szCs w:val="18"/>
                <w:color w:val="auto"/>
              </w:rPr>
              <w:t>Certificate to be Delivered Upon Exchange or Registration of Transfer of Securities Pursuant to Regulation S</w:t>
            </w: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-3116580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-3116580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60" w:firstLine="1297"/>
        <w:spacing w:after="0" w:line="259" w:lineRule="auto"/>
        <w:rPr>
          <w:sz w:val="20"/>
          <w:szCs w:val="20"/>
          <w:color w:val="auto"/>
        </w:rPr>
      </w:pPr>
      <w:r>
        <w:rPr>
          <w:rFonts w:ascii="Arial" w:cs="Arial" w:eastAsia="Arial" w:hAnsi="Arial"/>
          <w:sz w:val="18"/>
          <w:szCs w:val="18"/>
          <w:color w:val="auto"/>
        </w:rPr>
        <w:t>SIXTH SUPPLEMENTAL INDENTURE dated as of May 12, 2006 (this “Supplemental Indenture”) among PLAINS ALL AMERICAN PIPELINE, L.P., a Delaware limited partnership (the “Partnership”), PAA FINANCE CORP., a wholly owned subsidiary of the Partnership and a Delaware corporation (“PAA Finance” and, together with the Partnership, the “Issuers”), and the subsidiary guarantors signatory hereto (the “Subsidiary Guarantors”), and WACHOVIA BANK, NATIONAL ASSOCIATION, as trustee (the “Trustee”).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WHEREAS, the Issuers have heretofore entered into an Indenture, dated as of September 25, 2002 (the “Original Indenture”), with Wachovia Bank, National Association, as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81"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WHEREAS, also under the Original Indenture, guarantors with respect to a series of Debt Securities may be added as parties to the Indenture by a supplemental indenture executed by themselves, the Issuers and the Trustee;</w:t>
      </w:r>
    </w:p>
    <w:p>
      <w:pPr>
        <w:spacing w:after="0" w:line="170" w:lineRule="exact"/>
        <w:rPr>
          <w:sz w:val="20"/>
          <w:szCs w:val="20"/>
          <w:color w:val="auto"/>
        </w:rPr>
      </w:pPr>
    </w:p>
    <w:p>
      <w:pPr>
        <w:ind w:right="820" w:firstLine="1297"/>
        <w:spacing w:after="0" w:line="277" w:lineRule="auto"/>
        <w:rPr>
          <w:sz w:val="20"/>
          <w:szCs w:val="20"/>
          <w:color w:val="auto"/>
        </w:rPr>
      </w:pPr>
      <w:r>
        <w:rPr>
          <w:rFonts w:ascii="Arial" w:cs="Arial" w:eastAsia="Arial" w:hAnsi="Arial"/>
          <w:sz w:val="18"/>
          <w:szCs w:val="18"/>
          <w:color w:val="auto"/>
        </w:rPr>
        <w:t>WHEREAS, the Issuers propose to create under the Indenture a new series of Debt Securities, such series to be guaranteed by the Subsidiary Guarantors;</w:t>
      </w:r>
    </w:p>
    <w:p>
      <w:pPr>
        <w:spacing w:after="0" w:line="170" w:lineRule="exact"/>
        <w:rPr>
          <w:sz w:val="20"/>
          <w:szCs w:val="20"/>
          <w:color w:val="auto"/>
        </w:rPr>
      </w:pPr>
    </w:p>
    <w:p>
      <w:pPr>
        <w:ind w:right="360" w:firstLine="1297"/>
        <w:spacing w:after="0" w:line="342" w:lineRule="auto"/>
        <w:rPr>
          <w:sz w:val="20"/>
          <w:szCs w:val="20"/>
          <w:color w:val="auto"/>
        </w:rPr>
      </w:pPr>
      <w:r>
        <w:rPr>
          <w:rFonts w:ascii="Arial" w:cs="Arial" w:eastAsia="Arial" w:hAnsi="Arial"/>
          <w:sz w:val="16"/>
          <w:szCs w:val="16"/>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24"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Supplemental Indenture and to make it a valid and binding obligation of the Issuers and the Subsidiary Guarantors have been done or performed.</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w:t>
      </w:r>
    </w:p>
    <w:p>
      <w:pPr>
        <w:sectPr>
          <w:pgSz w:w="11900" w:h="16838" w:orient="portrait"/>
          <w:cols w:equalWidth="0" w:num="1">
            <w:col w:w="11440"/>
          </w:cols>
          <w:pgMar w:left="240" w:top="125" w:right="219" w:bottom="0" w:gutter="0" w:footer="0" w:header="0"/>
        </w:sectPr>
      </w:pPr>
    </w:p>
    <w:bookmarkStart w:id="5" w:name="page6"/>
    <w:bookmarkEnd w:id="5"/>
    <w:p>
      <w:pPr>
        <w:ind w:right="320" w:firstLine="1297"/>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Establishment</w:t>
      </w:r>
      <w:r>
        <w:rPr>
          <w:rFonts w:ascii="Arial" w:cs="Arial" w:eastAsia="Arial" w:hAnsi="Arial"/>
          <w:sz w:val="18"/>
          <w:szCs w:val="18"/>
          <w:color w:val="auto"/>
        </w:rPr>
        <w:t>. (a) There is hereby established a new series of Debt Securities to be issued under the Indenture, to be designated as the Issuers’ 6.70%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Notes due 2036 (the “Notes”). As provided in Article III hereof, the Notes shall be issued as either Series A Notes or Series B Notes, and any Notes may have such additional designation.</w:t>
      </w:r>
    </w:p>
    <w:p>
      <w:pPr>
        <w:spacing w:after="0" w:line="170" w:lineRule="exact"/>
        <w:rPr>
          <w:sz w:val="20"/>
          <w:szCs w:val="20"/>
          <w:color w:val="auto"/>
        </w:rPr>
      </w:pPr>
    </w:p>
    <w:p>
      <w:pPr>
        <w:ind w:right="80" w:firstLine="1305"/>
        <w:spacing w:after="0" w:line="259" w:lineRule="auto"/>
        <w:tabs>
          <w:tab w:leader="none" w:pos="200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are to be authenticated and delivered $250,000,000 principal amount of Series A Notes on the Issue Date, and from time to time thereafter there may be authenticated and delivered an unlimited principal amount of Additional Notes. Further, from time to time after the Issue Date, Series B Notes may be authenticated and delivered in a principal amount equal to the principal amount of the Series A Notes exchanged therefor pursuant to an Exchange Offer.</w:t>
      </w:r>
    </w:p>
    <w:p>
      <w:pPr>
        <w:spacing w:after="0" w:line="186" w:lineRule="exact"/>
        <w:rPr>
          <w:rFonts w:ascii="Arial" w:cs="Arial" w:eastAsia="Arial" w:hAnsi="Arial"/>
          <w:sz w:val="18"/>
          <w:szCs w:val="18"/>
          <w:color w:val="auto"/>
        </w:rPr>
      </w:pPr>
    </w:p>
    <w:p>
      <w:pPr>
        <w:ind w:right="460" w:firstLine="1305"/>
        <w:spacing w:after="0" w:line="277" w:lineRule="auto"/>
        <w:tabs>
          <w:tab w:leader="none" w:pos="199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shall be issued initially in the form of one or more Global Securities in substantially the form set out in Exhibit A hereto. The Depositary with respect to the Notes shall be The Depository Trust Company.</w:t>
      </w:r>
    </w:p>
    <w:p>
      <w:pPr>
        <w:spacing w:after="0" w:line="170" w:lineRule="exact"/>
        <w:rPr>
          <w:rFonts w:ascii="Arial" w:cs="Arial" w:eastAsia="Arial" w:hAnsi="Arial"/>
          <w:sz w:val="18"/>
          <w:szCs w:val="18"/>
          <w:color w:val="auto"/>
        </w:rPr>
      </w:pPr>
    </w:p>
    <w:p>
      <w:pPr>
        <w:ind w:right="340" w:firstLine="1305"/>
        <w:spacing w:after="0" w:line="277" w:lineRule="auto"/>
        <w:tabs>
          <w:tab w:leader="none" w:pos="2001"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Note shall be dated the date of authentication thereof and shall bear interest from the date of original issuance thereof or from the most recent date to which interest has been paid or duly provided for.</w:t>
      </w:r>
    </w:p>
    <w:p>
      <w:pPr>
        <w:spacing w:after="0" w:line="170" w:lineRule="exact"/>
        <w:rPr>
          <w:rFonts w:ascii="Arial" w:cs="Arial" w:eastAsia="Arial" w:hAnsi="Arial"/>
          <w:sz w:val="18"/>
          <w:szCs w:val="18"/>
          <w:color w:val="auto"/>
        </w:rPr>
      </w:pPr>
    </w:p>
    <w:p>
      <w:pPr>
        <w:ind w:right="140" w:firstLine="1305"/>
        <w:spacing w:after="0" w:line="277" w:lineRule="auto"/>
        <w:tabs>
          <w:tab w:leader="none" w:pos="1991"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and to the extent that the provisions of the Original Indenture are duplicative of, or in contradiction with, the provisions of this Supplemental Indenture, the provisions of this Supplemental Indenture shall govern.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herein and not otherwise defined below shall have the meanings ascribed thereto in the Original Indenture. The following are additional definitions used in this Supplemental Indenture:</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“Additional Interest” means all additional interest owing on the Notes pursuant to a registration default under an Exchange and Registration Rights Agreement.</w:t>
      </w:r>
    </w:p>
    <w:p>
      <w:pPr>
        <w:spacing w:after="0" w:line="170"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54"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8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8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8"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70"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“Exchange and Registration Rights Agreement” means (a) the Registration Rights Agreement among the Partnership, PAA Finance, the Subsidiary Guarantors and the Initial Purchasers dated the Issue Date relating to the Series A Notes issued on such date and (b) any similar agreement that the Issuers may enter into in relation to any other Series A Notes, in each case as such agreement may be amended or modified from time to time.</w:t>
      </w:r>
    </w:p>
    <w:p>
      <w:pPr>
        <w:spacing w:after="0" w:line="14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“Exchange Offer” means the offer by the Issuers to the Holders of all outstanding Transfer Restricted Securities to exchange all such outstanding Transfer Restricted Securities held by such Holders for Series B Notes, in an aggregate principal amount equal to the aggregate principal amount of the Transfer Restricted Securities tendered in such exchange offer by such Holders.</w:t>
      </w:r>
    </w:p>
    <w:p>
      <w:pPr>
        <w:spacing w:after="0" w:line="181"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w:t>
      </w:r>
    </w:p>
    <w:p>
      <w:pPr>
        <w:sectPr>
          <w:pgSz w:w="11900" w:h="16838" w:orient="portrait"/>
          <w:cols w:equalWidth="0" w:num="1">
            <w:col w:w="11400"/>
          </w:cols>
          <w:pgMar w:left="240" w:top="125" w:right="259" w:bottom="0" w:gutter="0" w:footer="0" w:header="0"/>
        </w:sectPr>
      </w:pPr>
    </w:p>
    <w:bookmarkStart w:id="6" w:name="page7"/>
    <w:bookmarkEnd w:id="6"/>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creation thereof, and all Debt under a revolving credit or similar agreement obligating the lender or lenders to extend credit over a period of one year or more.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“Guarantee” means a guarantee of the Notes given by a Subsidiary Guarantor pursuant to the Indenture, including all obligations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IX hereof.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80" w:firstLine="1297"/>
        <w:spacing w:after="0" w:line="259" w:lineRule="auto"/>
        <w:rPr>
          <w:sz w:val="20"/>
          <w:szCs w:val="20"/>
          <w:color w:val="auto"/>
        </w:rPr>
      </w:pPr>
      <w:r>
        <w:rPr>
          <w:rFonts w:ascii="Arial" w:cs="Arial" w:eastAsia="Arial" w:hAnsi="Arial"/>
          <w:sz w:val="18"/>
          <w:szCs w:val="18"/>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“claw-back,” “make-well,” or “keep-well” agreements in respect thereof), of all or any part of the payment of any Debt. The term “guarantee” used as a verb has a corresponding meaning.</w:t>
      </w:r>
    </w:p>
    <w:p>
      <w:pPr>
        <w:spacing w:after="0" w:line="187"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“Initial Purchasers” means Citigroup Global Markets Inc. and UBS Securities LLC and the other initial purchasers party to the initial Exchange and Registration Rights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“Issue Date” means, with respect to the Notes, the date on which the Notes are initially issued.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“Notes” has the meaning assigned to it in Section 1.01(a) hereof, and includes both the Series A Notes and the Series B Notes.</w:t>
      </w:r>
    </w:p>
    <w:p>
      <w:pPr>
        <w:spacing w:after="0" w:line="23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70"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“Pari Passu Debt” means any Funded Debt of either of the Issuers, whether outstanding on the Issue Date of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8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“Partnership Agreement” means the Third Amended and Restated Agreement of Limited Partnership of Plains All American Pipeline, L.P., amended and restated effective as of June 27, 2001, as amended by Amendment No. 1 thereto dated as of April 15, 2004 and as such may be otherwise amended, modified or supplemented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“Permitted Liens” means:</w:t>
      </w:r>
    </w:p>
    <w:p>
      <w:pPr>
        <w:spacing w:after="0" w:line="225" w:lineRule="exact"/>
        <w:rPr>
          <w:sz w:val="20"/>
          <w:szCs w:val="20"/>
          <w:color w:val="auto"/>
        </w:rPr>
      </w:pPr>
    </w:p>
    <w:p>
      <w:pPr>
        <w:ind w:left="2000" w:hanging="695"/>
        <w:spacing w:after="0"/>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ind w:left="660" w:firstLine="645"/>
        <w:spacing w:after="0" w:line="312" w:lineRule="auto"/>
        <w:tabs>
          <w:tab w:leader="none" w:pos="2013"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46" w:lineRule="exact"/>
        <w:rPr>
          <w:rFonts w:ascii="Arial" w:cs="Arial" w:eastAsia="Arial" w:hAnsi="Arial"/>
          <w:sz w:val="16"/>
          <w:szCs w:val="16"/>
          <w:color w:val="auto"/>
        </w:rPr>
      </w:pPr>
    </w:p>
    <w:p>
      <w:pPr>
        <w:ind w:left="660" w:right="140" w:firstLine="645"/>
        <w:spacing w:after="0" w:line="277" w:lineRule="auto"/>
        <w:tabs>
          <w:tab w:leader="none" w:pos="201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260" w:firstLine="645"/>
        <w:spacing w:after="0" w:line="277" w:lineRule="auto"/>
        <w:tabs>
          <w:tab w:leader="none" w:pos="2013"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an Issuer or any Restricted Subsidiary in good faith;</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20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70" w:lineRule="exact"/>
        <w:rPr>
          <w:rFonts w:ascii="Arial" w:cs="Arial" w:eastAsia="Arial" w:hAnsi="Arial"/>
          <w:sz w:val="18"/>
          <w:szCs w:val="18"/>
          <w:color w:val="auto"/>
        </w:rPr>
      </w:pPr>
    </w:p>
    <w:p>
      <w:pPr>
        <w:ind w:left="660" w:right="360" w:firstLine="645"/>
        <w:spacing w:after="0" w:line="277" w:lineRule="auto"/>
        <w:tabs>
          <w:tab w:leader="none" w:pos="20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an Issuer or any Restricted Subsidiary resulting from the exercise of any rights arising out of defaults on receivables;</w:t>
      </w:r>
    </w:p>
    <w:p>
      <w:pPr>
        <w:spacing w:after="0" w:line="170" w:lineRule="exact"/>
        <w:rPr>
          <w:rFonts w:ascii="Arial" w:cs="Arial" w:eastAsia="Arial" w:hAnsi="Arial"/>
          <w:sz w:val="18"/>
          <w:szCs w:val="18"/>
          <w:color w:val="auto"/>
        </w:rPr>
      </w:pPr>
    </w:p>
    <w:p>
      <w:pPr>
        <w:ind w:left="660" w:right="580" w:firstLine="645"/>
        <w:spacing w:after="0" w:line="264" w:lineRule="auto"/>
        <w:tabs>
          <w:tab w:leader="none" w:pos="20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in favor of an Issuer or any Restricted Subsidiary;</w:t>
      </w:r>
    </w:p>
    <w:p>
      <w:pPr>
        <w:spacing w:after="0" w:line="225" w:lineRule="exact"/>
        <w:rPr>
          <w:rFonts w:ascii="Arial" w:cs="Arial" w:eastAsia="Arial" w:hAnsi="Arial"/>
          <w:sz w:val="18"/>
          <w:szCs w:val="18"/>
          <w:color w:val="auto"/>
        </w:rPr>
      </w:pPr>
    </w:p>
    <w:p>
      <w:pPr>
        <w:jc w:val="both"/>
        <w:ind w:left="660" w:firstLine="645"/>
        <w:spacing w:after="0" w:line="279" w:lineRule="auto"/>
        <w:tabs>
          <w:tab w:leader="none" w:pos="2013"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171" w:lineRule="exact"/>
        <w:rPr>
          <w:rFonts w:ascii="Arial" w:cs="Arial" w:eastAsia="Arial" w:hAnsi="Arial"/>
          <w:sz w:val="17"/>
          <w:szCs w:val="17"/>
          <w:color w:val="auto"/>
        </w:rPr>
      </w:pPr>
    </w:p>
    <w:p>
      <w:pPr>
        <w:ind w:left="2000" w:hanging="695"/>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225" w:lineRule="exact"/>
        <w:rPr>
          <w:rFonts w:ascii="Arial" w:cs="Arial" w:eastAsia="Arial" w:hAnsi="Arial"/>
          <w:sz w:val="18"/>
          <w:szCs w:val="18"/>
          <w:color w:val="auto"/>
        </w:rPr>
      </w:pPr>
    </w:p>
    <w:p>
      <w:pPr>
        <w:ind w:left="660" w:right="80" w:firstLine="645"/>
        <w:spacing w:after="0" w:line="302" w:lineRule="auto"/>
        <w:tabs>
          <w:tab w:leader="none" w:pos="2013"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w:t>
      </w:r>
    </w:p>
    <w:p>
      <w:pPr>
        <w:sectPr>
          <w:pgSz w:w="11900" w:h="16918" w:orient="portrait"/>
          <w:cols w:equalWidth="0" w:num="1">
            <w:col w:w="11400"/>
          </w:cols>
          <w:pgMar w:left="240" w:top="125" w:right="259" w:bottom="0" w:gutter="0" w:footer="0" w:header="0"/>
        </w:sectPr>
      </w:pPr>
    </w:p>
    <w:bookmarkStart w:id="7" w:name="page8"/>
    <w:bookmarkEnd w:id="7"/>
    <w:p>
      <w:pPr>
        <w:spacing w:after="0" w:line="6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(including the Notes), including the amount of all accrued interest thereon and reasonable fees and expenses and premium, if any, incurred by the Issuers or any Restricted Subsidiary in connection therewith;</w:t>
      </w:r>
    </w:p>
    <w:p>
      <w:pPr>
        <w:spacing w:after="0" w:line="170" w:lineRule="exact"/>
        <w:rPr>
          <w:sz w:val="20"/>
          <w:szCs w:val="20"/>
          <w:color w:val="auto"/>
        </w:rPr>
      </w:pPr>
    </w:p>
    <w:p>
      <w:pPr>
        <w:ind w:left="660" w:right="200" w:firstLine="645"/>
        <w:spacing w:after="0" w:line="277"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Lien upon or deposits of any assets to secure performance of bids, trade contracts, leases or statutory obligations;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firstLine="645"/>
        <w:spacing w:after="0" w:line="302" w:lineRule="auto"/>
        <w:tabs>
          <w:tab w:leader="none" w:pos="2013"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54" w:lineRule="exact"/>
        <w:rPr>
          <w:rFonts w:ascii="Arial" w:cs="Arial" w:eastAsia="Arial" w:hAnsi="Arial"/>
          <w:sz w:val="16"/>
          <w:szCs w:val="16"/>
          <w:color w:val="auto"/>
        </w:rPr>
      </w:pPr>
    </w:p>
    <w:p>
      <w:pPr>
        <w:ind w:left="660" w:firstLine="645"/>
        <w:spacing w:after="0" w:line="259" w:lineRule="auto"/>
        <w:tabs>
          <w:tab w:leader="none" w:pos="201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6" w:lineRule="exact"/>
        <w:rPr>
          <w:rFonts w:ascii="Arial" w:cs="Arial" w:eastAsia="Arial" w:hAnsi="Arial"/>
          <w:sz w:val="18"/>
          <w:szCs w:val="18"/>
          <w:color w:val="auto"/>
        </w:rPr>
      </w:pPr>
    </w:p>
    <w:p>
      <w:pPr>
        <w:ind w:left="660" w:right="400" w:firstLine="645"/>
        <w:spacing w:after="0" w:line="257" w:lineRule="auto"/>
        <w:tabs>
          <w:tab w:leader="none" w:pos="2013" w:val="left"/>
        </w:tabs>
        <w:numPr>
          <w:ilvl w:val="0"/>
          <w:numId w:val="7"/>
        </w:numPr>
        <w:rPr>
          <w:rFonts w:ascii="Arial" w:cs="Arial" w:eastAsia="Arial" w:hAnsi="Arial"/>
          <w:sz w:val="18"/>
          <w:szCs w:val="18"/>
          <w:color w:val="auto"/>
        </w:rPr>
      </w:pPr>
      <w:r>
        <w:rPr>
          <w:rFonts w:ascii="Arial" w:cs="Arial" w:eastAsia="Arial" w:hAnsi="Arial"/>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88" w:lineRule="exact"/>
        <w:rPr>
          <w:rFonts w:ascii="Arial" w:cs="Arial" w:eastAsia="Arial" w:hAnsi="Arial"/>
          <w:sz w:val="18"/>
          <w:szCs w:val="18"/>
          <w:color w:val="auto"/>
        </w:rPr>
      </w:pPr>
    </w:p>
    <w:p>
      <w:pPr>
        <w:ind w:left="660" w:right="580" w:firstLine="645"/>
        <w:spacing w:after="0" w:line="277" w:lineRule="auto"/>
        <w:tabs>
          <w:tab w:leader="none" w:pos="201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70"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67"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“Restricted Subsidiary” means any Subsidiary of the Partnership owning or leasing, directly or indirectly through ownership in another Subsidiary, and Principal Property.</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“Securities” shall have the meaning assigned to such term in the Exchange and Registration Rights Agreement relating thereto.</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“Series A Notes” means the Issuers’ 6.70% Series A Senior Notes due 2036 to be issued pursuant to this Supplemental Indenture.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“Series B Notes” means the Issuers’ 6.70% Series B Notes due 2036 to be issued pursuant to an Exchange Offer.</w:t>
      </w:r>
    </w:p>
    <w:p>
      <w:pPr>
        <w:spacing w:after="0" w:line="225"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Guarantors” means each of:</w:t>
      </w:r>
    </w:p>
    <w:p>
      <w:pPr>
        <w:spacing w:after="0" w:line="225" w:lineRule="exact"/>
        <w:rPr>
          <w:sz w:val="20"/>
          <w:szCs w:val="20"/>
          <w:color w:val="auto"/>
        </w:rPr>
      </w:pPr>
    </w:p>
    <w:p>
      <w:pPr>
        <w:ind w:left="2000" w:hanging="695"/>
        <w:spacing w:after="0"/>
        <w:tabs>
          <w:tab w:leader="none" w:pos="2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Subsidiaries of the Partnership named as the “Subsidiary Guarantors” on the signature pages of this Supplemental Indenture;</w:t>
      </w:r>
    </w:p>
    <w:p>
      <w:pPr>
        <w:spacing w:after="0" w:line="248" w:lineRule="exact"/>
        <w:rPr>
          <w:rFonts w:ascii="Arial" w:cs="Arial" w:eastAsia="Arial" w:hAnsi="Arial"/>
          <w:sz w:val="16"/>
          <w:szCs w:val="16"/>
          <w:color w:val="auto"/>
        </w:rPr>
      </w:pPr>
    </w:p>
    <w:p>
      <w:pPr>
        <w:ind w:left="2000" w:hanging="695"/>
        <w:spacing w:after="0"/>
        <w:tabs>
          <w:tab w:leader="none" w:pos="2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other Subsidiary that executes a supplemental Indenture to provide a Guarantee in accordance with the provisions of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Indenture; and</w:t>
      </w:r>
    </w:p>
    <w:p>
      <w:pPr>
        <w:spacing w:after="0" w:line="210" w:lineRule="exact"/>
        <w:rPr>
          <w:rFonts w:ascii="Arial" w:cs="Arial" w:eastAsia="Arial" w:hAnsi="Arial"/>
          <w:sz w:val="17"/>
          <w:szCs w:val="17"/>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their respective successors and assigns.</w:t>
      </w:r>
    </w:p>
    <w:p>
      <w:pPr>
        <w:spacing w:after="0" w:line="22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Notwithstanding anything in the Indenture to the contrary, PAA Finance, Plains LPG Marketing, L.P., Atchafalaya Pipeline, L.L.C., Plains Marketing International GP LLC, Plains Marketing International, L.P. and Andrews Partners, LLC shall not be Subsidiary Guarantors.</w:t>
      </w:r>
    </w:p>
    <w:p>
      <w:pPr>
        <w:spacing w:after="0" w:line="147"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“Transfer Restricted Securities” means any Notes outstanding prior to the Resale Restriction Termination Date with respect to such Notes and which must bear the legend required under Section 3.04 hereof.</w:t>
      </w:r>
    </w:p>
    <w:p>
      <w:pPr>
        <w:sectPr>
          <w:pgSz w:w="11900" w:h="16902" w:orient="portrait"/>
          <w:cols w:equalWidth="0" w:num="1">
            <w:col w:w="11400"/>
          </w:cols>
          <w:pgMar w:left="240" w:top="125" w:right="25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80" w:type="dxa"/>
            <w:vAlign w:val="bottom"/>
          </w:tcPr>
          <w:p>
            <w:pPr>
              <w:ind w:left="1280"/>
              <w:spacing w:after="0"/>
              <w:rPr>
                <w:sz w:val="20"/>
                <w:szCs w:val="20"/>
                <w:color w:val="auto"/>
              </w:rPr>
            </w:pPr>
            <w:r>
              <w:rPr>
                <w:rFonts w:ascii="Arial" w:cs="Arial" w:eastAsia="Arial" w:hAnsi="Arial"/>
                <w:sz w:val="18"/>
                <w:szCs w:val="18"/>
                <w:color w:val="auto"/>
              </w:rPr>
              <w:t>Section 2.02.</w:t>
            </w:r>
          </w:p>
        </w:tc>
        <w:tc>
          <w:tcPr>
            <w:tcW w:w="2140" w:type="dxa"/>
            <w:vAlign w:val="bottom"/>
            <w:gridSpan w:val="2"/>
          </w:tcPr>
          <w:p>
            <w:pPr>
              <w:spacing w:after="0"/>
              <w:rPr>
                <w:sz w:val="20"/>
                <w:szCs w:val="20"/>
                <w:color w:val="auto"/>
              </w:rPr>
            </w:pPr>
            <w:r>
              <w:rPr>
                <w:rFonts w:ascii="Arial" w:cs="Arial" w:eastAsia="Arial" w:hAnsi="Arial"/>
                <w:sz w:val="18"/>
                <w:szCs w:val="18"/>
                <w:color w:val="auto"/>
              </w:rPr>
              <w:t>Other Definitions.</w:t>
            </w:r>
          </w:p>
        </w:tc>
        <w:tc>
          <w:tcPr>
            <w:tcW w:w="4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Term</w:t>
            </w:r>
          </w:p>
        </w:tc>
        <w:tc>
          <w:tcPr>
            <w:tcW w:w="12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Defined 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“Additional Notes”</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“Covenant Defeasance”</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80" w:type="dxa"/>
            <w:vAlign w:val="bottom"/>
            <w:gridSpan w:val="4"/>
          </w:tcPr>
          <w:p>
            <w:pPr>
              <w:jc w:val="right"/>
              <w:ind w:right="14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“Distribution Compliance Period”</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3.03(c)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“Event of Default”</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80" w:type="dxa"/>
            <w:vAlign w:val="bottom"/>
            <w:gridSpan w:val="4"/>
          </w:tcPr>
          <w:p>
            <w:pPr>
              <w:jc w:val="right"/>
              <w:ind w:right="140"/>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“IAI Global Note”</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“IAIs”</w:t>
            </w: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80" w:type="dxa"/>
            <w:vAlign w:val="bottom"/>
            <w:gridSpan w:val="4"/>
          </w:tcPr>
          <w:p>
            <w:pPr>
              <w:jc w:val="right"/>
              <w:ind w:right="14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20" w:type="dxa"/>
            <w:vAlign w:val="bottom"/>
          </w:tcPr>
          <w:p>
            <w:pPr>
              <w:jc w:val="right"/>
              <w:ind w:right="381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700" w:type="dxa"/>
            <w:vAlign w:val="bottom"/>
            <w:gridSpan w:val="2"/>
          </w:tcPr>
          <w:p>
            <w:pPr>
              <w:spacing w:after="0"/>
              <w:rPr>
                <w:sz w:val="10"/>
                <w:szCs w:val="10"/>
                <w:color w:val="auto"/>
              </w:rPr>
            </w:pPr>
          </w:p>
        </w:tc>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5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2680" w:type="dxa"/>
            <w:vAlign w:val="bottom"/>
            <w:tcBorders>
              <w:top w:val="single" w:sz="8" w:color="808080"/>
            </w:tcBorders>
          </w:tcPr>
          <w:p>
            <w:pPr>
              <w:spacing w:after="0"/>
              <w:rPr>
                <w:sz w:val="24"/>
                <w:szCs w:val="24"/>
                <w:color w:val="auto"/>
              </w:rPr>
            </w:pPr>
          </w:p>
        </w:tc>
        <w:tc>
          <w:tcPr>
            <w:tcW w:w="1260" w:type="dxa"/>
            <w:vAlign w:val="bottom"/>
            <w:tcBorders>
              <w:top w:val="single" w:sz="8" w:color="808080"/>
            </w:tcBorders>
          </w:tcPr>
          <w:p>
            <w:pPr>
              <w:spacing w:after="0"/>
              <w:rPr>
                <w:sz w:val="24"/>
                <w:szCs w:val="24"/>
                <w:color w:val="auto"/>
              </w:rPr>
            </w:pPr>
          </w:p>
        </w:tc>
        <w:tc>
          <w:tcPr>
            <w:tcW w:w="880" w:type="dxa"/>
            <w:vAlign w:val="bottom"/>
            <w:tcBorders>
              <w:top w:val="single" w:sz="8" w:color="808080"/>
            </w:tcBorders>
          </w:tcPr>
          <w:p>
            <w:pPr>
              <w:spacing w:after="0"/>
              <w:rPr>
                <w:sz w:val="24"/>
                <w:szCs w:val="24"/>
                <w:color w:val="auto"/>
              </w:rPr>
            </w:pPr>
          </w:p>
        </w:tc>
        <w:tc>
          <w:tcPr>
            <w:tcW w:w="6580" w:type="dxa"/>
            <w:vAlign w:val="bottom"/>
            <w:tcBorders>
              <w:top w:val="single" w:sz="8" w:color="808080"/>
            </w:tcBorders>
            <w:gridSpan w:val="4"/>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“Legal Defeasance”</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“Note Obligations”</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80" w:type="dxa"/>
            <w:vAlign w:val="bottom"/>
            <w:gridSpan w:val="4"/>
          </w:tcPr>
          <w:p>
            <w:pPr>
              <w:jc w:val="right"/>
              <w:ind w:right="140"/>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“Payment Default</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“QIBs”</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80" w:type="dxa"/>
            <w:vAlign w:val="bottom"/>
            <w:gridSpan w:val="4"/>
          </w:tcPr>
          <w:p>
            <w:pPr>
              <w:jc w:val="right"/>
              <w:ind w:right="14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“Regulation S”</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“Regulation S Global Note”</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80" w:type="dxa"/>
            <w:vAlign w:val="bottom"/>
            <w:gridSpan w:val="4"/>
          </w:tcPr>
          <w:p>
            <w:pPr>
              <w:jc w:val="right"/>
              <w:ind w:right="14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“Required Filing Dates”</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“Resale Restriction Termination Date”</w:t>
            </w:r>
          </w:p>
        </w:tc>
        <w:tc>
          <w:tcPr>
            <w:tcW w:w="6580" w:type="dxa"/>
            <w:vAlign w:val="bottom"/>
            <w:gridSpan w:val="4"/>
          </w:tcPr>
          <w:p>
            <w:pPr>
              <w:jc w:val="right"/>
              <w:ind w:right="14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“Rule 144A”</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“Rule 144A Global Note”</w:t>
            </w: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80" w:type="dxa"/>
            <w:vAlign w:val="bottom"/>
            <w:gridSpan w:val="4"/>
          </w:tcPr>
          <w:p>
            <w:pPr>
              <w:jc w:val="right"/>
              <w:ind w:right="14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“Successor Company”</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“U.S. Persons”</w:t>
            </w: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80" w:type="dxa"/>
            <w:vAlign w:val="bottom"/>
            <w:gridSpan w:val="4"/>
          </w:tcPr>
          <w:p>
            <w:pPr>
              <w:jc w:val="right"/>
              <w:ind w:right="14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-2028190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-2028190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right="60" w:firstLine="1297"/>
        <w:spacing w:after="0" w:line="286"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Form</w:t>
      </w:r>
      <w:r>
        <w:rPr>
          <w:rFonts w:ascii="Arial" w:cs="Arial" w:eastAsia="Arial" w:hAnsi="Arial"/>
          <w:sz w:val="16"/>
          <w:szCs w:val="16"/>
          <w:color w:val="auto"/>
        </w:rPr>
        <w:t>. The Notes shall be issued initially in the form of one or more Global Securities as Series A Notes, with Series A Notes initially resold in reliance upon Rule 144A and Regulation S being represented by separate Global Securities, which are referred to herein as the “Rule 144A Global Note” and the “Regulation S Global Note,” respectively. The Series A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The Series A Notes constituting Transfer Restricted Securities will be resold initially only to (a) Qualified Institutional Buyers (as such term is defined in Section 144A of the Securities Act) (“QIBs”) in reliance on Rule 144A of the Securities Act (“Rule 144A”) and (b) Persons other than U.S. Persons (as defined under Regulation S under the Securities Act (“Regulation S”)) (“U.S. Persons”) in reliance on Regulation S. Thereafter, the Series A Notes may be transferred to, among others, QIBs, purchasers in reliance upon Regulation S and institutional “accredited investors” (as defined in subparagraph (a)(1), (2), (3) or (7) of Rule 501 of the Securities Act (“IAIs”)) in accordance with the procedures set forth in Rule 501 of the Securities Act, provided that any Series A Notes constituting Transfer Restricted Securities that are transferred to IAIs who are not QIBs shall be issued only in definitive form or in the form of interests in a separate Global Security (the “IAI Global Note”). Pursuant to the terms of an Exchange and Registration Rights Agreement, upon consummation of the Exchange Offer contemplated thereby, the Series A Notes constituting Transfer Restricted Securities will be exchanged by the Holders for Series B Notes to be issued by the Issuers in accordance with Section 3.03 hereof. The Series B Notes shall be issued initially in the form of one or more Global Securities, and the Series B Notes and the Trustee’s certificate of authentication shall be substantially in the form of Exhibit A hereto.</w:t>
      </w:r>
    </w:p>
    <w:p>
      <w:pPr>
        <w:spacing w:after="0" w:line="169"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The Issuers may, from time to time, issue an unlimited amount of additional Series A Notes (“Additional Notes”) under the Indenture, which shall be issued in the same form as the Series A Notes issued on the Issue Date and which shall have identical terms as the Series A Notes issued on the Issue Date other than</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with respect to the issue date, issue price and date of first payment of interest. The Series A Notes issued on the Issue Date shall be limited in aggregate principal amount to $250,000,000. The Series A Notes issued on the Issue Date and any Additional Notes subsequently issued, together with any Series B Notes issued in exchange therefor pursuant to an Exchange Offer, shall be treated as a single series for all purposes under the Indenture, including waivers, amendments, redemptions and offers to purchase. If the Issuers issue additional Series A Notes prior to the completion of an Exchange Offer, the period of the resale restrictions applicable to any Series A Notes previously offered and sold in reliance on Rule 144A will be automatically extended to the last day of the period of any resale restrictions imposed on any such additional Series A Notes.</w:t>
      </w:r>
    </w:p>
    <w:p>
      <w:pPr>
        <w:spacing w:after="0" w:line="17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Transfer of Transfer Restricted Securities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57" w:lineRule="auto"/>
        <w:tabs>
          <w:tab w:leader="none" w:pos="1991" w:val="left"/>
        </w:tabs>
        <w:numPr>
          <w:ilvl w:val="1"/>
          <w:numId w:val="9"/>
        </w:numPr>
        <w:rPr>
          <w:rFonts w:ascii="Arial" w:cs="Arial" w:eastAsia="Arial" w:hAnsi="Arial"/>
          <w:sz w:val="18"/>
          <w:szCs w:val="18"/>
          <w:color w:val="auto"/>
        </w:rPr>
      </w:pPr>
      <w:r>
        <w:rPr>
          <w:rFonts w:ascii="Arial" w:cs="Arial" w:eastAsia="Arial" w:hAnsi="Arial"/>
          <w:sz w:val="18"/>
          <w:szCs w:val="18"/>
          <w:color w:val="auto"/>
        </w:rPr>
        <w:t>When Notes are presented to the Registrar with the request to register the transfer of such Notes or exchange such Notes for an equal principal amount of Notes of other authorized denominations, the Registrar shall register the transfer or make the exchange in accordance with Article II of the Original Indenture. In addition, in the case of Series A Notes that are Transfer Restricted Securities in definitive form, such request to register the transfer or make the exchange shall be accompanied by the following additional information and documents, as applicable, upon which the Registrar may conclusively rely:</w:t>
      </w:r>
    </w:p>
    <w:p>
      <w:pPr>
        <w:spacing w:after="0" w:line="188" w:lineRule="exact"/>
        <w:rPr>
          <w:rFonts w:ascii="Arial" w:cs="Arial" w:eastAsia="Arial" w:hAnsi="Arial"/>
          <w:sz w:val="18"/>
          <w:szCs w:val="18"/>
          <w:color w:val="auto"/>
        </w:rPr>
      </w:pPr>
    </w:p>
    <w:p>
      <w:pPr>
        <w:ind w:left="660" w:right="80" w:firstLine="1293"/>
        <w:spacing w:after="0" w:line="277" w:lineRule="auto"/>
        <w:tabs>
          <w:tab w:leader="none" w:pos="2661" w:val="left"/>
        </w:tabs>
        <w:numPr>
          <w:ilvl w:val="2"/>
          <w:numId w:val="9"/>
        </w:numPr>
        <w:rPr>
          <w:rFonts w:ascii="Arial" w:cs="Arial" w:eastAsia="Arial" w:hAnsi="Arial"/>
          <w:sz w:val="18"/>
          <w:szCs w:val="18"/>
          <w:color w:val="auto"/>
        </w:rPr>
      </w:pPr>
      <w:r>
        <w:rPr>
          <w:rFonts w:ascii="Arial" w:cs="Arial" w:eastAsia="Arial" w:hAnsi="Arial"/>
          <w:sz w:val="18"/>
          <w:szCs w:val="18"/>
          <w:color w:val="auto"/>
        </w:rPr>
        <w:t>if such Transfer Restricted Securities are being delivered to the Registrar by a Holder for registration in the name of such Holder, without transfer, a certification from such Holder to that effect in substantially the form of Exhibit C hereto; or</w:t>
      </w:r>
    </w:p>
    <w:p>
      <w:pPr>
        <w:sectPr>
          <w:pgSz w:w="11900" w:h="16838" w:orient="portrait"/>
          <w:cols w:equalWidth="0" w:num="1">
            <w:col w:w="11440"/>
          </w:cols>
          <w:pgMar w:left="240" w:top="324" w:right="219" w:bottom="126" w:gutter="0" w:footer="0" w:header="0"/>
        </w:sectPr>
      </w:pPr>
    </w:p>
    <w:bookmarkStart w:id="9" w:name="page10"/>
    <w:bookmarkEnd w:id="9"/>
    <w:p>
      <w:pPr>
        <w:spacing w:after="0" w:line="56" w:lineRule="exact"/>
        <w:rPr>
          <w:sz w:val="20"/>
          <w:szCs w:val="20"/>
          <w:color w:val="auto"/>
        </w:rPr>
      </w:pPr>
    </w:p>
    <w:p>
      <w:pPr>
        <w:ind w:left="660" w:firstLine="1293"/>
        <w:spacing w:after="0" w:line="259" w:lineRule="auto"/>
        <w:tabs>
          <w:tab w:leader="none" w:pos="26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such Transfer Restricted Securities are being transferred (i) to a QIB in accordance with Rule 144A under the Securities Act or (ii) pursuant to an exemption from registration in accordance with Rule 144 under the Securities Act (and based upon an opinion of counsel if the Issuers or the Trustee so requests) or (iii) pursuant to an effective registration statement under the Securities Act, a certification to that effect from such Holder in substantially the form of Exhibit C hereto; or</w:t>
      </w:r>
    </w:p>
    <w:p>
      <w:pPr>
        <w:spacing w:after="0" w:line="186" w:lineRule="exact"/>
        <w:rPr>
          <w:rFonts w:ascii="Arial" w:cs="Arial" w:eastAsia="Arial" w:hAnsi="Arial"/>
          <w:sz w:val="18"/>
          <w:szCs w:val="18"/>
          <w:color w:val="auto"/>
        </w:rPr>
      </w:pPr>
    </w:p>
    <w:p>
      <w:pPr>
        <w:ind w:left="660" w:right="40" w:firstLine="1293"/>
        <w:spacing w:after="0" w:line="279" w:lineRule="auto"/>
        <w:tabs>
          <w:tab w:leader="none" w:pos="2661"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such Transfer Restricted Securities are being transferred to an IAI within the meaning of Rule 501(a)(1), (2), (3) or (7) under the Securities Act pursuant to a private placement exemption from the registration requirements of the Securities Act (and based upon an opinion of counsel if the Issuers or the Trustee so requests), a certification to that effect from such Holder in substantially the form of Exhibit C hereto and a certification from the applicable transferee in substantially the form of Exhibit D hereto; or</w:t>
      </w:r>
    </w:p>
    <w:p>
      <w:pPr>
        <w:spacing w:after="0" w:line="171" w:lineRule="exact"/>
        <w:rPr>
          <w:rFonts w:ascii="Arial" w:cs="Arial" w:eastAsia="Arial" w:hAnsi="Arial"/>
          <w:sz w:val="17"/>
          <w:szCs w:val="17"/>
          <w:color w:val="auto"/>
        </w:rPr>
      </w:pPr>
    </w:p>
    <w:p>
      <w:pPr>
        <w:ind w:left="660" w:right="140" w:firstLine="1293"/>
        <w:spacing w:after="0" w:line="277" w:lineRule="auto"/>
        <w:tabs>
          <w:tab w:leader="none" w:pos="26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such Transfer Restricted Securities are being transferred to Persons other than U.S. Persons in reliance on Regulation S, a certification to that effect from such Holder in substantially the form of Exhibit E hereto;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00" w:firstLine="1293"/>
        <w:spacing w:after="0" w:line="264" w:lineRule="auto"/>
        <w:tabs>
          <w:tab w:leader="none" w:pos="2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such Transfer Restricted Securities are being transferred in reliance on another exemption from the registration requirements of the Securities Act (and based upon an opinion of counsel if the Issuers or the Trustee so requests), a certification to that effect from such Holder in substantially the form of Exhibit C hereto.</w:t>
      </w:r>
    </w:p>
    <w:p>
      <w:pPr>
        <w:spacing w:after="0" w:line="181" w:lineRule="exact"/>
        <w:rPr>
          <w:rFonts w:ascii="Arial" w:cs="Arial" w:eastAsia="Arial" w:hAnsi="Arial"/>
          <w:sz w:val="18"/>
          <w:szCs w:val="18"/>
          <w:color w:val="auto"/>
        </w:rPr>
      </w:pPr>
    </w:p>
    <w:p>
      <w:pPr>
        <w:ind w:right="240" w:firstLine="1305"/>
        <w:spacing w:after="0" w:line="277" w:lineRule="auto"/>
        <w:tabs>
          <w:tab w:leader="none" w:pos="20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any sale or transfer of a Transfer Restricted Security (including any Transfer Restricted Security represented by a Global Security) pursuant to Rule 144 under the Securities Act or an effective registration statement under the Securities Act:</w:t>
      </w:r>
    </w:p>
    <w:p>
      <w:pPr>
        <w:spacing w:after="0" w:line="170" w:lineRule="exact"/>
        <w:rPr>
          <w:rFonts w:ascii="Arial" w:cs="Arial" w:eastAsia="Arial" w:hAnsi="Arial"/>
          <w:sz w:val="18"/>
          <w:szCs w:val="18"/>
          <w:color w:val="auto"/>
        </w:rPr>
      </w:pPr>
    </w:p>
    <w:p>
      <w:pPr>
        <w:ind w:left="660" w:right="240" w:firstLine="1293"/>
        <w:spacing w:after="0" w:line="264" w:lineRule="auto"/>
        <w:tabs>
          <w:tab w:leader="none" w:pos="2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case of any Transfer Restricted Security that is in the form of a definitive Note, the Registrar shall permit the Holder thereof to exchange such Transfer Restricted Security for a definitive Note that does not bear the legend set forth in Section 3.04(a) below and rescind any restriction on the transfer of such Transfer Restricted Security; and</w:t>
      </w:r>
    </w:p>
    <w:p>
      <w:pPr>
        <w:spacing w:after="0" w:line="181" w:lineRule="exact"/>
        <w:rPr>
          <w:rFonts w:ascii="Arial" w:cs="Arial" w:eastAsia="Arial" w:hAnsi="Arial"/>
          <w:sz w:val="18"/>
          <w:szCs w:val="18"/>
          <w:color w:val="auto"/>
        </w:rPr>
      </w:pPr>
    </w:p>
    <w:p>
      <w:pPr>
        <w:ind w:left="660" w:right="40" w:firstLine="1293"/>
        <w:spacing w:after="0" w:line="312" w:lineRule="auto"/>
        <w:tabs>
          <w:tab w:leader="none" w:pos="2661"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the case of any Transfer Restricted Security represented by a Global Security, such Transfer Restricted Security shall not be required to bear the legend set forth in Section 3.04(a) below if all other interests in such Global Security have been or are concurrently being sold or transferred pursuant to Rule 144 under the Securities Act or pursuant to an effective registration statement under the Securities Act.</w:t>
      </w:r>
    </w:p>
    <w:p>
      <w:pPr>
        <w:spacing w:after="0" w:line="1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Notwithstanding the foregoing, upon consummation of an Exchange Offer, the Issuers shall issue and, upon receipt of an authentication order in accordance with Section 2.05 of the Original Indenture, the Trustee shall authenticate Series B Notes in exchange for Series A Notes accepted for exchange in the Exchange Offer, which Series B Notes shall not bear the legend set forth in Section 3.04(a) below, and the Registrar shall rescind any restriction on the transfer of such Notes, in each case unless the Holder of such Series A Notes is either (1) is an affiliate of the Issuers within the meaning of Rule 405 under the Securities Act or an Initial Purchaser holding Series A Notes acquired by it and having the status of an unsold allotment in the initial offering and sale of Series A Notes pursuant to the Purchase Agreement, dated as of May 9, 2006, between the Issuers, the other parties referred to as “Plains Parties” therein and the Initial Purchasers, (2) does not acquire the Series B Notes in the ordinary course of such Holder’s business or (3) has an arrangement or understanding with any Person to participate in the Exchange Offer for the purpose of distributing such Series B Notes or is engaged in, and intends to engage in, any such distribution. The Issuers shall identify to the Trustee such Holders of the Notes in a written certification signed by an officer of each Issuer and, absent certification from the Issuers to such effect, the Trustee shall assume that there are no such Holders.</w:t>
      </w:r>
    </w:p>
    <w:p>
      <w:pPr>
        <w:spacing w:after="0" w:line="169" w:lineRule="exact"/>
        <w:rPr>
          <w:sz w:val="20"/>
          <w:szCs w:val="20"/>
          <w:color w:val="auto"/>
        </w:rPr>
      </w:pPr>
    </w:p>
    <w:p>
      <w:pPr>
        <w:ind w:right="140" w:firstLine="1305"/>
        <w:spacing w:after="0" w:line="297" w:lineRule="auto"/>
        <w:tabs>
          <w:tab w:leader="none" w:pos="1991"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Until the 40th day after the later of the commencement of the offering of the Series A Notes and the Issue Date thereof (such period, the “Distribution Compliance Period”), a beneficial interest in a Regulation S Global Note may be transferred to a Person who takes delivery in the form of an interest in a Rule 144A Global Note or an IAI Global Note only if the transferor first delivers to the Trustee a written certificate (in the form provided in Exhibit C hereto) to the effect that such transfer is being made to a Person who the transferor reasonably believes is purchasing for its own account or accounts as to which it exercises sole investment discretion and that such Person is a QIB acquiring such Series A Notes in a transaction meeting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requirements of Rule 144A or an IAI acquiring such Series A Notes pursuant to a private placement exemption under the Securities Act, in each case in accordance with any applicable securities laws of any state of the United States or any other jurisdiction; provided that, in the case of a transfer to a Person who takes delivery in the form of an interest in an IAI Global Note, such Person shall deliver to the Trustee a written certificate in the form provided in Exhibit D hereto. After the expiration of the Distribution Compliance Period, such certification requirements shall not apply to such transfers of beneficial interests in the Regulation S Global Notes.</w:t>
      </w:r>
    </w:p>
    <w:p>
      <w:pPr>
        <w:spacing w:after="0" w:line="188" w:lineRule="exact"/>
        <w:rPr>
          <w:sz w:val="20"/>
          <w:szCs w:val="20"/>
          <w:color w:val="auto"/>
        </w:rPr>
      </w:pPr>
    </w:p>
    <w:p>
      <w:pPr>
        <w:ind w:right="180" w:firstLine="1305"/>
        <w:spacing w:after="0" w:line="259" w:lineRule="auto"/>
        <w:tabs>
          <w:tab w:leader="none" w:pos="20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Beneficial interests in a Rule 144A Global Note or an IAI Global Note may be transferred to a Person who takes delivery in the form of an interest in a Regulation S Global Note, whether before or after the expiration of the Distribution Compliance Period, only if the transferor first delivers to the Trustee a written certificate (in the form provided in Exhibit C or E hereto, as applicable) to the effect that such transfer is being made in accordance with Rule 904 of Regulation S or Rule 144 (if available).</w:t>
      </w:r>
    </w:p>
    <w:p>
      <w:pPr>
        <w:spacing w:after="0" w:line="187"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Restrictive Legends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7" w:lineRule="auto"/>
        <w:tabs>
          <w:tab w:leader="none" w:pos="19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provided in Section 3.03 hereof, prior to the Resale Restriction Termination Date, each security certificate evidencing the Notes shall bear a legend in substantially the following form:</w:t>
      </w:r>
    </w:p>
    <w:p>
      <w:pPr>
        <w:spacing w:after="0" w:line="170"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THE ISSUANCE AND SALE OF THIS SECURITY (AND ANY GUARANTEE HEREOF) HAVE NOT BEEN REGISTERED UNDER THE SECURITIES ACT OF 1933, AS AMENDED (THE “SECURITIES ACT”), OR ANY STATE SECURITIES LAWS. NEITHER THIS SECURITY (NOR ANY GUARANTEE HEREOF) NOR ANY INTEREST OR PARTICIPATION HEREIN (OR THEREIN) MAY BE OFFERED, SOLD, ASSIGNED, TRANSFERRED, PLEDGED, ENCUMBERED OR OTHERWISE DISPOSED OF IN THE ABSENCE OF SUCH REGISTRATION OR UNLESS SUCH TRANSACTION IS EXEMPT FROM, OR NOT SUBJECT TO, THE REGISTRATION REQUIREMENTS OF THE SECURITIES ACT OR ANY APPLICABLE STATE SECURITIES LAWS. THE HOLDER HEREOF, BY ITS ACCEPTANCE OF THIS SECURITY, AGREES FOR THE BENEFIT OF THE ISSUERS THAT THIS SECURITY MAY NOT BE OFFERED, SOLD, PLEDGED OR OTHERWISE TRANSFERRED PRIOR TO THE</w:t>
      </w:r>
    </w:p>
    <w:p>
      <w:pPr>
        <w:sectPr>
          <w:pgSz w:w="11900" w:h="16894" w:orient="portrait"/>
          <w:cols w:equalWidth="0" w:num="1">
            <w:col w:w="11380"/>
          </w:cols>
          <w:pgMar w:left="240" w:top="125" w:right="279" w:bottom="0" w:gutter="0" w:footer="0" w:header="0"/>
        </w:sectPr>
      </w:pPr>
    </w:p>
    <w:bookmarkStart w:id="10" w:name="page11"/>
    <w:bookmarkEnd w:id="10"/>
    <w:p>
      <w:pPr>
        <w:ind w:right="40"/>
        <w:spacing w:after="0" w:line="267" w:lineRule="auto"/>
        <w:rPr>
          <w:sz w:val="20"/>
          <w:szCs w:val="20"/>
          <w:color w:val="auto"/>
        </w:rPr>
      </w:pPr>
      <w:r>
        <w:rPr>
          <w:rFonts w:ascii="Arial" w:cs="Arial" w:eastAsia="Arial" w:hAnsi="Arial"/>
          <w:sz w:val="17"/>
          <w:szCs w:val="17"/>
          <w:color w:val="auto"/>
        </w:rPr>
        <w:t>EXPIRATION OF THE HOLDING PERIOD APPLICABLE THERETO UNDER RULE 144(k) UNDER THE SECURITIES ACT WHICH IS APPLICABLE TO THIS SECURITY (THE “RESALE RESTRICTION TERMINATION DATE”) OTHER THAN (1) TO THE ISSUERS OR THEIR RESPECTIVE SUBSIDIARIES, (2) 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IN EACH CASE TO WHOM NOTICE IS GIVEN THAT THE RESALE, PLEDGE OR OTHER TRANSFER IS BEING MADE IN RELIANCE ON RULE 144A, (3) INSIDE THE UNITED STATES TO AN INSTITUTIONAL “ACCREDITED INVESTOR” (AS DEFINED IN RULE 501(A)(1), (2),</w:t>
      </w:r>
    </w:p>
    <w:p>
      <w:pPr>
        <w:spacing w:after="0" w:line="5" w:lineRule="exact"/>
        <w:rPr>
          <w:sz w:val="20"/>
          <w:szCs w:val="20"/>
          <w:color w:val="auto"/>
        </w:rPr>
      </w:pPr>
    </w:p>
    <w:p>
      <w:pPr>
        <w:ind w:left="5620" w:right="5060" w:hanging="5612"/>
        <w:spacing w:after="0" w:line="511" w:lineRule="auto"/>
        <w:tabs>
          <w:tab w:leader="none" w:pos="2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 (7) UNDER THE SECURITIES ACT), (4) TO A NON-”U.S. PERSON” IN AN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“OFFSHORE TRANSACTION” (AS SUCH TERMS ARE DEFINED IN REGULATION S UNDER THE SECURITIES ACT) IN ACCORDANCE WITH REGULATION S UNDER THE SECURITIES ACT, (5) PURSUANT TO ANY OTHER AVAILABLE EXEMPTION FROM THE REGISTRATION REQUIREMENTS OF THE SECURITIES ACT, INCLUDING THE EXEMPTION PROVIDED BY RULE 144 UNDER THE SECURITIES ACT, IF AVAILABLE, OR (6) PURSUANT TO AN EFFECTIVE REGISTRATION STATEMENT UNDER THE SECURITIES ACT, SUBJECT IN EACH OF THE FOREGOING CASES TO ANY REQUIREMENT OF LAW THAT THE DISPOSITION OF ITS PROPERTY OR THE PROPERTY OF SUCH INVESTOR ACCOUNT OR ACCOUNTS BE AT ALL TIMES WITHIN ITS OR THEIR CONTROL, AND SUBJECT TO THE RIGHT OF THE ISSUERS OR THE TRUSTEE FOR THE SECURITIES PRIOR TO ANY SUCH SALE, PLEDGE OR OTHER TRANSFER TO REQUIRE THE DELIVERY OF AN OPINION OF COUNSEL, CERTIFICATIONS AND/OR OTHER INFORMATION SATISFACTORY TO EACH OF THEM. THIS LEGEND WILL BE REMOVED UPON REQUEST OF THE HOLDER ON OR AFTER THE RESALE RESTRICTION TERMINATION DATE.</w:t>
      </w:r>
    </w:p>
    <w:p>
      <w:pPr>
        <w:spacing w:after="0" w:line="182" w:lineRule="exact"/>
        <w:rPr>
          <w:sz w:val="20"/>
          <w:szCs w:val="20"/>
          <w:color w:val="auto"/>
        </w:rPr>
      </w:pPr>
    </w:p>
    <w:p>
      <w:pPr>
        <w:ind w:left="2000" w:hanging="695"/>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security certificate evidencing the Global Securities shall bear a legend in substantially the following form:</w:t>
      </w:r>
    </w:p>
    <w:p>
      <w:pPr>
        <w:spacing w:after="0" w:line="225"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their option at any time prior to maturity, the Issuers may choose to redeem all or any portion of the Notes, at once or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right="180" w:firstLine="1305"/>
        <w:spacing w:after="0" w:line="286" w:lineRule="auto"/>
        <w:tabs>
          <w:tab w:leader="none" w:pos="20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redeem the Notes, the Issuers must pay a redemption price in an amount determined in accordance with the provisions of paragraph number 5 of the form of Note in Exhibit A hereto, plus accrued and unpaid interest, if any, including Additional Interest, if any, to the redemption date (subject to the right of Holders on the relevant record date to receive interest due on the relevant interest payment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60" w:firstLine="1305"/>
        <w:spacing w:after="0" w:line="264" w:lineRule="auto"/>
        <w:tabs>
          <w:tab w:leader="none" w:pos="19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 The Issuers shall not be required to make mandatory redemption or sinking fund payments with respect to the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80" w:firstLine="1297"/>
        <w:spacing w:after="0" w:line="269"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Officer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183" w:lineRule="exact"/>
        <w:rPr>
          <w:sz w:val="20"/>
          <w:szCs w:val="20"/>
          <w:color w:val="auto"/>
        </w:rPr>
      </w:pPr>
    </w:p>
    <w:p>
      <w:pPr>
        <w:ind w:right="60" w:firstLine="1305"/>
        <w:spacing w:after="0" w:line="312" w:lineRule="auto"/>
        <w:tabs>
          <w:tab w:leader="none" w:pos="20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Issuers shall, so long as any of the Notes are outstanding, deliver to the Trustee, forthwith and in any event within five days upon any Officer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ectPr>
          <w:pgSz w:w="11900" w:h="16838" w:orient="portrait"/>
          <w:cols w:equalWidth="0" w:num="1">
            <w:col w:w="11420"/>
          </w:cols>
          <w:pgMar w:left="240" w:top="125" w:right="239" w:bottom="0" w:gutter="0" w:footer="0" w:header="0"/>
        </w:sectPr>
      </w:pPr>
    </w:p>
    <w:bookmarkStart w:id="11" w:name="page12"/>
    <w:bookmarkEnd w:id="11"/>
    <w:p>
      <w:pPr>
        <w:spacing w:after="0" w:line="110"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Limitations on Liens</w:t>
      </w:r>
      <w:r>
        <w:rPr>
          <w:rFonts w:ascii="Arial" w:cs="Arial" w:eastAsia="Arial" w:hAnsi="Arial"/>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88" w:lineRule="exact"/>
        <w:rPr>
          <w:sz w:val="20"/>
          <w:szCs w:val="20"/>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60" w:firstLine="1305"/>
        <w:spacing w:after="0" w:line="286" w:lineRule="auto"/>
        <w:tabs>
          <w:tab w:leader="none" w:pos="20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65" w:lineRule="exact"/>
        <w:rPr>
          <w:rFonts w:ascii="Arial" w:cs="Arial" w:eastAsia="Arial" w:hAnsi="Arial"/>
          <w:sz w:val="17"/>
          <w:szCs w:val="17"/>
          <w:color w:val="auto"/>
        </w:rPr>
      </w:pPr>
    </w:p>
    <w:p>
      <w:pPr>
        <w:ind w:firstLine="1305"/>
        <w:spacing w:after="0" w:line="264" w:lineRule="auto"/>
        <w:tabs>
          <w:tab w:leader="none" w:pos="19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81" w:lineRule="exact"/>
        <w:rPr>
          <w:rFonts w:ascii="Arial" w:cs="Arial" w:eastAsia="Arial" w:hAnsi="Arial"/>
          <w:sz w:val="18"/>
          <w:szCs w:val="18"/>
          <w:color w:val="auto"/>
        </w:rPr>
      </w:pPr>
    </w:p>
    <w:p>
      <w:pPr>
        <w:ind w:right="280" w:firstLine="1305"/>
        <w:spacing w:after="0" w:line="264" w:lineRule="auto"/>
        <w:tabs>
          <w:tab w:leader="none" w:pos="20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181" w:lineRule="exact"/>
        <w:rPr>
          <w:rFonts w:ascii="Arial" w:cs="Arial" w:eastAsia="Arial" w:hAnsi="Arial"/>
          <w:sz w:val="18"/>
          <w:szCs w:val="18"/>
          <w:color w:val="auto"/>
        </w:rPr>
      </w:pPr>
    </w:p>
    <w:p>
      <w:pPr>
        <w:ind w:right="140" w:firstLine="1305"/>
        <w:spacing w:after="0" w:line="264" w:lineRule="auto"/>
        <w:tabs>
          <w:tab w:leader="none" w:pos="19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81" w:lineRule="exact"/>
        <w:rPr>
          <w:rFonts w:ascii="Arial" w:cs="Arial" w:eastAsia="Arial" w:hAnsi="Arial"/>
          <w:sz w:val="18"/>
          <w:szCs w:val="18"/>
          <w:color w:val="auto"/>
        </w:rPr>
      </w:pPr>
    </w:p>
    <w:p>
      <w:pPr>
        <w:ind w:right="20" w:firstLine="1305"/>
        <w:spacing w:after="0" w:line="277" w:lineRule="auto"/>
        <w:tabs>
          <w:tab w:leader="none" w:pos="20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upon any property or assets of an Issuer or any Restricted Subsidiary in existence on December 10, 2003 or provided for pursuant to agreements existing on December 10, 2003;</w:t>
      </w:r>
    </w:p>
    <w:p>
      <w:pPr>
        <w:spacing w:after="0" w:line="170" w:lineRule="exact"/>
        <w:rPr>
          <w:rFonts w:ascii="Arial" w:cs="Arial" w:eastAsia="Arial" w:hAnsi="Arial"/>
          <w:sz w:val="18"/>
          <w:szCs w:val="18"/>
          <w:color w:val="auto"/>
        </w:rPr>
      </w:pPr>
    </w:p>
    <w:p>
      <w:pPr>
        <w:ind w:right="100" w:firstLine="1305"/>
        <w:spacing w:after="0" w:line="264" w:lineRule="auto"/>
        <w:tabs>
          <w:tab w:leader="none" w:pos="20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81" w:lineRule="exact"/>
        <w:rPr>
          <w:rFonts w:ascii="Arial" w:cs="Arial" w:eastAsia="Arial" w:hAnsi="Arial"/>
          <w:sz w:val="18"/>
          <w:szCs w:val="18"/>
          <w:color w:val="auto"/>
        </w:rPr>
      </w:pPr>
    </w:p>
    <w:p>
      <w:pPr>
        <w:ind w:right="60" w:firstLine="1305"/>
        <w:spacing w:after="0" w:line="293" w:lineRule="auto"/>
        <w:tabs>
          <w:tab w:leader="none" w:pos="20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 refunding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64" w:lineRule="exact"/>
        <w:rPr>
          <w:rFonts w:ascii="Arial" w:cs="Arial" w:eastAsia="Arial" w:hAnsi="Arial"/>
          <w:sz w:val="16"/>
          <w:szCs w:val="16"/>
          <w:color w:val="auto"/>
        </w:rPr>
      </w:pPr>
    </w:p>
    <w:p>
      <w:pPr>
        <w:ind w:right="100" w:firstLine="1305"/>
        <w:spacing w:after="0" w:line="277" w:lineRule="auto"/>
        <w:tabs>
          <w:tab w:leader="none" w:pos="20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Debt of an Issuer or any Restricted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w:t>
      </w:r>
    </w:p>
    <w:p>
      <w:pPr>
        <w:spacing w:after="0" w:line="178"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Restriction of Sale-Leaseback Transactions</w:t>
      </w:r>
      <w:r>
        <w:rPr>
          <w:rFonts w:ascii="Arial" w:cs="Arial" w:eastAsia="Arial" w:hAnsi="Arial"/>
          <w:sz w:val="18"/>
          <w:szCs w:val="18"/>
          <w:color w:val="auto"/>
        </w:rPr>
        <w:t>. The Issuers will not, and will not permit any Subsidiary of the Partnership to, engage in a Sale-Leaseback Transaction, unless:</w:t>
      </w:r>
    </w:p>
    <w:p>
      <w:pPr>
        <w:spacing w:after="0" w:line="170" w:lineRule="exact"/>
        <w:rPr>
          <w:sz w:val="20"/>
          <w:szCs w:val="20"/>
          <w:color w:val="auto"/>
        </w:rPr>
      </w:pPr>
    </w:p>
    <w:p>
      <w:pPr>
        <w:ind w:right="80" w:firstLine="1305"/>
        <w:spacing w:after="0" w:line="264" w:lineRule="auto"/>
        <w:tabs>
          <w:tab w:leader="none" w:pos="19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225" w:lineRule="exact"/>
        <w:rPr>
          <w:rFonts w:ascii="Arial" w:cs="Arial" w:eastAsia="Arial" w:hAnsi="Arial"/>
          <w:sz w:val="18"/>
          <w:szCs w:val="18"/>
          <w:color w:val="auto"/>
        </w:rPr>
      </w:pPr>
    </w:p>
    <w:p>
      <w:pPr>
        <w:ind w:right="60" w:firstLine="1305"/>
        <w:spacing w:after="0" w:line="264" w:lineRule="auto"/>
        <w:tabs>
          <w:tab w:leader="none" w:pos="19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181" w:lineRule="exact"/>
        <w:rPr>
          <w:rFonts w:ascii="Arial" w:cs="Arial" w:eastAsia="Arial" w:hAnsi="Arial"/>
          <w:sz w:val="18"/>
          <w:szCs w:val="18"/>
          <w:color w:val="auto"/>
        </w:rPr>
      </w:pPr>
    </w:p>
    <w:p>
      <w:pPr>
        <w:ind w:right="100" w:firstLine="1305"/>
        <w:spacing w:after="0" w:line="259" w:lineRule="auto"/>
        <w:tabs>
          <w:tab w:leader="none" w:pos="20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7"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w:t>
      </w:r>
    </w:p>
    <w:p>
      <w:pPr>
        <w:sectPr>
          <w:pgSz w:w="11900" w:h="16948" w:orient="portrait"/>
          <w:cols w:equalWidth="0" w:num="1">
            <w:col w:w="11400"/>
          </w:cols>
          <w:pgMar w:left="240" w:top="125" w:right="259" w:bottom="0" w:gutter="0" w:footer="0" w:header="0"/>
        </w:sectPr>
      </w:pPr>
    </w:p>
    <w:bookmarkStart w:id="12" w:name="page13"/>
    <w:bookmarkEnd w:id="12"/>
    <w:p>
      <w:pPr>
        <w:spacing w:after="0" w:line="6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from such Sale-leaseback Transaction, together with the aggregate principal amount of then outstanding Debt (other than Debt Securities) secured by Liens upon Principal Property not excepted by clauses (a) through (i), inclusive, of Section 5.02, does not exceed 10% of Consolidated Net Tangible Assets.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6" w:lineRule="auto"/>
        <w:tabs>
          <w:tab w:leader="none" w:pos="19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72" w:lineRule="exact"/>
        <w:rPr>
          <w:rFonts w:ascii="Arial" w:cs="Arial" w:eastAsia="Arial" w:hAnsi="Arial"/>
          <w:sz w:val="17"/>
          <w:szCs w:val="17"/>
          <w:color w:val="auto"/>
        </w:rPr>
      </w:pPr>
    </w:p>
    <w:p>
      <w:pPr>
        <w:ind w:right="80" w:firstLine="1305"/>
        <w:spacing w:after="0" w:line="312" w:lineRule="auto"/>
        <w:tabs>
          <w:tab w:leader="none" w:pos="20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146" w:lineRule="exact"/>
        <w:rPr>
          <w:rFonts w:ascii="Arial" w:cs="Arial" w:eastAsia="Arial" w:hAnsi="Arial"/>
          <w:sz w:val="16"/>
          <w:szCs w:val="16"/>
          <w:color w:val="auto"/>
        </w:rPr>
      </w:pPr>
    </w:p>
    <w:p>
      <w:pPr>
        <w:ind w:right="200" w:firstLine="1305"/>
        <w:spacing w:after="0" w:line="264" w:lineRule="auto"/>
        <w:tabs>
          <w:tab w:leader="none" w:pos="19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the Issuers shall furnish to the Holders of Notes and to prospective investors, upon the requests of Holders of Notes, any information required to be delivered pursuant to Rule 144A(d)(4) under the Securities Act, so long as the Notes are not freely transferable under the Securities Act.</w:t>
      </w:r>
    </w:p>
    <w:p>
      <w:pPr>
        <w:spacing w:after="0" w:line="181" w:lineRule="exact"/>
        <w:rPr>
          <w:rFonts w:ascii="Arial" w:cs="Arial" w:eastAsia="Arial" w:hAnsi="Arial"/>
          <w:sz w:val="18"/>
          <w:szCs w:val="18"/>
          <w:color w:val="auto"/>
        </w:rPr>
      </w:pPr>
    </w:p>
    <w:p>
      <w:pPr>
        <w:ind w:right="220" w:firstLine="1305"/>
        <w:spacing w:after="0" w:line="277" w:lineRule="auto"/>
        <w:tabs>
          <w:tab w:leader="none" w:pos="20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Partnership shall provide the Trustee with a sufficient number of copies of all reports and other documents and information that the Trustee may be required to deliver to Holders of Notes under clause (b) of this Section 5.04.</w:t>
      </w:r>
    </w:p>
    <w:p>
      <w:pPr>
        <w:spacing w:after="0" w:line="170" w:lineRule="exact"/>
        <w:rPr>
          <w:rFonts w:ascii="Arial" w:cs="Arial" w:eastAsia="Arial" w:hAnsi="Arial"/>
          <w:sz w:val="18"/>
          <w:szCs w:val="18"/>
          <w:color w:val="auto"/>
        </w:rPr>
      </w:pPr>
    </w:p>
    <w:p>
      <w:pPr>
        <w:ind w:right="80" w:firstLine="1305"/>
        <w:spacing w:after="0" w:line="312" w:lineRule="auto"/>
        <w:tabs>
          <w:tab w:leader="none" w:pos="19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47" w:lineRule="exact"/>
        <w:rPr>
          <w:sz w:val="20"/>
          <w:szCs w:val="20"/>
          <w:color w:val="auto"/>
        </w:rPr>
      </w:pPr>
    </w:p>
    <w:p>
      <w:pPr>
        <w:ind w:right="320" w:firstLine="1297"/>
        <w:spacing w:after="0" w:line="312"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Additional Subsidiary Guarantees</w:t>
      </w:r>
      <w:r>
        <w:rPr>
          <w:rFonts w:ascii="Arial" w:cs="Arial" w:eastAsia="Arial" w:hAnsi="Arial"/>
          <w:sz w:val="16"/>
          <w:szCs w:val="16"/>
          <w:color w:val="auto"/>
        </w:rPr>
        <w:t>. If any Subsidiary (or its successor) of the Partnership that is not then a Subsidiary Guarantor guarantees Debt of either of the Issuers or any other Subsidiary of the Partnership, in either case after the Issue Date, then such Subsidiary (or successor) shall execute and deliver a supplemental Indenture providing for the guarantee of the payment of the Notes pursuant to Article IX 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With respect to the Notes, the provisions of this Article VI shall preempt the provisions of Article X of the Original Indenture in their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entirety.</w:t>
      </w:r>
    </w:p>
    <w:p>
      <w:pPr>
        <w:spacing w:after="0" w:line="21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Consolidation and Mergers of the Issuers</w:t>
      </w:r>
      <w:r>
        <w:rPr>
          <w:rFonts w:ascii="Arial" w:cs="Arial" w:eastAsia="Arial" w:hAnsi="Arial"/>
          <w:sz w:val="18"/>
          <w:szCs w:val="18"/>
          <w:color w:val="auto"/>
        </w:rPr>
        <w:t>. Neither Issuer shall consolidate or amalgamate with or merge with or into any Person, or sell, convey, transfer, lease or otherwise dispose of all or substantially all its assets to any Person, whether in a single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(including Additional Interest, if any)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188"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Rights and Duties of Successor</w:t>
      </w:r>
      <w:r>
        <w:rPr>
          <w:rFonts w:ascii="Arial" w:cs="Arial" w:eastAsia="Arial" w:hAnsi="Arial"/>
          <w:sz w:val="16"/>
          <w:szCs w:val="16"/>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6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Section 9.01 of the Original Indenture is hereby amended, with respect to the Notes, by adding the words “or the confirmation of a Subsidiary Guarantor’s” immediately after the word “Issuer’s” in Section 9.01(c).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With respect to the Notes, the provisions of this Section 7.01 shall preempt the provisions of the first and final paragraphs of Section 6.01 of the Original Indenture in their entirety.</w:t>
      </w:r>
    </w:p>
    <w:p>
      <w:pPr>
        <w:sectPr>
          <w:pgSz w:w="11900" w:h="16902" w:orient="portrait"/>
          <w:cols w:equalWidth="0" w:num="1">
            <w:col w:w="11420"/>
          </w:cols>
          <w:pgMar w:left="240" w:top="125" w:right="239" w:bottom="0" w:gutter="0" w:footer="0" w:header="0"/>
        </w:sectPr>
      </w:pPr>
    </w:p>
    <w:bookmarkStart w:id="13" w:name="page14"/>
    <w:bookmarkEnd w:id="13"/>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0" w:hanging="695"/>
        <w:spacing w:after="0"/>
        <w:tabs>
          <w:tab w:leader="none" w:pos="2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“Event of Default” occurs if:</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Issuers default for 60 days in the payment when due of interest on, or Additional Interest with respect to, the Notes;</w:t>
      </w:r>
    </w:p>
    <w:p>
      <w:pPr>
        <w:spacing w:after="0" w:line="248" w:lineRule="exact"/>
        <w:rPr>
          <w:rFonts w:ascii="Arial" w:cs="Arial" w:eastAsia="Arial" w:hAnsi="Arial"/>
          <w:sz w:val="16"/>
          <w:szCs w:val="16"/>
          <w:color w:val="auto"/>
        </w:rPr>
      </w:pPr>
    </w:p>
    <w:p>
      <w:pPr>
        <w:ind w:left="1300" w:right="840" w:firstLine="653"/>
        <w:spacing w:after="0" w:line="277" w:lineRule="auto"/>
        <w:tabs>
          <w:tab w:leader="none" w:pos="26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Issuers default in the payment when due of principal of or premium, if any, on the Notes at maturity, upon redemption or otherwise;</w:t>
      </w:r>
    </w:p>
    <w:p>
      <w:pPr>
        <w:spacing w:after="0" w:line="170" w:lineRule="exact"/>
        <w:rPr>
          <w:rFonts w:ascii="Arial" w:cs="Arial" w:eastAsia="Arial" w:hAnsi="Arial"/>
          <w:sz w:val="18"/>
          <w:szCs w:val="18"/>
          <w:color w:val="auto"/>
        </w:rPr>
      </w:pPr>
    </w:p>
    <w:p>
      <w:pPr>
        <w:ind w:left="1300" w:right="20" w:firstLine="653"/>
        <w:spacing w:after="0" w:line="259" w:lineRule="auto"/>
        <w:tabs>
          <w:tab w:leader="none" w:pos="26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failure by an Issuer or any Subsidiary Guarantor for 30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need not be given, and an Event of Default shall occur, 30 days after any breach of the provisions of Section 6.01 hereof);</w:t>
      </w:r>
    </w:p>
    <w:p>
      <w:pPr>
        <w:spacing w:after="0" w:line="186" w:lineRule="exact"/>
        <w:rPr>
          <w:rFonts w:ascii="Arial" w:cs="Arial" w:eastAsia="Arial" w:hAnsi="Arial"/>
          <w:sz w:val="18"/>
          <w:szCs w:val="18"/>
          <w:color w:val="auto"/>
        </w:rPr>
      </w:pPr>
    </w:p>
    <w:p>
      <w:pPr>
        <w:ind w:left="1300" w:firstLine="653"/>
        <w:spacing w:after="0" w:line="269" w:lineRule="auto"/>
        <w:tabs>
          <w:tab w:leader="none" w:pos="2658"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82" w:lineRule="exact"/>
        <w:rPr>
          <w:rFonts w:ascii="Arial" w:cs="Arial" w:eastAsia="Arial" w:hAnsi="Arial"/>
          <w:sz w:val="17"/>
          <w:szCs w:val="17"/>
          <w:color w:val="auto"/>
        </w:rPr>
      </w:pPr>
    </w:p>
    <w:p>
      <w:pPr>
        <w:ind w:left="1300" w:right="80" w:firstLine="653"/>
        <w:spacing w:after="0" w:line="286" w:lineRule="auto"/>
        <w:tabs>
          <w:tab w:leader="none" w:pos="2653"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65" w:lineRule="exact"/>
        <w:rPr>
          <w:rFonts w:ascii="Arial" w:cs="Arial" w:eastAsia="Arial" w:hAnsi="Arial"/>
          <w:sz w:val="17"/>
          <w:szCs w:val="17"/>
          <w:color w:val="auto"/>
        </w:rPr>
      </w:pPr>
    </w:p>
    <w:p>
      <w:pPr>
        <w:ind w:left="2660" w:hanging="707"/>
        <w:spacing w:after="0"/>
        <w:tabs>
          <w:tab w:leader="none" w:pos="2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Issuer or any Subsidiary Guarantor pursuant to or within the meaning of any Bankruptcy Law:</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3340" w:hanging="739"/>
        <w:spacing w:after="0"/>
        <w:tabs>
          <w:tab w:leader="none" w:pos="33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340" w:hanging="739"/>
        <w:spacing w:after="0"/>
        <w:tabs>
          <w:tab w:leader="none" w:pos="3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for relief against an Issuer or any Subsidiary Guarantor in an involuntary case;</w:t>
      </w:r>
    </w:p>
    <w:p>
      <w:pPr>
        <w:spacing w:after="0" w:line="225" w:lineRule="exact"/>
        <w:rPr>
          <w:rFonts w:ascii="Arial" w:cs="Arial" w:eastAsia="Arial" w:hAnsi="Arial"/>
          <w:sz w:val="18"/>
          <w:szCs w:val="18"/>
          <w:color w:val="auto"/>
        </w:rPr>
      </w:pPr>
    </w:p>
    <w:p>
      <w:pPr>
        <w:ind w:left="1960" w:right="40" w:firstLine="641"/>
        <w:spacing w:after="0" w:line="277" w:lineRule="auto"/>
        <w:tabs>
          <w:tab w:leader="none" w:pos="334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appoints a custodian of an Issuer or any Subsidiary Guarantor or for all or substantially all of the property of an Issuer or any Subsidiary Guarantor; or</w:t>
      </w:r>
    </w:p>
    <w:p>
      <w:pPr>
        <w:spacing w:after="0" w:line="170" w:lineRule="exact"/>
        <w:rPr>
          <w:rFonts w:ascii="Arial" w:cs="Arial" w:eastAsia="Arial" w:hAnsi="Arial"/>
          <w:sz w:val="18"/>
          <w:szCs w:val="18"/>
          <w:color w:val="auto"/>
        </w:rPr>
      </w:pPr>
    </w:p>
    <w:p>
      <w:pPr>
        <w:ind w:left="3340" w:hanging="739"/>
        <w:spacing w:after="0"/>
        <w:tabs>
          <w:tab w:leader="none" w:pos="33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orders the liquidation of an Issuer or any Subsidiary Guarantor;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ind w:right="20" w:firstLine="1305"/>
        <w:spacing w:after="0" w:line="273" w:lineRule="auto"/>
        <w:tabs>
          <w:tab w:leader="none" w:pos="2001"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case of an Event of Default arising from Section 7.01(a)(vi) or 7.01(a)(vii) hereof involving an Issuer (and, for the avoidance of debt,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81"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Legal Defeasance and Discharge</w:t>
      </w:r>
      <w:r>
        <w:rPr>
          <w:rFonts w:ascii="Arial" w:cs="Arial" w:eastAsia="Arial" w:hAnsi="Arial"/>
          <w:sz w:val="16"/>
          <w:szCs w:val="16"/>
          <w:color w:val="auto"/>
        </w:rPr>
        <w:t>. Upon the Issuers’ exercise under Section 8.01 hereof of the option applicable to this Section 8.02, each of the Issuers and the Subsidiary Guarantors shall, subject to the satisfaction of the conditions set forth in Section 8.04 hereof, be deemed</w:t>
      </w:r>
    </w:p>
    <w:p>
      <w:pPr>
        <w:sectPr>
          <w:pgSz w:w="11900" w:h="16948" w:orient="portrait"/>
          <w:cols w:equalWidth="0" w:num="1">
            <w:col w:w="11400"/>
          </w:cols>
          <w:pgMar w:left="240" w:top="341" w:right="259" w:bottom="0" w:gutter="0" w:footer="0" w:header="0"/>
        </w:sectPr>
      </w:pPr>
    </w:p>
    <w:bookmarkStart w:id="14" w:name="page15"/>
    <w:bookmarkEnd w:id="14"/>
    <w:p>
      <w:pPr>
        <w:ind w:right="440"/>
        <w:spacing w:after="0" w:line="277" w:lineRule="auto"/>
        <w:rPr>
          <w:sz w:val="20"/>
          <w:szCs w:val="20"/>
          <w:color w:val="auto"/>
        </w:rPr>
      </w:pPr>
      <w:r>
        <w:rPr>
          <w:rFonts w:ascii="Arial" w:cs="Arial" w:eastAsia="Arial" w:hAnsi="Arial"/>
          <w:sz w:val="18"/>
          <w:szCs w:val="18"/>
          <w:color w:val="auto"/>
        </w:rPr>
        <w:t>to have been discharged from its obligations with respect to all outstanding Notes and Guarantees on the date the conditions set forth below are satisfied (hereinafter, “Legal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93" w:lineRule="exact"/>
        <w:rPr>
          <w:sz w:val="20"/>
          <w:szCs w:val="20"/>
          <w:color w:val="auto"/>
        </w:rPr>
      </w:pPr>
    </w:p>
    <w:p>
      <w:pPr>
        <w:ind w:firstLine="1305"/>
        <w:spacing w:after="0" w:line="264" w:lineRule="auto"/>
        <w:tabs>
          <w:tab w:leader="none" w:pos="199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solely from the trust fund described in Section 8.04 hereof, and as more fully set forth in such Section, payments in respect of the principal of, premium on, if any, interest and Additional Interest, if any, on such Notes when such payments are due (but not the Change of Control Payment or the payment pursuant to an Asset Sale Offer),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Issuers’ obligations with respect to such Notes under Sections 2.07, 2.08, 2.09 and 4.02 of the Original Indenture,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hereunder and the Issuers’ obligations in connection therewith,</w:t>
      </w:r>
    </w:p>
    <w:p>
      <w:pPr>
        <w:spacing w:after="0" w:line="248" w:lineRule="exact"/>
        <w:rPr>
          <w:rFonts w:ascii="Arial" w:cs="Arial" w:eastAsia="Arial" w:hAnsi="Arial"/>
          <w:sz w:val="16"/>
          <w:szCs w:val="16"/>
          <w:color w:val="auto"/>
        </w:rPr>
      </w:pPr>
    </w:p>
    <w:p>
      <w:pPr>
        <w:ind w:left="2000" w:hanging="695"/>
        <w:spacing w:after="0"/>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Article VIII,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Issuers’ rights of optional redemption under Section 4.01 hereof.</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Subject to compliance with this Article VIII, the Issuers may exercise their option under this Section 8.02 notwithstanding the prior exercise of their option under Section 8.03 hereof.</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Conditions to Legal or Covenant Defeasance</w:t>
      </w:r>
      <w:r>
        <w:rPr>
          <w:rFonts w:ascii="Arial" w:cs="Arial" w:eastAsia="Arial" w:hAnsi="Arial"/>
          <w:sz w:val="16"/>
          <w:szCs w:val="16"/>
          <w:color w:val="auto"/>
        </w:rPr>
        <w:t>. The following shall be the conditions to the application of either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8.02 or 8.03 hereof to the Outstanding Notes: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right="20" w:firstLine="1305"/>
        <w:spacing w:after="0" w:line="257" w:lineRule="auto"/>
        <w:tabs>
          <w:tab w:leader="none" w:pos="19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interest and Additional Interest, if any, on the Outstanding Notes at the Stated Maturity thereof or on the applicable redemption date, as the case may be, and the Issuers must specify whether the Notes are being defeased to maturity or to a particular redemption date;</w:t>
      </w:r>
    </w:p>
    <w:p>
      <w:pPr>
        <w:spacing w:after="0" w:line="188" w:lineRule="exact"/>
        <w:rPr>
          <w:rFonts w:ascii="Arial" w:cs="Arial" w:eastAsia="Arial" w:hAnsi="Arial"/>
          <w:sz w:val="18"/>
          <w:szCs w:val="18"/>
          <w:color w:val="auto"/>
        </w:rPr>
      </w:pPr>
    </w:p>
    <w:p>
      <w:pPr>
        <w:ind w:right="40" w:firstLine="1305"/>
        <w:spacing w:after="0" w:line="255" w:lineRule="auto"/>
        <w:tabs>
          <w:tab w:leader="none" w:pos="20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93" w:lineRule="exact"/>
        <w:rPr>
          <w:rFonts w:ascii="Arial" w:cs="Arial" w:eastAsia="Arial" w:hAnsi="Arial"/>
          <w:sz w:val="18"/>
          <w:szCs w:val="18"/>
          <w:color w:val="auto"/>
        </w:rPr>
      </w:pPr>
    </w:p>
    <w:p>
      <w:pPr>
        <w:ind w:right="260" w:firstLine="1305"/>
        <w:spacing w:after="0" w:line="259" w:lineRule="auto"/>
        <w:tabs>
          <w:tab w:leader="none" w:pos="19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40" w:firstLine="1305"/>
        <w:spacing w:after="0" w:line="264" w:lineRule="auto"/>
        <w:tabs>
          <w:tab w:leader="none" w:pos="20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181" w:lineRule="exact"/>
        <w:rPr>
          <w:rFonts w:ascii="Arial" w:cs="Arial" w:eastAsia="Arial" w:hAnsi="Arial"/>
          <w:sz w:val="18"/>
          <w:szCs w:val="18"/>
          <w:color w:val="auto"/>
        </w:rPr>
      </w:pPr>
    </w:p>
    <w:p>
      <w:pPr>
        <w:ind w:right="140" w:firstLine="1305"/>
        <w:spacing w:after="0" w:line="264" w:lineRule="auto"/>
        <w:tabs>
          <w:tab w:leader="none" w:pos="19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ectPr>
          <w:pgSz w:w="11900" w:h="16838" w:orient="portrait"/>
          <w:cols w:equalWidth="0" w:num="1">
            <w:col w:w="11400"/>
          </w:cols>
          <w:pgMar w:left="240" w:top="125" w:right="259" w:bottom="0" w:gutter="0" w:footer="0" w:header="0"/>
        </w:sectPr>
      </w:pPr>
    </w:p>
    <w:bookmarkStart w:id="15" w:name="page16"/>
    <w:bookmarkEnd w:id="15"/>
    <w:p>
      <w:pPr>
        <w:spacing w:after="0" w:line="44" w:lineRule="exact"/>
        <w:rPr>
          <w:sz w:val="20"/>
          <w:szCs w:val="20"/>
          <w:color w:val="auto"/>
        </w:rPr>
      </w:pPr>
    </w:p>
    <w:p>
      <w:pPr>
        <w:ind w:right="40" w:firstLine="1305"/>
        <w:spacing w:after="0" w:line="342" w:lineRule="auto"/>
        <w:tabs>
          <w:tab w:leader="none" w:pos="201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60" w:firstLine="1305"/>
        <w:spacing w:after="0" w:line="264" w:lineRule="auto"/>
        <w:tabs>
          <w:tab w:leader="none" w:pos="20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81" w:lineRule="exact"/>
        <w:rPr>
          <w:rFonts w:ascii="Arial" w:cs="Arial" w:eastAsia="Arial" w:hAnsi="Arial"/>
          <w:sz w:val="18"/>
          <w:szCs w:val="18"/>
          <w:color w:val="auto"/>
        </w:rPr>
      </w:pPr>
    </w:p>
    <w:p>
      <w:pPr>
        <w:ind w:right="160" w:firstLine="1305"/>
        <w:spacing w:after="0" w:line="277" w:lineRule="auto"/>
        <w:tabs>
          <w:tab w:leader="none" w:pos="20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70"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Deposited Money and U.S. Government Obligations to be Held in Trust; Other Miscellaneous Provisions</w:t>
      </w:r>
      <w:r>
        <w:rPr>
          <w:rFonts w:ascii="Arial" w:cs="Arial" w:eastAsia="Arial" w:hAnsi="Arial"/>
          <w:sz w:val="18"/>
          <w:szCs w:val="18"/>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on, if any, interest and Additional Interest, if any, but such money need not be segregated from other funds except to the extent required by law.</w:t>
      </w:r>
    </w:p>
    <w:p>
      <w:pPr>
        <w:spacing w:after="0" w:line="189"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sz w:val="20"/>
          <w:szCs w:val="20"/>
          <w:color w:val="auto"/>
        </w:rPr>
      </w:pPr>
    </w:p>
    <w:p>
      <w:pPr>
        <w:ind w:right="200" w:firstLine="1297"/>
        <w:spacing w:after="0" w:line="257" w:lineRule="auto"/>
        <w:rPr>
          <w:sz w:val="20"/>
          <w:szCs w:val="20"/>
          <w:color w:val="auto"/>
        </w:rPr>
      </w:pPr>
      <w:r>
        <w:rPr>
          <w:rFonts w:ascii="Arial" w:cs="Arial" w:eastAsia="Arial" w:hAnsi="Arial"/>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88"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Repayment to Issuers</w:t>
      </w:r>
      <w:r>
        <w:rPr>
          <w:rFonts w:ascii="Arial" w:cs="Arial" w:eastAsia="Arial" w:hAnsi="Arial"/>
          <w:sz w:val="18"/>
          <w:szCs w:val="18"/>
          <w:color w:val="auto"/>
        </w:rPr>
        <w:t xml:space="preserve">. Any money deposited with the Trustee or any paying agent, or then held by the Issuers, in trust for the payment of the principal of, premium on, if any, interest or Additional Interest, if any, on any Note and remaining unclaimed for two years after such principal, premium, if any, interest or Additional Interest, if any,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or such paying agent, before being required to make any such repayment, may at the expense of the Issuers cause to be published once, in the New York Times and The Wall Street Journal (national edition), notice that such money remains unclaimed and that, after a date specified therein, which shall not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less than 30 days from the date of such notification or publication, any unclaimed balance of such money then remaining shall be repaid to the Issuers.</w:t>
      </w:r>
    </w:p>
    <w:p>
      <w:pPr>
        <w:spacing w:after="0" w:line="237" w:lineRule="exact"/>
        <w:rPr>
          <w:sz w:val="20"/>
          <w:szCs w:val="20"/>
          <w:color w:val="auto"/>
        </w:rPr>
      </w:pPr>
    </w:p>
    <w:p>
      <w:pPr>
        <w:ind w:right="100" w:firstLine="1297"/>
        <w:spacing w:after="0" w:line="254"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Reinstatement</w:t>
      </w:r>
      <w:r>
        <w:rPr>
          <w:rFonts w:ascii="Arial" w:cs="Arial" w:eastAsia="Arial" w:hAnsi="Arial"/>
          <w:sz w:val="18"/>
          <w:szCs w:val="18"/>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Issuers make any payment of principal of, premium on, if any, interest or Additional Interest, if any, on any Note following the reinstatement of their obligations, the Issuers shall be subrogated to the rights of the Holders of such Notes to receive such payment from the money held by the Trustee or paying agent.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SUBSIDIARY GUARANTEES</w:t>
      </w:r>
    </w:p>
    <w:p>
      <w:pPr>
        <w:spacing w:after="0" w:line="211" w:lineRule="exact"/>
        <w:rPr>
          <w:sz w:val="20"/>
          <w:szCs w:val="20"/>
          <w:color w:val="auto"/>
        </w:rPr>
      </w:pPr>
    </w:p>
    <w:p>
      <w:pPr>
        <w:ind w:right="120" w:firstLine="1297"/>
        <w:spacing w:after="0" w:line="271"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Subsidiary Guarantees</w:t>
      </w:r>
      <w:r>
        <w:rPr>
          <w:rFonts w:ascii="Arial" w:cs="Arial" w:eastAsia="Arial" w:hAnsi="Arial"/>
          <w:sz w:val="17"/>
          <w:szCs w:val="17"/>
          <w:color w:val="auto"/>
        </w:rPr>
        <w:t>. (a) Each Subsidiary Guarantor hereby jointly and severally unconditionally and irrevocably guarantees on a senior basis to each Holder and to the Trustee and its successors and assigns (i) the full and punctual payment of principal, premium, if any, interest, and Additional Interest, if any,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179" w:lineRule="exact"/>
        <w:rPr>
          <w:sz w:val="20"/>
          <w:szCs w:val="20"/>
          <w:color w:val="auto"/>
        </w:rPr>
      </w:pPr>
    </w:p>
    <w:p>
      <w:pPr>
        <w:ind w:right="20" w:firstLine="1305"/>
        <w:spacing w:after="0" w:line="286" w:lineRule="auto"/>
        <w:tabs>
          <w:tab w:leader="none" w:pos="200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w:t>
      </w:r>
    </w:p>
    <w:p>
      <w:pPr>
        <w:spacing w:after="0" w:line="1" w:lineRule="exact"/>
        <w:rPr>
          <w:rFonts w:ascii="Arial" w:cs="Arial" w:eastAsia="Arial" w:hAnsi="Arial"/>
          <w:sz w:val="16"/>
          <w:szCs w:val="16"/>
          <w:color w:val="auto"/>
        </w:rPr>
      </w:pPr>
    </w:p>
    <w:p>
      <w:pPr>
        <w:ind w:right="60" w:firstLine="8"/>
        <w:spacing w:after="0" w:line="254"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w:t>
      </w:r>
    </w:p>
    <w:p>
      <w:pPr>
        <w:sectPr>
          <w:pgSz w:w="11900" w:h="16882" w:orient="portrait"/>
          <w:cols w:equalWidth="0" w:num="1">
            <w:col w:w="11420"/>
          </w:cols>
          <w:pgMar w:left="240" w:top="125" w:right="239" w:bottom="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1305"/>
        <w:spacing w:after="0" w:line="264" w:lineRule="auto"/>
        <w:tabs>
          <w:tab w:leader="none" w:pos="19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81" w:lineRule="exact"/>
        <w:rPr>
          <w:rFonts w:ascii="Arial" w:cs="Arial" w:eastAsia="Arial" w:hAnsi="Arial"/>
          <w:sz w:val="18"/>
          <w:szCs w:val="18"/>
          <w:color w:val="auto"/>
        </w:rPr>
      </w:pPr>
    </w:p>
    <w:p>
      <w:pPr>
        <w:ind w:right="60" w:firstLine="1305"/>
        <w:spacing w:after="0" w:line="290" w:lineRule="auto"/>
        <w:tabs>
          <w:tab w:leader="none" w:pos="20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66" w:lineRule="exact"/>
        <w:rPr>
          <w:rFonts w:ascii="Arial" w:cs="Arial" w:eastAsia="Arial" w:hAnsi="Arial"/>
          <w:sz w:val="16"/>
          <w:szCs w:val="16"/>
          <w:color w:val="auto"/>
        </w:rPr>
      </w:pPr>
    </w:p>
    <w:p>
      <w:pPr>
        <w:ind w:right="140" w:firstLine="1305"/>
        <w:spacing w:after="0" w:line="312" w:lineRule="auto"/>
        <w:tabs>
          <w:tab w:leader="none" w:pos="19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Subsidiary Guarantor further agrees that its Guarantee herein shall continue to be effective or be reinstated, as the case may be, if at any time payment, or any part thereof, of principal, premium, if any, interest or Additional Interest, if any, with respect to any Note Obligation is rescinded or must otherwise be restored by any Holder or the Trustee upon the bankruptcy or reorganization of either of the Issuers or otherwise.</w:t>
      </w:r>
    </w:p>
    <w:p>
      <w:pPr>
        <w:spacing w:after="0" w:line="146" w:lineRule="exact"/>
        <w:rPr>
          <w:rFonts w:ascii="Arial" w:cs="Arial" w:eastAsia="Arial" w:hAnsi="Arial"/>
          <w:sz w:val="16"/>
          <w:szCs w:val="16"/>
          <w:color w:val="auto"/>
        </w:rPr>
      </w:pPr>
    </w:p>
    <w:p>
      <w:pPr>
        <w:ind w:right="120" w:firstLine="1305"/>
        <w:spacing w:after="0" w:line="293" w:lineRule="auto"/>
        <w:tabs>
          <w:tab w:leader="none" w:pos="201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furtherance of the foregoing and not in limitation of any other right which any Holder or the Trustee has at law or in equity against any Subsidiary Guarantor by virtue hereof, upon the failure of the Issuers to pay the principal, premium, if any, interest or Additional Interest, if any,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164" w:lineRule="exact"/>
        <w:rPr>
          <w:rFonts w:ascii="Arial" w:cs="Arial" w:eastAsia="Arial" w:hAnsi="Arial"/>
          <w:sz w:val="16"/>
          <w:szCs w:val="16"/>
          <w:color w:val="auto"/>
        </w:rPr>
      </w:pPr>
    </w:p>
    <w:p>
      <w:pPr>
        <w:ind w:right="20" w:firstLine="1305"/>
        <w:spacing w:after="0" w:line="273" w:lineRule="auto"/>
        <w:tabs>
          <w:tab w:leader="none" w:pos="20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forthwith become due and payable by such Subsidiary Guarantor for the purposes of this Section 9.01.</w:t>
      </w:r>
    </w:p>
    <w:p>
      <w:pPr>
        <w:spacing w:after="0" w:line="225" w:lineRule="exact"/>
        <w:rPr>
          <w:sz w:val="20"/>
          <w:szCs w:val="20"/>
          <w:color w:val="auto"/>
        </w:rPr>
      </w:pPr>
    </w:p>
    <w:p>
      <w:pPr>
        <w:ind w:right="260" w:firstLine="1305"/>
        <w:spacing w:after="0" w:line="277" w:lineRule="auto"/>
        <w:tabs>
          <w:tab w:leader="none" w:pos="20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Subsidiary Guarantor also agrees to pay any and all costs and expenses (including reasonable attorneys’ fees) incurred by the Trustee or any Holder in enforcing any rights under this Section 9.01.</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8" w:lineRule="exact"/>
        <w:rPr>
          <w:sz w:val="20"/>
          <w:szCs w:val="20"/>
          <w:color w:val="auto"/>
        </w:rPr>
      </w:pPr>
    </w:p>
    <w:p>
      <w:pPr>
        <w:ind w:right="320" w:firstLine="1297"/>
        <w:spacing w:after="0" w:line="27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71"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71"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Modification</w:t>
      </w:r>
      <w:r>
        <w:rPr>
          <w:rFonts w:ascii="Arial" w:cs="Arial" w:eastAsia="Arial" w:hAnsi="Arial"/>
          <w:sz w:val="17"/>
          <w:szCs w:val="17"/>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71" w:lineRule="exact"/>
        <w:rPr>
          <w:sz w:val="20"/>
          <w:szCs w:val="20"/>
          <w:color w:val="auto"/>
        </w:rPr>
      </w:pPr>
    </w:p>
    <w:p>
      <w:pPr>
        <w:jc w:val="both"/>
        <w:ind w:right="120" w:firstLine="1297"/>
        <w:spacing w:after="0" w:line="259"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Execution of Supplemental Indenture for Future Subsidiary Guarantors</w:t>
      </w:r>
      <w:r>
        <w:rPr>
          <w:rFonts w:ascii="Arial" w:cs="Arial" w:eastAsia="Arial" w:hAnsi="Arial"/>
          <w:sz w:val="18"/>
          <w:szCs w:val="18"/>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491" w:gutter="0" w:footer="0" w:header="0"/>
        </w:sectPr>
      </w:pPr>
    </w:p>
    <w:bookmarkStart w:id="17" w:name="page18"/>
    <w:bookmarkEnd w:id="17"/>
    <w:p>
      <w:pPr>
        <w:spacing w:after="0" w:line="5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54"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Release of Guarantee</w:t>
      </w:r>
      <w:r>
        <w:rPr>
          <w:rFonts w:ascii="Arial" w:cs="Arial" w:eastAsia="Arial" w:hAnsi="Arial"/>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81" w:lineRule="exact"/>
        <w:rPr>
          <w:sz w:val="20"/>
          <w:szCs w:val="20"/>
          <w:color w:val="auto"/>
        </w:rPr>
      </w:pPr>
    </w:p>
    <w:p>
      <w:pPr>
        <w:ind w:right="180" w:firstLine="1305"/>
        <w:spacing w:after="0" w:line="264" w:lineRule="auto"/>
        <w:tabs>
          <w:tab w:leader="none" w:pos="19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upon any sale or other disposition of all of the Equity Interests of a Subsidiary Guarantor, to any Person that is not an Affiliate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either of the Issuers; or</w:t>
      </w:r>
    </w:p>
    <w:p>
      <w:pPr>
        <w:spacing w:after="0" w:line="210" w:lineRule="exact"/>
        <w:rPr>
          <w:rFonts w:ascii="Arial" w:cs="Arial" w:eastAsia="Arial" w:hAnsi="Arial"/>
          <w:sz w:val="16"/>
          <w:szCs w:val="16"/>
          <w:color w:val="auto"/>
        </w:rPr>
      </w:pPr>
    </w:p>
    <w:p>
      <w:pPr>
        <w:ind w:firstLine="1305"/>
        <w:spacing w:after="0" w:line="264" w:lineRule="auto"/>
        <w:tabs>
          <w:tab w:leader="none" w:pos="19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following the release or discharge of all guarantees by such Subsidiary Guarantor of any Debt of the Issuers and any Subsidiary of the Partnership (other than any Debt Securities), upon delivery by the Issuers to the Trustee of a written notice of such release or discharge from the guarantees.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right="100" w:firstLine="1297"/>
        <w:spacing w:after="0" w:line="297"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Additional Amendments</w:t>
      </w:r>
      <w:r>
        <w:rPr>
          <w:rFonts w:ascii="Arial" w:cs="Arial" w:eastAsia="Arial" w:hAnsi="Arial"/>
          <w:sz w:val="16"/>
          <w:szCs w:val="16"/>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All references to “interest” in the Original Indenture shall be deemed to include Additional Interest, if any, unless the context otherwise requires.</w:t>
      </w:r>
    </w:p>
    <w:p>
      <w:pPr>
        <w:spacing w:after="0" w:line="15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Integral Part</w:t>
      </w:r>
      <w:r>
        <w:rPr>
          <w:rFonts w:ascii="Arial" w:cs="Arial" w:eastAsia="Arial" w:hAnsi="Arial"/>
          <w:sz w:val="16"/>
          <w:szCs w:val="16"/>
          <w:color w:val="auto"/>
        </w:rPr>
        <w:t>. This Supplemental Indenture constitutes an integral part of the Indenture.</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Original Indenture, as supplemented and amended by this Supplemental Indenture, is in all respects hereby adopted, ratified and confirmed.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66"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THIS SUPPLEMENTAL INDENTURE AND THE NOTES SHALL BE GOVERNED BY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CONSTRUED IN ACCORDANCE WITH THE LAWS OF THE STATE OF NEW YORK.</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following pages]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37" w:lineRule="exact"/>
        <w:rPr>
          <w:sz w:val="20"/>
          <w:szCs w:val="20"/>
          <w:color w:val="auto"/>
        </w:rPr>
      </w:pPr>
    </w:p>
    <w:p>
      <w:pPr>
        <w:ind w:left="5700"/>
        <w:spacing w:after="0"/>
        <w:rPr>
          <w:sz w:val="20"/>
          <w:szCs w:val="20"/>
          <w:color w:val="auto"/>
        </w:rPr>
      </w:pPr>
      <w:r>
        <w:rPr>
          <w:rFonts w:ascii="Arial" w:cs="Arial" w:eastAsia="Arial" w:hAnsi="Arial"/>
          <w:sz w:val="18"/>
          <w:szCs w:val="18"/>
          <w:b w:val="1"/>
          <w:bCs w:val="1"/>
          <w:u w:val="single" w:color="auto"/>
          <w:color w:val="auto"/>
        </w:rPr>
        <w:t>ISSUERS</w:t>
      </w:r>
      <w:r>
        <w:rPr>
          <w:rFonts w:ascii="Arial" w:cs="Arial" w:eastAsia="Arial" w:hAnsi="Arial"/>
          <w:sz w:val="18"/>
          <w:szCs w:val="18"/>
          <w:b w:val="1"/>
          <w:bCs w:val="1"/>
          <w:color w:val="auto"/>
        </w:rPr>
        <w:t>:</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 its General Partner</w:t>
      </w:r>
    </w:p>
    <w:p>
      <w:pPr>
        <w:spacing w:after="0" w:line="225"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Phil Kramer</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0702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PAA FINANCE CORP.</w:t>
      </w:r>
    </w:p>
    <w:p>
      <w:pPr>
        <w:spacing w:after="0" w:line="200" w:lineRule="exact"/>
        <w:rPr>
          <w:sz w:val="20"/>
          <w:szCs w:val="20"/>
          <w:color w:val="auto"/>
        </w:rPr>
      </w:pPr>
    </w:p>
    <w:p>
      <w:pPr>
        <w:spacing w:after="0" w:line="241"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19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and Chief Financial Officer</w:t>
      </w:r>
    </w:p>
    <w:p>
      <w:pPr>
        <w:sectPr>
          <w:pgSz w:w="11900" w:h="16888" w:orient="portrait"/>
          <w:cols w:equalWidth="0" w:num="1">
            <w:col w:w="11380"/>
          </w:cols>
          <w:pgMar w:left="240" w:top="125" w:right="279" w:bottom="0" w:gutter="0" w:footer="0" w:header="0"/>
        </w:sectPr>
      </w:pPr>
    </w:p>
    <w:bookmarkStart w:id="18" w:name="page19"/>
    <w:bookmarkEnd w:id="18"/>
    <w:p>
      <w:pPr>
        <w:ind w:left="4500"/>
        <w:spacing w:after="0"/>
        <w:rPr>
          <w:sz w:val="20"/>
          <w:szCs w:val="20"/>
          <w:color w:val="auto"/>
        </w:rPr>
      </w:pPr>
      <w:r>
        <w:rPr>
          <w:rFonts w:ascii="Arial" w:cs="Arial" w:eastAsia="Arial" w:hAnsi="Arial"/>
          <w:sz w:val="18"/>
          <w:szCs w:val="18"/>
          <w:b w:val="1"/>
          <w:bCs w:val="1"/>
          <w:u w:val="single" w:color="auto"/>
          <w:color w:val="auto"/>
        </w:rPr>
        <w:t>SUBSIDIARY GUARANTORS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ind w:left="450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Marketing GP Inc., its General Partner</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/s/ Phil Kramer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-130810</wp:posOffset>
            </wp:positionV>
            <wp:extent cx="30873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18"/>
          <w:szCs w:val="18"/>
          <w:color w:val="auto"/>
        </w:rPr>
        <w:t>By:</w:t>
        <w:tab/>
        <w:t>Plains Marketing GP Inc., its General Partner</w:t>
      </w:r>
    </w:p>
    <w:p>
      <w:pPr>
        <w:spacing w:after="0" w:line="200" w:lineRule="exact"/>
        <w:rPr>
          <w:sz w:val="20"/>
          <w:szCs w:val="20"/>
          <w:color w:val="auto"/>
        </w:rPr>
      </w:pPr>
    </w:p>
    <w:p>
      <w:pPr>
        <w:spacing w:after="0" w:line="241" w:lineRule="exact"/>
        <w:rPr>
          <w:sz w:val="20"/>
          <w:szCs w:val="20"/>
          <w:color w:val="auto"/>
        </w:rPr>
      </w:pPr>
    </w:p>
    <w:p>
      <w:pPr>
        <w:ind w:left="504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-130810</wp:posOffset>
            </wp:positionV>
            <wp:extent cx="2718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PLAINS MARKETING GP INC.</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18"/>
          <w:szCs w:val="18"/>
          <w:color w:val="auto"/>
        </w:rPr>
        <w:t>By:</w:t>
        <w:tab/>
        <w:t>/s/ Phil Kramer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-130810</wp:posOffset>
            </wp:positionV>
            <wp:extent cx="29927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PLAINS MARKETING CANADA LLC</w:t>
      </w:r>
    </w:p>
    <w:p>
      <w:pPr>
        <w:spacing w:after="0" w:line="225"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18"/>
          <w:szCs w:val="18"/>
          <w:color w:val="auto"/>
        </w:rPr>
        <w:t>By:</w:t>
        <w:tab/>
        <w:t>Plains Marketing, L.P., its Sole Member</w:t>
      </w:r>
    </w:p>
    <w:p>
      <w:pPr>
        <w:spacing w:after="0" w:line="225"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18"/>
          <w:szCs w:val="18"/>
          <w:color w:val="auto"/>
        </w:rPr>
        <w:t>By:</w:t>
        <w:tab/>
        <w:t>Plains Marketing GP Inc., its General Partner</w:t>
      </w:r>
    </w:p>
    <w:p>
      <w:pPr>
        <w:spacing w:after="0" w:line="200" w:lineRule="exact"/>
        <w:rPr>
          <w:sz w:val="20"/>
          <w:szCs w:val="20"/>
          <w:color w:val="auto"/>
        </w:rPr>
      </w:pPr>
    </w:p>
    <w:p>
      <w:pPr>
        <w:spacing w:after="0" w:line="241" w:lineRule="exact"/>
        <w:rPr>
          <w:sz w:val="20"/>
          <w:szCs w:val="20"/>
          <w:color w:val="auto"/>
        </w:rPr>
      </w:pPr>
    </w:p>
    <w:p>
      <w:pPr>
        <w:ind w:left="504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-130810</wp:posOffset>
            </wp:positionV>
            <wp:extent cx="2718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PMC (NOVA SCOTIA) COMPANY</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18"/>
          <w:szCs w:val="18"/>
          <w:color w:val="auto"/>
        </w:rPr>
        <w:t>By:</w:t>
        <w:tab/>
        <w:t>/s/ Phil Kramer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-130810</wp:posOffset>
            </wp:positionV>
            <wp:extent cx="29927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PLAINS MARKETING CANADA, L.P.</w:t>
      </w:r>
    </w:p>
    <w:p>
      <w:pPr>
        <w:spacing w:after="0" w:line="225"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PMC (Nova Scotia) Company, its General Partner</w:t>
      </w:r>
    </w:p>
    <w:p>
      <w:pPr>
        <w:spacing w:after="0" w:line="200" w:lineRule="exact"/>
        <w:rPr>
          <w:sz w:val="20"/>
          <w:szCs w:val="20"/>
          <w:color w:val="auto"/>
        </w:rPr>
      </w:pPr>
    </w:p>
    <w:p>
      <w:pPr>
        <w:spacing w:after="0" w:line="264" w:lineRule="exact"/>
        <w:rPr>
          <w:sz w:val="20"/>
          <w:szCs w:val="20"/>
          <w:color w:val="auto"/>
        </w:rPr>
      </w:pPr>
    </w:p>
    <w:p>
      <w:pPr>
        <w:ind w:left="508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7101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BASIN HOLDINGS GP LLC</w:t>
      </w:r>
    </w:p>
    <w:p>
      <w:pPr>
        <w:sectPr>
          <w:pgSz w:w="11900" w:h="16838" w:orient="portrait"/>
          <w:cols w:equalWidth="0" w:num="1">
            <w:col w:w="9019"/>
          </w:cols>
          <w:pgMar w:left="1440" w:top="337" w:right="1440" w:bottom="0" w:gutter="0" w:footer="0" w:header="0"/>
        </w:sect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Plains Pipeline, L.P., its Sole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Member</w:t>
      </w:r>
    </w:p>
    <w:p>
      <w:pPr>
        <w:sectPr>
          <w:pgSz w:w="11900" w:h="16838" w:orient="portrait"/>
          <w:cols w:equalWidth="0" w:num="2">
            <w:col w:w="4760" w:space="320"/>
            <w:col w:w="3939"/>
          </w:cols>
          <w:pgMar w:left="1440" w:top="337" w:right="1440" w:bottom="0" w:gutter="0" w:footer="0" w:header="0"/>
          <w:type w:val="continuous"/>
        </w:sectPr>
      </w:pPr>
    </w:p>
    <w:bookmarkStart w:id="19" w:name="page20"/>
    <w:bookmarkEnd w:id="19"/>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Marketing GP Inc., its General Partner</w:t>
      </w:r>
    </w:p>
    <w:p>
      <w:pPr>
        <w:spacing w:after="0" w:line="225"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710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BASIN PIPELINE HOLDINGS,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ind w:left="5700"/>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Basin Holdings GP LLC, its General Partner</w:t>
            </w:r>
          </w:p>
        </w:tc>
        <w:tc>
          <w:tcPr>
            <w:tcW w:w="460" w:type="dxa"/>
            <w:vAlign w:val="bottom"/>
          </w:tcPr>
          <w:p>
            <w:pPr>
              <w:spacing w:after="0"/>
              <w:rPr>
                <w:sz w:val="20"/>
                <w:szCs w:val="20"/>
                <w:color w:val="auto"/>
              </w:rPr>
            </w:pPr>
          </w:p>
        </w:tc>
      </w:tr>
      <w:tr>
        <w:trPr>
          <w:trHeight w:val="432"/>
        </w:trPr>
        <w:tc>
          <w:tcPr>
            <w:tcW w:w="6120" w:type="dxa"/>
            <w:vAlign w:val="bottom"/>
          </w:tcPr>
          <w:p>
            <w:pPr>
              <w:ind w:left="5700"/>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Plains Pipeline, L.P., its Sole Member</w:t>
            </w:r>
          </w:p>
        </w:tc>
        <w:tc>
          <w:tcPr>
            <w:tcW w:w="460" w:type="dxa"/>
            <w:vAlign w:val="bottom"/>
          </w:tcPr>
          <w:p>
            <w:pPr>
              <w:spacing w:after="0"/>
              <w:rPr>
                <w:sz w:val="24"/>
                <w:szCs w:val="24"/>
                <w:color w:val="auto"/>
              </w:rPr>
            </w:pPr>
          </w:p>
        </w:tc>
      </w:tr>
      <w:tr>
        <w:trPr>
          <w:trHeight w:val="432"/>
        </w:trPr>
        <w:tc>
          <w:tcPr>
            <w:tcW w:w="6120" w:type="dxa"/>
            <w:vAlign w:val="bottom"/>
          </w:tcPr>
          <w:p>
            <w:pPr>
              <w:ind w:left="5700"/>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Plains Marketing GP Inc., its General Partner</w:t>
            </w:r>
          </w:p>
        </w:tc>
        <w:tc>
          <w:tcPr>
            <w:tcW w:w="460" w:type="dxa"/>
            <w:vAlign w:val="bottom"/>
          </w:tcPr>
          <w:p>
            <w:pPr>
              <w:spacing w:after="0"/>
              <w:rPr>
                <w:sz w:val="24"/>
                <w:szCs w:val="24"/>
                <w:color w:val="auto"/>
              </w:rPr>
            </w:pPr>
          </w:p>
        </w:tc>
      </w:tr>
      <w:tr>
        <w:trPr>
          <w:trHeight w:val="648"/>
        </w:trPr>
        <w:tc>
          <w:tcPr>
            <w:tcW w:w="6120" w:type="dxa"/>
            <w:vAlign w:val="bottom"/>
          </w:tcPr>
          <w:p>
            <w:pPr>
              <w:spacing w:after="0"/>
              <w:rPr>
                <w:sz w:val="24"/>
                <w:szCs w:val="24"/>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By:  /s/ Phil Kramer</w:t>
            </w:r>
          </w:p>
        </w:tc>
        <w:tc>
          <w:tcPr>
            <w:tcW w:w="460" w:type="dxa"/>
            <w:vAlign w:val="bottom"/>
          </w:tcPr>
          <w:p>
            <w:pPr>
              <w:spacing w:after="0"/>
              <w:rPr>
                <w:sz w:val="24"/>
                <w:szCs w:val="24"/>
                <w:color w:val="auto"/>
              </w:rPr>
            </w:pPr>
          </w:p>
        </w:tc>
      </w:tr>
      <w:tr>
        <w:trPr>
          <w:trHeight w:val="195"/>
        </w:trPr>
        <w:tc>
          <w:tcPr>
            <w:tcW w:w="6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 Kramer</w:t>
            </w:r>
          </w:p>
        </w:tc>
        <w:tc>
          <w:tcPr>
            <w:tcW w:w="460" w:type="dxa"/>
            <w:vAlign w:val="bottom"/>
          </w:tcPr>
          <w:p>
            <w:pPr>
              <w:spacing w:after="0"/>
              <w:rPr>
                <w:sz w:val="16"/>
                <w:szCs w:val="16"/>
                <w:color w:val="auto"/>
              </w:rPr>
            </w:pPr>
          </w:p>
        </w:tc>
      </w:tr>
      <w:tr>
        <w:trPr>
          <w:trHeight w:val="216"/>
        </w:trPr>
        <w:tc>
          <w:tcPr>
            <w:tcW w:w="6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60" w:type="dxa"/>
            <w:vAlign w:val="bottom"/>
          </w:tcPr>
          <w:p>
            <w:pPr>
              <w:spacing w:after="0"/>
              <w:rPr>
                <w:sz w:val="18"/>
                <w:szCs w:val="18"/>
                <w:color w:val="auto"/>
              </w:rPr>
            </w:pPr>
          </w:p>
        </w:tc>
      </w:tr>
      <w:tr>
        <w:trPr>
          <w:trHeight w:val="230"/>
        </w:trPr>
        <w:tc>
          <w:tcPr>
            <w:tcW w:w="6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20"/>
                <w:szCs w:val="20"/>
                <w:color w:val="auto"/>
              </w:rPr>
            </w:pPr>
          </w:p>
        </w:tc>
      </w:tr>
      <w:tr>
        <w:trPr>
          <w:trHeight w:val="432"/>
        </w:trPr>
        <w:tc>
          <w:tcPr>
            <w:tcW w:w="612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8"/>
        </w:trPr>
        <w:tc>
          <w:tcPr>
            <w:tcW w:w="6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RANCHO HOLDINGS GP LLC</w:t>
      </w:r>
    </w:p>
    <w:p>
      <w:pPr>
        <w:spacing w:after="0" w:line="225"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rPr>
              <w:t>Plains Pipeline, L.P., its Sole Member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rPr>
              <w:t>Plains Marketing GP Inc., its General Partner</w:t>
            </w:r>
          </w:p>
        </w:tc>
      </w:tr>
      <w:tr>
        <w:trPr>
          <w:trHeight w:val="648"/>
        </w:trPr>
        <w:tc>
          <w:tcPr>
            <w:tcW w:w="440" w:type="dxa"/>
            <w:vAlign w:val="bottom"/>
          </w:tcPr>
          <w:p>
            <w:pPr>
              <w:spacing w:after="0"/>
              <w:rPr>
                <w:sz w:val="24"/>
                <w:szCs w:val="24"/>
                <w:color w:val="auto"/>
              </w:rPr>
            </w:pP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rPr>
              <w:t>By:  /s/ Phil Kramer</w:t>
            </w:r>
          </w:p>
        </w:tc>
      </w:tr>
      <w:tr>
        <w:trPr>
          <w:trHeight w:val="195"/>
        </w:trPr>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200" w:lineRule="exact"/>
        <w:rPr>
          <w:sz w:val="20"/>
          <w:szCs w:val="20"/>
          <w:color w:val="auto"/>
        </w:rPr>
      </w:pPr>
    </w:p>
    <w:p>
      <w:pPr>
        <w:spacing w:after="0" w:line="21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RANCHO PIPELINE HOLDINGS, L.P.</w:t>
      </w:r>
    </w:p>
    <w:p>
      <w:pPr>
        <w:spacing w:after="0" w:line="225"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rPr>
              <w:t>Rancho Holdings GP LLC, its General Partner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rPr>
              <w:t>Plains Pipeline, L.P., its Sole Member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rPr>
              <w:t>Plains Marketing GP Inc., its General Partner</w:t>
            </w:r>
          </w:p>
        </w:tc>
      </w:tr>
      <w:tr>
        <w:trPr>
          <w:trHeight w:val="648"/>
        </w:trPr>
        <w:tc>
          <w:tcPr>
            <w:tcW w:w="440" w:type="dxa"/>
            <w:vAlign w:val="bottom"/>
          </w:tcPr>
          <w:p>
            <w:pPr>
              <w:spacing w:after="0"/>
              <w:rPr>
                <w:sz w:val="24"/>
                <w:szCs w:val="24"/>
                <w:color w:val="auto"/>
              </w:rPr>
            </w:pP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rPr>
              <w:t>By:  /s/ Phil Kramer</w:t>
            </w:r>
          </w:p>
        </w:tc>
      </w:tr>
      <w:tr>
        <w:trPr>
          <w:trHeight w:val="195"/>
        </w:trPr>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200" w:lineRule="exact"/>
        <w:rPr>
          <w:sz w:val="20"/>
          <w:szCs w:val="20"/>
          <w:color w:val="auto"/>
        </w:rPr>
      </w:pPr>
    </w:p>
    <w:p>
      <w:pPr>
        <w:spacing w:after="0" w:line="21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PLAINS LPG SERVICES GP LLC</w:t>
      </w:r>
    </w:p>
    <w:p>
      <w:pPr>
        <w:sectPr>
          <w:pgSz w:w="11900" w:h="16838" w:orient="portrait"/>
          <w:cols w:equalWidth="0" w:num="1">
            <w:col w:w="11440"/>
          </w:cols>
          <w:pgMar w:left="240" w:top="125" w:right="219" w:bottom="0" w:gutter="0" w:footer="0" w:header="0"/>
        </w:sectPr>
      </w:pP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Plains Marketing, L.P., its Sole Member</w:t>
      </w:r>
    </w:p>
    <w:p>
      <w:pPr>
        <w:spacing w:after="0" w:line="211" w:lineRule="exact"/>
        <w:rPr>
          <w:sz w:val="20"/>
          <w:szCs w:val="20"/>
          <w:color w:val="auto"/>
        </w:rPr>
      </w:pPr>
    </w:p>
    <w:p>
      <w:pPr>
        <w:sectPr>
          <w:pgSz w:w="11900" w:h="16838" w:orient="portrait"/>
          <w:cols w:equalWidth="0" w:num="2">
            <w:col w:w="5960" w:space="360"/>
            <w:col w:w="5120"/>
          </w:cols>
          <w:pgMar w:left="240" w:top="125" w:right="219" w:bottom="0" w:gutter="0" w:footer="0" w:header="0"/>
          <w:type w:val="continuous"/>
        </w:sectPr>
      </w:pPr>
    </w:p>
    <w:p>
      <w:pPr>
        <w:spacing w:after="0" w:line="3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Plains Marketing GP Inc., its General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ectPr>
          <w:pgSz w:w="11900" w:h="16838" w:orient="portrait"/>
          <w:cols w:equalWidth="0" w:num="2">
            <w:col w:w="5960" w:space="360"/>
            <w:col w:w="5120"/>
          </w:cols>
          <w:pgMar w:left="240" w:top="125" w:right="219" w:bottom="0" w:gutter="0" w:footer="0" w:header="0"/>
          <w:type w:val="continuous"/>
        </w:sect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Phil Kramer</w:t>
      </w:r>
    </w:p>
    <w:p>
      <w:pPr>
        <w:spacing w:after="0" w:line="46" w:lineRule="exact"/>
        <w:rPr>
          <w:sz w:val="20"/>
          <w:szCs w:val="20"/>
          <w:color w:val="auto"/>
        </w:rPr>
      </w:pPr>
    </w:p>
    <w:p>
      <w:pPr>
        <w:sectPr>
          <w:pgSz w:w="11900" w:h="16838" w:orient="portrait"/>
          <w:cols w:equalWidth="0" w:num="2">
            <w:col w:w="6580" w:space="140"/>
            <w:col w:w="4720"/>
          </w:cols>
          <w:pgMar w:left="240" w:top="125" w:right="219" w:bottom="0" w:gutter="0" w:footer="0" w:header="0"/>
          <w:type w:val="continuous"/>
        </w:sectPr>
      </w:pPr>
    </w:p>
    <w:p>
      <w:pPr>
        <w:ind w:left="672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-130810</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Executive Vice President and Chief</w:t>
      </w:r>
    </w:p>
    <w:p>
      <w:pPr>
        <w:spacing w:after="0" w:line="3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PLAINS LPG SERVICES, L.P.</w:t>
      </w:r>
    </w:p>
    <w:p>
      <w:pPr>
        <w:sectPr>
          <w:pgSz w:w="11900" w:h="16838" w:orient="portrait"/>
          <w:cols w:equalWidth="0" w:num="1">
            <w:col w:w="11440"/>
          </w:cols>
          <w:pgMar w:left="240" w:top="125" w:right="219" w:bottom="0" w:gutter="0" w:footer="0" w:header="0"/>
          <w:type w:val="continuous"/>
        </w:sectPr>
      </w:pP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100"/>
        <w:spacing w:after="0" w:line="277" w:lineRule="auto"/>
        <w:rPr>
          <w:sz w:val="20"/>
          <w:szCs w:val="20"/>
          <w:color w:val="auto"/>
        </w:rPr>
      </w:pPr>
      <w:r>
        <w:rPr>
          <w:rFonts w:ascii="Arial" w:cs="Arial" w:eastAsia="Arial" w:hAnsi="Arial"/>
          <w:sz w:val="18"/>
          <w:szCs w:val="18"/>
          <w:color w:val="auto"/>
        </w:rPr>
        <w:t>Plains LPG Services GP LLC, its General Partner</w:t>
      </w:r>
    </w:p>
    <w:p>
      <w:pPr>
        <w:sectPr>
          <w:pgSz w:w="11900" w:h="16838" w:orient="portrait"/>
          <w:cols w:equalWidth="0" w:num="2">
            <w:col w:w="5960" w:space="360"/>
            <w:col w:w="5120"/>
          </w:cols>
          <w:pgMar w:left="240" w:top="125" w:right="21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gridSpan w:val="6"/>
          </w:tcPr>
          <w:p>
            <w:pPr>
              <w:ind w:left="240"/>
              <w:spacing w:after="0"/>
              <w:rPr>
                <w:sz w:val="20"/>
                <w:szCs w:val="20"/>
                <w:color w:val="auto"/>
              </w:rPr>
            </w:pPr>
            <w:r>
              <w:rPr>
                <w:rFonts w:ascii="Arial" w:cs="Arial" w:eastAsia="Arial" w:hAnsi="Arial"/>
                <w:sz w:val="18"/>
                <w:szCs w:val="18"/>
                <w:color w:val="auto"/>
              </w:rPr>
              <w:t>Plains Marketing, L.P., its Sole Member</w:t>
            </w:r>
          </w:p>
        </w:tc>
      </w:tr>
      <w:tr>
        <w:trPr>
          <w:trHeight w:val="418"/>
        </w:trPr>
        <w:tc>
          <w:tcPr>
            <w:tcW w:w="57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gridSpan w:val="6"/>
          </w:tcPr>
          <w:p>
            <w:pPr>
              <w:ind w:left="240"/>
              <w:spacing w:after="0"/>
              <w:rPr>
                <w:sz w:val="20"/>
                <w:szCs w:val="20"/>
                <w:color w:val="auto"/>
              </w:rPr>
            </w:pPr>
            <w:r>
              <w:rPr>
                <w:rFonts w:ascii="Arial" w:cs="Arial" w:eastAsia="Arial" w:hAnsi="Arial"/>
                <w:sz w:val="18"/>
                <w:szCs w:val="18"/>
                <w:color w:val="auto"/>
              </w:rPr>
              <w:t>Plains Marketing GP Inc., its General</w:t>
            </w: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60" w:type="dxa"/>
            <w:vAlign w:val="bottom"/>
            <w:gridSpan w:val="6"/>
          </w:tcPr>
          <w:p>
            <w:pPr>
              <w:ind w:left="240"/>
              <w:spacing w:after="0"/>
              <w:rPr>
                <w:sz w:val="20"/>
                <w:szCs w:val="20"/>
                <w:color w:val="auto"/>
              </w:rPr>
            </w:pPr>
            <w:r>
              <w:rPr>
                <w:rFonts w:ascii="Arial" w:cs="Arial" w:eastAsia="Arial" w:hAnsi="Arial"/>
                <w:sz w:val="18"/>
                <w:szCs w:val="18"/>
                <w:color w:val="auto"/>
              </w:rPr>
              <w:t>Partner</w:t>
            </w:r>
          </w:p>
        </w:tc>
      </w:tr>
      <w:tr>
        <w:trPr>
          <w:trHeight w:val="648"/>
        </w:trPr>
        <w:tc>
          <w:tcPr>
            <w:tcW w:w="5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By:</w:t>
            </w:r>
          </w:p>
        </w:tc>
        <w:tc>
          <w:tcPr>
            <w:tcW w:w="4640" w:type="dxa"/>
            <w:vAlign w:val="bottom"/>
            <w:gridSpan w:val="4"/>
          </w:tcPr>
          <w:p>
            <w:pPr>
              <w:spacing w:after="0"/>
              <w:rPr>
                <w:sz w:val="20"/>
                <w:szCs w:val="20"/>
                <w:color w:val="auto"/>
              </w:rPr>
            </w:pPr>
            <w:r>
              <w:rPr>
                <w:rFonts w:ascii="Arial" w:cs="Arial" w:eastAsia="Arial" w:hAnsi="Arial"/>
                <w:sz w:val="18"/>
                <w:szCs w:val="18"/>
                <w:color w:val="auto"/>
              </w:rPr>
              <w:t>/s/ Phil Kramer</w:t>
            </w:r>
          </w:p>
        </w:tc>
      </w:tr>
      <w:tr>
        <w:trPr>
          <w:trHeight w:val="195"/>
        </w:trPr>
        <w:tc>
          <w:tcPr>
            <w:tcW w:w="5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Phil Kramer</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40" w:type="dxa"/>
            <w:vAlign w:val="bottom"/>
            <w:gridSpan w:val="4"/>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40" w:type="dxa"/>
            <w:vAlign w:val="bottom"/>
            <w:gridSpan w:val="4"/>
          </w:tcPr>
          <w:p>
            <w:pPr>
              <w:spacing w:after="0"/>
              <w:rPr>
                <w:sz w:val="20"/>
                <w:szCs w:val="20"/>
                <w:color w:val="auto"/>
              </w:rPr>
            </w:pPr>
            <w:r>
              <w:rPr>
                <w:rFonts w:ascii="Arial" w:cs="Arial" w:eastAsia="Arial" w:hAnsi="Arial"/>
                <w:sz w:val="18"/>
                <w:szCs w:val="18"/>
                <w:color w:val="auto"/>
              </w:rPr>
              <w:t>Financial Officer</w:t>
            </w:r>
          </w:p>
        </w:tc>
      </w:tr>
      <w:tr>
        <w:trPr>
          <w:trHeight w:val="432"/>
        </w:trPr>
        <w:tc>
          <w:tcPr>
            <w:tcW w:w="570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18"/>
                <w:szCs w:val="18"/>
                <w:color w:val="auto"/>
              </w:rPr>
              <w:t>LONE STAR TRUCKING, LLC</w:t>
            </w:r>
          </w:p>
        </w:tc>
      </w:tr>
      <w:tr>
        <w:trPr>
          <w:trHeight w:val="432"/>
        </w:trPr>
        <w:tc>
          <w:tcPr>
            <w:tcW w:w="57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gridSpan w:val="6"/>
          </w:tcPr>
          <w:p>
            <w:pPr>
              <w:ind w:left="240"/>
              <w:spacing w:after="0"/>
              <w:rPr>
                <w:sz w:val="20"/>
                <w:szCs w:val="20"/>
                <w:color w:val="auto"/>
              </w:rPr>
            </w:pPr>
            <w:r>
              <w:rPr>
                <w:rFonts w:ascii="Arial" w:cs="Arial" w:eastAsia="Arial" w:hAnsi="Arial"/>
                <w:sz w:val="18"/>
                <w:szCs w:val="18"/>
                <w:color w:val="auto"/>
              </w:rPr>
              <w:t>Plains LPG Services, L.P., its Sole Member</w:t>
            </w:r>
          </w:p>
        </w:tc>
      </w:tr>
      <w:tr>
        <w:trPr>
          <w:trHeight w:val="418"/>
        </w:trPr>
        <w:tc>
          <w:tcPr>
            <w:tcW w:w="57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gridSpan w:val="6"/>
          </w:tcPr>
          <w:p>
            <w:pPr>
              <w:ind w:left="240"/>
              <w:spacing w:after="0"/>
              <w:rPr>
                <w:sz w:val="20"/>
                <w:szCs w:val="20"/>
                <w:color w:val="auto"/>
              </w:rPr>
            </w:pPr>
            <w:r>
              <w:rPr>
                <w:rFonts w:ascii="Arial" w:cs="Arial" w:eastAsia="Arial" w:hAnsi="Arial"/>
                <w:sz w:val="18"/>
                <w:szCs w:val="18"/>
                <w:color w:val="auto"/>
              </w:rPr>
              <w:t>Plains LPG Services GP LLC, its General</w:t>
            </w: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60" w:type="dxa"/>
            <w:vAlign w:val="bottom"/>
            <w:gridSpan w:val="6"/>
          </w:tcPr>
          <w:p>
            <w:pPr>
              <w:ind w:left="240"/>
              <w:spacing w:after="0"/>
              <w:rPr>
                <w:sz w:val="20"/>
                <w:szCs w:val="20"/>
                <w:color w:val="auto"/>
              </w:rPr>
            </w:pPr>
            <w:r>
              <w:rPr>
                <w:rFonts w:ascii="Arial" w:cs="Arial" w:eastAsia="Arial" w:hAnsi="Arial"/>
                <w:sz w:val="18"/>
                <w:szCs w:val="18"/>
                <w:color w:val="auto"/>
              </w:rPr>
              <w:t>Partner</w:t>
            </w:r>
          </w:p>
        </w:tc>
      </w:tr>
      <w:tr>
        <w:trPr>
          <w:trHeight w:val="432"/>
        </w:trPr>
        <w:tc>
          <w:tcPr>
            <w:tcW w:w="57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gridSpan w:val="6"/>
          </w:tcPr>
          <w:p>
            <w:pPr>
              <w:ind w:left="240"/>
              <w:spacing w:after="0"/>
              <w:rPr>
                <w:sz w:val="20"/>
                <w:szCs w:val="20"/>
                <w:color w:val="auto"/>
              </w:rPr>
            </w:pPr>
            <w:r>
              <w:rPr>
                <w:rFonts w:ascii="Arial" w:cs="Arial" w:eastAsia="Arial" w:hAnsi="Arial"/>
                <w:sz w:val="18"/>
                <w:szCs w:val="18"/>
                <w:color w:val="auto"/>
              </w:rPr>
              <w:t>Plains Marketing, L.P., its Sole Member</w:t>
            </w:r>
          </w:p>
        </w:tc>
      </w:tr>
      <w:tr>
        <w:trPr>
          <w:trHeight w:val="418"/>
        </w:trPr>
        <w:tc>
          <w:tcPr>
            <w:tcW w:w="57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gridSpan w:val="6"/>
          </w:tcPr>
          <w:p>
            <w:pPr>
              <w:ind w:left="240"/>
              <w:spacing w:after="0"/>
              <w:rPr>
                <w:sz w:val="20"/>
                <w:szCs w:val="20"/>
                <w:color w:val="auto"/>
              </w:rPr>
            </w:pPr>
            <w:r>
              <w:rPr>
                <w:rFonts w:ascii="Arial" w:cs="Arial" w:eastAsia="Arial" w:hAnsi="Arial"/>
                <w:sz w:val="18"/>
                <w:szCs w:val="18"/>
                <w:color w:val="auto"/>
              </w:rPr>
              <w:t>Plains Marketing GP Inc., its General</w:t>
            </w: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60" w:type="dxa"/>
            <w:vAlign w:val="bottom"/>
            <w:gridSpan w:val="6"/>
          </w:tcPr>
          <w:p>
            <w:pPr>
              <w:ind w:left="240"/>
              <w:spacing w:after="0"/>
              <w:rPr>
                <w:sz w:val="20"/>
                <w:szCs w:val="20"/>
                <w:color w:val="auto"/>
              </w:rPr>
            </w:pPr>
            <w:r>
              <w:rPr>
                <w:rFonts w:ascii="Arial" w:cs="Arial" w:eastAsia="Arial" w:hAnsi="Arial"/>
                <w:sz w:val="18"/>
                <w:szCs w:val="18"/>
                <w:color w:val="auto"/>
              </w:rPr>
              <w:t>Partner</w:t>
            </w:r>
          </w:p>
        </w:tc>
      </w:tr>
      <w:tr>
        <w:trPr>
          <w:trHeight w:val="648"/>
        </w:trPr>
        <w:tc>
          <w:tcPr>
            <w:tcW w:w="5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By:</w:t>
            </w:r>
          </w:p>
        </w:tc>
        <w:tc>
          <w:tcPr>
            <w:tcW w:w="4640" w:type="dxa"/>
            <w:vAlign w:val="bottom"/>
            <w:gridSpan w:val="4"/>
          </w:tcPr>
          <w:p>
            <w:pPr>
              <w:spacing w:after="0"/>
              <w:rPr>
                <w:sz w:val="20"/>
                <w:szCs w:val="20"/>
                <w:color w:val="auto"/>
              </w:rPr>
            </w:pPr>
            <w:r>
              <w:rPr>
                <w:rFonts w:ascii="Arial" w:cs="Arial" w:eastAsia="Arial" w:hAnsi="Arial"/>
                <w:sz w:val="18"/>
                <w:szCs w:val="18"/>
                <w:color w:val="auto"/>
              </w:rPr>
              <w:t>/s/ Phil Kramer</w:t>
            </w:r>
          </w:p>
        </w:tc>
      </w:tr>
      <w:tr>
        <w:trPr>
          <w:trHeight w:val="195"/>
        </w:trPr>
        <w:tc>
          <w:tcPr>
            <w:tcW w:w="5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Phil Kramer</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40" w:type="dxa"/>
            <w:vAlign w:val="bottom"/>
            <w:gridSpan w:val="4"/>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40" w:type="dxa"/>
            <w:vAlign w:val="bottom"/>
            <w:gridSpan w:val="4"/>
          </w:tcPr>
          <w:p>
            <w:pPr>
              <w:spacing w:after="0"/>
              <w:rPr>
                <w:sz w:val="20"/>
                <w:szCs w:val="20"/>
                <w:color w:val="auto"/>
              </w:rPr>
            </w:pPr>
            <w:r>
              <w:rPr>
                <w:rFonts w:ascii="Arial" w:cs="Arial" w:eastAsia="Arial" w:hAnsi="Arial"/>
                <w:sz w:val="18"/>
                <w:szCs w:val="18"/>
                <w:color w:val="auto"/>
              </w:rPr>
              <w:t>Financial Officer</w:t>
            </w:r>
          </w:p>
        </w:tc>
      </w:tr>
      <w:tr>
        <w:trPr>
          <w:trHeight w:val="608"/>
        </w:trPr>
        <w:tc>
          <w:tcPr>
            <w:tcW w:w="570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TRUSTEE:</w:t>
            </w:r>
          </w:p>
        </w:tc>
        <w:tc>
          <w:tcPr>
            <w:tcW w:w="3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7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570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18"/>
                <w:szCs w:val="18"/>
                <w:color w:val="auto"/>
              </w:rPr>
              <w:t>WACHOVIA BANK, NATIONAL ASSOCIATION,</w:t>
            </w:r>
          </w:p>
        </w:tc>
      </w:tr>
      <w:tr>
        <w:trPr>
          <w:trHeight w:val="230"/>
        </w:trPr>
        <w:tc>
          <w:tcPr>
            <w:tcW w:w="57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as Trustee</w:t>
            </w:r>
          </w:p>
        </w:tc>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570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18"/>
                <w:szCs w:val="18"/>
                <w:color w:val="auto"/>
              </w:rPr>
              <w:t>By:  /s/ Ronda L. Porman</w:t>
            </w:r>
          </w:p>
        </w:tc>
      </w:tr>
      <w:tr>
        <w:trPr>
          <w:trHeight w:val="195"/>
        </w:trPr>
        <w:tc>
          <w:tcPr>
            <w:tcW w:w="5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Name: Ronda L. Porman</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60" w:type="dxa"/>
            <w:vAlign w:val="bottom"/>
            <w:gridSpan w:val="6"/>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6080" w:type="dxa"/>
            <w:vAlign w:val="bottom"/>
            <w:gridSpan w:val="2"/>
          </w:tcPr>
          <w:p>
            <w:pPr>
              <w:jc w:val="right"/>
              <w:ind w:right="19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57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40"/>
        </w:trPr>
        <w:tc>
          <w:tcPr>
            <w:tcW w:w="5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gridSpan w:val="4"/>
          </w:tcPr>
          <w:p>
            <w:pPr>
              <w:ind w:left="3720"/>
              <w:spacing w:after="0"/>
              <w:rPr>
                <w:sz w:val="20"/>
                <w:szCs w:val="20"/>
                <w:color w:val="auto"/>
              </w:rPr>
            </w:pPr>
            <w:r>
              <w:rPr>
                <w:rFonts w:ascii="Arial" w:cs="Arial" w:eastAsia="Arial" w:hAnsi="Arial"/>
                <w:sz w:val="18"/>
                <w:szCs w:val="18"/>
                <w:color w:val="auto"/>
              </w:rPr>
              <w:t>EXHIBIT A</w:t>
            </w:r>
          </w:p>
        </w:tc>
      </w:tr>
      <w:tr>
        <w:trPr>
          <w:trHeight w:val="453"/>
        </w:trPr>
        <w:tc>
          <w:tcPr>
            <w:tcW w:w="6800" w:type="dxa"/>
            <w:vAlign w:val="bottom"/>
            <w:gridSpan w:val="4"/>
          </w:tcPr>
          <w:p>
            <w:pPr>
              <w:jc w:val="center"/>
              <w:ind w:left="4550"/>
              <w:spacing w:after="0"/>
              <w:rPr>
                <w:sz w:val="20"/>
                <w:szCs w:val="20"/>
                <w:color w:val="auto"/>
              </w:rPr>
            </w:pPr>
            <w:r>
              <w:rPr>
                <w:rFonts w:ascii="Arial" w:cs="Arial" w:eastAsia="Arial" w:hAnsi="Arial"/>
                <w:sz w:val="18"/>
                <w:szCs w:val="18"/>
                <w:color w:val="auto"/>
                <w:w w:val="92"/>
              </w:rPr>
              <w:t>(Form of Face of Note)</w:t>
            </w:r>
          </w:p>
        </w:tc>
        <w:tc>
          <w:tcPr>
            <w:tcW w:w="37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6080" w:type="dxa"/>
            <w:vAlign w:val="bottom"/>
            <w:gridSpan w:val="2"/>
          </w:tcPr>
          <w:p>
            <w:pPr>
              <w:spacing w:after="0"/>
              <w:rPr>
                <w:sz w:val="20"/>
                <w:szCs w:val="20"/>
                <w:color w:val="auto"/>
              </w:rPr>
            </w:pPr>
            <w:r>
              <w:rPr>
                <w:rFonts w:ascii="Arial" w:cs="Arial" w:eastAsia="Arial" w:hAnsi="Arial"/>
                <w:sz w:val="18"/>
                <w:szCs w:val="18"/>
                <w:color w:val="auto"/>
              </w:rPr>
              <w:t>CUSIP</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20" w:type="dxa"/>
            <w:vAlign w:val="bottom"/>
            <w:gridSpan w:val="3"/>
          </w:tcPr>
          <w:p>
            <w:pPr>
              <w:ind w:left="420"/>
              <w:spacing w:after="0"/>
              <w:rPr>
                <w:sz w:val="20"/>
                <w:szCs w:val="20"/>
                <w:color w:val="auto"/>
              </w:rPr>
            </w:pPr>
            <w:r>
              <w:rPr>
                <w:rFonts w:ascii="Arial" w:cs="Arial" w:eastAsia="Arial" w:hAnsi="Arial"/>
                <w:sz w:val="18"/>
                <w:szCs w:val="18"/>
                <w:color w:val="auto"/>
              </w:rPr>
              <w:t>No.</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ISIN</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2"/>
          </w:tcPr>
          <w:p>
            <w:pPr>
              <w:ind w:left="38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-1195705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-1195705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PAA FINANCE CORP.</w:t>
      </w:r>
    </w:p>
    <w:p>
      <w:pPr>
        <w:spacing w:after="0" w:line="211" w:lineRule="exact"/>
        <w:rPr>
          <w:sz w:val="20"/>
          <w:szCs w:val="20"/>
          <w:color w:val="auto"/>
        </w:rPr>
      </w:pPr>
    </w:p>
    <w:p>
      <w:pPr>
        <w:jc w:val="center"/>
        <w:ind w:right="20"/>
        <w:spacing w:after="0"/>
        <w:tabs>
          <w:tab w:leader="none" w:pos="280" w:val="left"/>
        </w:tabs>
        <w:rPr>
          <w:sz w:val="20"/>
          <w:szCs w:val="20"/>
          <w:color w:val="auto"/>
        </w:rPr>
      </w:pPr>
      <w:r>
        <w:rPr>
          <w:rFonts w:ascii="Arial" w:cs="Arial" w:eastAsia="Arial" w:hAnsi="Arial"/>
          <w:sz w:val="18"/>
          <w:szCs w:val="18"/>
          <w:color w:val="auto"/>
        </w:rPr>
        <w:t>6.70</w:t>
      </w:r>
      <w:r>
        <w:rPr>
          <w:rFonts w:ascii="Arial" w:cs="Arial" w:eastAsia="Arial" w:hAnsi="Arial"/>
          <w:sz w:val="17"/>
          <w:szCs w:val="17"/>
          <w:color w:val="auto"/>
        </w:rPr>
        <w:t>% Series</w:t>
      </w:r>
      <w:r>
        <w:rPr>
          <w:sz w:val="20"/>
          <w:szCs w:val="20"/>
          <w:color w:val="auto"/>
        </w:rPr>
        <w:tab/>
      </w:r>
      <w:r>
        <w:rPr>
          <w:rFonts w:ascii="Arial" w:cs="Arial" w:eastAsia="Arial" w:hAnsi="Arial"/>
          <w:sz w:val="15"/>
          <w:szCs w:val="15"/>
          <w:color w:val="auto"/>
        </w:rPr>
        <w:t>Senior Notes due 2036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 Delaware limited partnership, and PAA Finance Corp., a Delaware corporation, jointly and severally promise to pay to</w:t>
      </w:r>
    </w:p>
    <w:p>
      <w:pPr>
        <w:spacing w:after="0" w:line="46" w:lineRule="exact"/>
        <w:rPr>
          <w:sz w:val="20"/>
          <w:szCs w:val="20"/>
          <w:color w:val="auto"/>
        </w:rPr>
      </w:pPr>
    </w:p>
    <w:p>
      <w:pPr>
        <w:ind w:left="820"/>
        <w:spacing w:after="0"/>
        <w:tabs>
          <w:tab w:leader="none" w:pos="4800" w:val="left"/>
        </w:tabs>
        <w:rPr>
          <w:sz w:val="20"/>
          <w:szCs w:val="20"/>
          <w:color w:val="auto"/>
        </w:rPr>
      </w:pPr>
      <w:r>
        <w:rPr>
          <w:rFonts w:ascii="Arial" w:cs="Arial" w:eastAsia="Arial" w:hAnsi="Arial"/>
          <w:sz w:val="18"/>
          <w:szCs w:val="18"/>
          <w:color w:val="auto"/>
        </w:rPr>
        <w:t>, or registered assigns, the principal sum of</w:t>
      </w:r>
      <w:r>
        <w:rPr>
          <w:sz w:val="20"/>
          <w:szCs w:val="20"/>
          <w:color w:val="auto"/>
        </w:rPr>
        <w:tab/>
      </w:r>
      <w:r>
        <w:rPr>
          <w:rFonts w:ascii="Arial" w:cs="Arial" w:eastAsia="Arial" w:hAnsi="Arial"/>
          <w:sz w:val="15"/>
          <w:szCs w:val="15"/>
          <w:color w:val="auto"/>
        </w:rPr>
        <w:t>Dollars [or such greater or lesser amount as may be endorsed on the Schedule attached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hereto]</w:t>
      </w:r>
      <w:r>
        <w:rPr>
          <w:rFonts w:ascii="Arial" w:cs="Arial" w:eastAsia="Arial" w:hAnsi="Arial"/>
          <w:sz w:val="15"/>
          <w:szCs w:val="15"/>
          <w:color w:val="auto"/>
        </w:rPr>
        <w:t>1</w:t>
      </w:r>
      <w:r>
        <w:rPr>
          <w:rFonts w:ascii="Arial" w:cs="Arial" w:eastAsia="Arial" w:hAnsi="Arial"/>
          <w:sz w:val="18"/>
          <w:szCs w:val="18"/>
          <w:color w:val="auto"/>
        </w:rPr>
        <w:t xml:space="preserve"> on May 15, 2036.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May 15 and November 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 and November 1</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AAP, L.P., its General Partner</w:t>
      </w:r>
    </w:p>
    <w:p>
      <w:pPr>
        <w:spacing w:after="0" w:line="9"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All American GP LLC, its General Partner</w:t>
      </w:r>
    </w:p>
    <w:p>
      <w:pPr>
        <w:spacing w:after="0" w:line="200" w:lineRule="exact"/>
        <w:rPr>
          <w:sz w:val="20"/>
          <w:szCs w:val="20"/>
          <w:color w:val="auto"/>
        </w:rPr>
      </w:pPr>
    </w:p>
    <w:p>
      <w:pPr>
        <w:spacing w:after="0" w:line="2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-130810</wp:posOffset>
            </wp:positionV>
            <wp:extent cx="22294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PAA FINANCE CORP.</w:t>
      </w:r>
    </w:p>
    <w:p>
      <w:pPr>
        <w:sectPr>
          <w:pgSz w:w="11900" w:h="16838" w:orient="portrait"/>
          <w:cols w:equalWidth="0" w:num="1">
            <w:col w:w="11440"/>
          </w:cols>
          <w:pgMar w:left="240" w:top="341" w:right="219" w:bottom="32" w:gutter="0" w:footer="0" w:header="0"/>
        </w:sectPr>
      </w:pPr>
    </w:p>
    <w:bookmarkStart w:id="21" w:name="page22"/>
    <w:bookmarkEnd w:id="21"/>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3370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AUTHENTICATION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040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18694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69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36"/>
          <w:szCs w:val="36"/>
          <w:color w:val="auto"/>
          <w:vertAlign w:val="superscript"/>
        </w:rPr>
        <w:t>1</w:t>
      </w:r>
      <w:r>
        <w:rPr>
          <w:rFonts w:ascii="Arial" w:cs="Arial" w:eastAsia="Arial" w:hAnsi="Arial"/>
          <w:sz w:val="18"/>
          <w:szCs w:val="18"/>
          <w:color w:val="auto"/>
        </w:rPr>
        <w:t xml:space="preserve"> To be included only if the Note is issued in global form.</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Back of Note)</w:t>
      </w:r>
    </w:p>
    <w:p>
      <w:pPr>
        <w:spacing w:after="0" w:line="225" w:lineRule="exact"/>
        <w:rPr>
          <w:sz w:val="20"/>
          <w:szCs w:val="20"/>
          <w:color w:val="auto"/>
        </w:rPr>
      </w:pPr>
    </w:p>
    <w:p>
      <w:pPr>
        <w:jc w:val="center"/>
        <w:ind w:right="-19"/>
        <w:spacing w:after="0"/>
        <w:tabs>
          <w:tab w:leader="none" w:pos="300" w:val="left"/>
        </w:tabs>
        <w:rPr>
          <w:sz w:val="20"/>
          <w:szCs w:val="20"/>
          <w:color w:val="auto"/>
        </w:rPr>
      </w:pPr>
      <w:r>
        <w:rPr>
          <w:rFonts w:ascii="Arial" w:cs="Arial" w:eastAsia="Arial" w:hAnsi="Arial"/>
          <w:sz w:val="18"/>
          <w:szCs w:val="18"/>
          <w:color w:val="auto"/>
        </w:rPr>
        <w:t>6.70% Series</w:t>
      </w:r>
      <w:r>
        <w:rPr>
          <w:sz w:val="20"/>
          <w:szCs w:val="20"/>
          <w:color w:val="auto"/>
        </w:rPr>
        <w:tab/>
      </w:r>
      <w:r>
        <w:rPr>
          <w:rFonts w:ascii="Arial" w:cs="Arial" w:eastAsia="Arial" w:hAnsi="Arial"/>
          <w:sz w:val="16"/>
          <w:szCs w:val="16"/>
          <w:color w:val="auto"/>
        </w:rPr>
        <w:t>Senior Notes due 2036</w:t>
      </w:r>
    </w:p>
    <w:p>
      <w:pPr>
        <w:spacing w:after="0" w:line="2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Arial" w:cs="Arial" w:eastAsia="Arial" w:hAnsi="Arial"/>
          <w:sz w:val="30"/>
          <w:szCs w:val="30"/>
          <w:color w:val="auto"/>
          <w:vertAlign w:val="superscript"/>
        </w:rPr>
        <w:t>2</w:t>
      </w:r>
    </w:p>
    <w:p>
      <w:pPr>
        <w:spacing w:after="0" w:line="6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[THE ISSUANCE AND SALE OF THIS SECURITY (AND ANY GUARANTEE HEREOF) HAVE NOT BEEN REGISTERED UNDER THE SECURITIES ACT OF 1933, AS AMENDED (THE “SECURITIES ACT”), OR ANY STATE SECURITIES LAWS. NEITHER THIS SECURITY (NOR ANY GUARANTEE HEREOF) NOR ANY INTEREST OR PARTICIPATION HEREIN OR THEREIN MAY BE OFFERED, SOLD, ASSIGNED, TRANSFERRED, PLEDGED, ENCUMBERED OR OTHERWISE DISPOSED OF IN THE ABSENCE OF SUCH REGISTRATION OR UNLESS SUCH TRANSACTION IS EXEMPT FROM, OR NOT SUBJECT TO, THE REGISTRATION REQUIREMENTS OF THE SECURITIES ACT OR ANY APPLICABLE STATE SECURITIES LAWS. THE HOLDER HEREOF, BY ITS ACCEPTANCE OF THIS SECURITY, AGREES FOR THE BENEFIT OF THE ISSUERS THAT THIS SECURITY MAY NOT BE OFFERED, SOLD, PLEDGED OR OTHERWISE TRANSFERRED PRIOR TO THE EXPIRATION OF THE HOLDING PERIOD APPLICABLE THERETO UNDER RULE 144(k)</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UNDER THE SECURITIES ACT (OR, IN THE CASE OF A TRANSFER PURSUANT TO REGULATION S, THE DISTRIBUTION COMPLIANCE PERIOD DEFINED THEREIN) WHICH IS APPLICABLE TO THIS SECURITY (THE “RESALE RESTRICTION TERMINATION DATE”) OTHER THAN (1) TO THE ISSUERS OR THEIR RESPECTIVE SUBSIDIARIES, (2) 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IN EACH CASE TO WHOM NOTICE IS GIVEN THAT THE RESALE, PLEDGE OR OTHER TRANSFER IS BEING MADE IN RELIANCE ON RULE 144A, (3) INSIDE THE UNITED STATES TO AN INSTITUTIONAL “ACCREDITED INVESTOR” (AS DEFINED IN RULE 501(A)(1), (2), (3) OR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6"/>
          <w:szCs w:val="36"/>
          <w:color w:val="auto"/>
          <w:vertAlign w:val="superscript"/>
        </w:rPr>
        <w:t>2</w:t>
      </w:r>
      <w:r>
        <w:rPr>
          <w:rFonts w:ascii="Arial" w:cs="Arial" w:eastAsia="Arial" w:hAnsi="Arial"/>
          <w:sz w:val="18"/>
          <w:szCs w:val="18"/>
          <w:color w:val="auto"/>
        </w:rPr>
        <w:t xml:space="preserve"> To be included only if the Note is issued in global form.</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UNDER THE SECURITIES ACT), (4) TO A NON-”U.S. PERSON” IN AN “OFFSHORE TRANSACTION” (AS SUCH TERMS ARE DEFINED IN REGULATION S UNDER THE SECURITIES ACT) IN ACCORDANCE WITH REGULATION S UNDER THE SECURITIES ACT, (5) PURSUANT TO ANY OTHER AVAILABLE EXEMPTION FROM THE REGISTRATION REQUIREMENTS OF THE SECURITIES ACT, INCLUDING THE EXEMPTION PROVIDED BY RULE 144 UNDER THE SECURITIES ACT, IF AVAILABLE, OR (6) PURSUANT TO AN EFFECTIVE REGISTRATION STATEMENT UNDER THE SECURITIES ACT, SUBJECT IN EACH OF THE FOREGOING CASES TO ANY REQUIREMENT OF LAW THAT THE DISPOSITION OF ITS PROPERTY OR THE PROPERTY OF SUCH INVESTOR ACCOUNT OR ACCOUNTS BE AT ALL TIMES WITHIN ITS OR THEIR CONTROL, AND SUBJECT TO THE RIGHT OF THE ISSUERS OR THE TRUSTEE FOR THE SECURITIES PRIOR TO ANY SUCH SALE, PLEDGE OR OTHER TRANSFER TO REQUIRE THE DELIVERY OF AN OPINION OF COUNSEL, CERTIFICATIONS AND/OR OTHER INFORMATION SATISFACTORY TO EACH OF THEM. THIS LEGEND WILL BE REMOVED UPON REQUEST OF THE HOLDER ON OR AFTER THE RESALE RESTRICTION TERMINATION DATE.]</w:t>
      </w:r>
      <w:r>
        <w:rPr>
          <w:rFonts w:ascii="Arial" w:cs="Arial" w:eastAsia="Arial" w:hAnsi="Arial"/>
          <w:sz w:val="36"/>
          <w:szCs w:val="36"/>
          <w:color w:val="auto"/>
          <w:vertAlign w:val="superscript"/>
        </w:rPr>
        <w:t>3</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ectPr>
          <w:pgSz w:w="11900" w:h="16838" w:orient="portrait"/>
          <w:cols w:equalWidth="0" w:num="1">
            <w:col w:w="11400"/>
          </w:cols>
          <w:pgMar w:left="240" w:top="125" w:right="259" w:bottom="217" w:gutter="0" w:footer="0" w:header="0"/>
        </w:sectPr>
      </w:pPr>
    </w:p>
    <w:bookmarkStart w:id="22" w:name="page23"/>
    <w:bookmarkEnd w:id="22"/>
    <w:p>
      <w:pPr>
        <w:ind w:right="100" w:firstLine="1305"/>
        <w:spacing w:after="0" w:line="291" w:lineRule="auto"/>
        <w:tabs>
          <w:tab w:leader="none" w:pos="201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Interest; Additional Interest</w:t>
      </w:r>
      <w:r>
        <w:rPr>
          <w:rFonts w:ascii="Arial" w:cs="Arial" w:eastAsia="Arial" w:hAnsi="Arial"/>
          <w:sz w:val="16"/>
          <w:szCs w:val="16"/>
          <w:color w:val="auto"/>
        </w:rPr>
        <w:t>. Plains All American Pipeline, L.P., a Delaware limited partnership (the “Partnership”), and PAA Finance Corp., a Delaware corporation (“PAA Finance” and, together with the Partnership, the “Issuers”), jointly and severally promise to pay interest on the</w:t>
      </w:r>
    </w:p>
    <w:p>
      <w:pPr>
        <w:ind w:right="40"/>
        <w:spacing w:after="0" w:line="281" w:lineRule="auto"/>
        <w:rPr>
          <w:sz w:val="20"/>
          <w:szCs w:val="20"/>
          <w:color w:val="auto"/>
        </w:rPr>
      </w:pPr>
      <w:r>
        <w:rPr>
          <w:rFonts w:ascii="Arial" w:cs="Arial" w:eastAsia="Arial" w:hAnsi="Arial"/>
          <w:sz w:val="16"/>
          <w:szCs w:val="16"/>
          <w:color w:val="auto"/>
        </w:rPr>
        <w:t>principal amount of this Note at 6.70% per annum from , until maturity. The Issuers shall pay interest semi-annually on May 15 and November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Payment Date shall be , .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91" w:lineRule="exact"/>
        <w:rPr>
          <w:sz w:val="20"/>
          <w:szCs w:val="20"/>
          <w:color w:val="auto"/>
        </w:rPr>
      </w:pPr>
    </w:p>
    <w:p>
      <w:pPr>
        <w:ind w:right="200" w:firstLine="1305"/>
        <w:spacing w:after="0" w:line="257" w:lineRule="auto"/>
        <w:tabs>
          <w:tab w:leader="none" w:pos="201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Issuers shall pay interest on the Notes (except defaulted interest) to the Persons who are registered Holders of Notes at the close of business on the May 1 or November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36"/>
          <w:szCs w:val="36"/>
          <w:color w:val="auto"/>
          <w:vertAlign w:val="superscript"/>
        </w:rPr>
        <w:t>3</w:t>
      </w:r>
      <w:r>
        <w:rPr>
          <w:rFonts w:ascii="Arial" w:cs="Arial" w:eastAsia="Arial" w:hAnsi="Arial"/>
          <w:sz w:val="18"/>
          <w:szCs w:val="18"/>
          <w:color w:val="auto"/>
        </w:rPr>
        <w:t xml:space="preserve"> To be included on Transfer Restricted Securities only.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by wire transfer of immediately available funds shall be required with respect to principal of and interest, premium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193" w:lineRule="exact"/>
        <w:rPr>
          <w:sz w:val="20"/>
          <w:szCs w:val="20"/>
          <w:color w:val="auto"/>
        </w:rPr>
      </w:pPr>
    </w:p>
    <w:p>
      <w:pPr>
        <w:jc w:val="both"/>
        <w:ind w:right="120" w:firstLine="1305"/>
        <w:spacing w:after="0" w:line="264" w:lineRule="auto"/>
        <w:tabs>
          <w:tab w:leader="none" w:pos="201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r>
        <w:rPr>
          <w:rFonts w:ascii="Arial" w:cs="Arial" w:eastAsia="Arial" w:hAnsi="Arial"/>
          <w:sz w:val="18"/>
          <w:szCs w:val="18"/>
          <w:color w:val="auto"/>
        </w:rPr>
        <w:t>. Initially, Wachovia Bank,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81" w:lineRule="exact"/>
        <w:rPr>
          <w:rFonts w:ascii="Arial" w:cs="Arial" w:eastAsia="Arial" w:hAnsi="Arial"/>
          <w:sz w:val="18"/>
          <w:szCs w:val="18"/>
          <w:color w:val="auto"/>
        </w:rPr>
      </w:pPr>
    </w:p>
    <w:p>
      <w:pPr>
        <w:ind w:right="80" w:firstLine="1305"/>
        <w:spacing w:after="0" w:line="286" w:lineRule="auto"/>
        <w:tabs>
          <w:tab w:leader="none" w:pos="201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Issuers issued the Notes under an Indenture dated as of September 25, 2002 (the “Original Indenture”), as supplemented by the Sixth Supplemental Indenture dated as of May 12, 2006 (the “Supplemental Indenture” and, together with the Original Indenture, the “Indenture”) among the Issuers and the Trustee and, with respect to the Supplemental Indenture, the subsidiary guarantors signatory thereto (the “Subsidiary Guarantors”).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$250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issue price and date of first payment of interest)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74" w:lineRule="exact"/>
        <w:rPr>
          <w:rFonts w:ascii="Arial" w:cs="Arial" w:eastAsia="Arial" w:hAnsi="Arial"/>
          <w:sz w:val="16"/>
          <w:szCs w:val="16"/>
          <w:color w:val="auto"/>
        </w:rPr>
      </w:pPr>
    </w:p>
    <w:p>
      <w:pPr>
        <w:ind w:right="60" w:firstLine="1305"/>
        <w:spacing w:after="0" w:line="277" w:lineRule="auto"/>
        <w:tabs>
          <w:tab w:leader="none" w:pos="201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(a) At their option at any time prior to maturity, the Issuers may choose to redeem all or any portion of the Notes at once or from time to time.</w:t>
      </w:r>
    </w:p>
    <w:p>
      <w:pPr>
        <w:spacing w:after="0" w:line="170" w:lineRule="exact"/>
        <w:rPr>
          <w:sz w:val="20"/>
          <w:szCs w:val="20"/>
          <w:color w:val="auto"/>
        </w:rPr>
      </w:pPr>
    </w:p>
    <w:p>
      <w:pPr>
        <w:ind w:right="160" w:firstLine="1305"/>
        <w:spacing w:after="0" w:line="259" w:lineRule="auto"/>
        <w:tabs>
          <w:tab w:leader="none" w:pos="20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redeem the Notes, the Issuers must pay a redemption price equal to the greater of (a) 100% of the principal amount of the Notes to be redeemed, and (b) as determined by the Quotation Agent (as defined below), the sum of the present values of the remaining scheduled payments of principal and interest on the Notes to be redeemed (not including any portion of those payments of interest accrued as of the date of redemption) discounted to the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redemption on a semi-annual basis (assuming a 360-day year consisting of twelve 30-day months) at the Adjusted Treasury Rate (as defined below) plus 25 basis points, plus, in either case, accrued and unpaid interest, including Additional Interest, if any, to the date of redemption (subject to the right of Holders on the relevant record date to receive interest due on the relevant interest payment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determining any redemption price, the following definitions shall apply:</w:t>
      </w:r>
    </w:p>
    <w:p>
      <w:pPr>
        <w:spacing w:after="0" w:line="225"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that would be utilized, at the time of selection and in accordance with customary financial practice, in pricing new issues of corporate debt securities of comparable maturity to the remaining term of the Notes to be redeemed.</w:t>
      </w:r>
    </w:p>
    <w:p>
      <w:pPr>
        <w:sectPr>
          <w:pgSz w:w="11900" w:h="16838" w:orient="portrait"/>
          <w:cols w:equalWidth="0" w:num="1">
            <w:col w:w="11420"/>
          </w:cols>
          <w:pgMar w:left="240" w:top="125" w:right="239" w:bottom="0" w:gutter="0" w:footer="0" w:header="0"/>
        </w:sectPr>
      </w:pPr>
    </w:p>
    <w:bookmarkStart w:id="23" w:name="page24"/>
    <w:bookmarkEnd w:id="23"/>
    <w:p>
      <w:pPr>
        <w:spacing w:after="0" w:line="73"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“Quotation Agent” means UBS Securities LLC or another Reference Treasury Dealer appointed by the Issuers.</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“Reference Treasury Dealer” means (a) UBS Securities LLC and its successors; provided, however, that if the foregoing shall cease to be a primary U.S. Government securities dealer in the United States (a “Primary Treasury Dealer”), the Issuers shall substitute another Primary Treasury Dealer; and (b) any other Primary Treasury Dealer selected by the Issuers.</w:t>
      </w:r>
    </w:p>
    <w:p>
      <w:pPr>
        <w:spacing w:after="0" w:line="18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87" w:lineRule="exact"/>
        <w:rPr>
          <w:sz w:val="20"/>
          <w:szCs w:val="20"/>
          <w:color w:val="auto"/>
        </w:rPr>
      </w:pPr>
    </w:p>
    <w:p>
      <w:pPr>
        <w:ind w:left="2020" w:hanging="715"/>
        <w:spacing w:after="0"/>
        <w:tabs>
          <w:tab w:leader="none" w:pos="20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Mandatory Redemption</w:t>
      </w:r>
      <w:r>
        <w:rPr>
          <w:rFonts w:ascii="Arial" w:cs="Arial" w:eastAsia="Arial" w:hAnsi="Arial"/>
          <w:sz w:val="16"/>
          <w:szCs w:val="16"/>
          <w:color w:val="auto"/>
        </w:rPr>
        <w:t>. The Issuers shall not be required to make mandatory redemption or sinking fund payments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 Notes.</w:t>
      </w:r>
    </w:p>
    <w:p>
      <w:pPr>
        <w:spacing w:after="0" w:line="211" w:lineRule="exact"/>
        <w:rPr>
          <w:sz w:val="20"/>
          <w:szCs w:val="20"/>
          <w:color w:val="auto"/>
        </w:rPr>
      </w:pPr>
    </w:p>
    <w:p>
      <w:pPr>
        <w:ind w:right="20" w:firstLine="1305"/>
        <w:spacing w:after="0" w:line="264" w:lineRule="auto"/>
        <w:tabs>
          <w:tab w:leader="none" w:pos="201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mailed at least 30 days but not more than 60 days before the redemption date to each Holder whose Notes are to be redeemed at its registered address. Notes in denominations larger than $1,000 may be redeemed in part but only in whole multiples of $1,000, unless all of the Notes held by a Holder are to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redeemed. Unless the Issuers default in payment of the redemption price, on and after the redemption date interest ceases to accrue on Notes or portions thereof called for redemption.</w:t>
      </w:r>
    </w:p>
    <w:p>
      <w:pPr>
        <w:spacing w:after="0" w:line="170" w:lineRule="exact"/>
        <w:rPr>
          <w:sz w:val="20"/>
          <w:szCs w:val="20"/>
          <w:color w:val="auto"/>
        </w:rPr>
      </w:pPr>
    </w:p>
    <w:p>
      <w:pPr>
        <w:ind w:right="20" w:firstLine="1305"/>
        <w:spacing w:after="0" w:line="272" w:lineRule="auto"/>
        <w:tabs>
          <w:tab w:leader="none" w:pos="2017"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are in registered form without coupons in denominations of $1,000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77" w:lineRule="exact"/>
        <w:rPr>
          <w:rFonts w:ascii="Arial" w:cs="Arial" w:eastAsia="Arial" w:hAnsi="Arial"/>
          <w:sz w:val="17"/>
          <w:szCs w:val="17"/>
          <w:color w:val="auto"/>
        </w:rPr>
      </w:pPr>
    </w:p>
    <w:p>
      <w:pPr>
        <w:ind w:left="2020" w:hanging="715"/>
        <w:spacing w:after="0"/>
        <w:tabs>
          <w:tab w:leader="none" w:pos="20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shall be treated as its owner for all purposes.</w:t>
      </w:r>
    </w:p>
    <w:p>
      <w:pPr>
        <w:spacing w:after="0" w:line="225" w:lineRule="exact"/>
        <w:rPr>
          <w:rFonts w:ascii="Arial" w:cs="Arial" w:eastAsia="Arial" w:hAnsi="Arial"/>
          <w:sz w:val="18"/>
          <w:szCs w:val="18"/>
          <w:color w:val="auto"/>
        </w:rPr>
      </w:pPr>
    </w:p>
    <w:p>
      <w:pPr>
        <w:ind w:firstLine="1305"/>
        <w:spacing w:after="0" w:line="269" w:lineRule="auto"/>
        <w:tabs>
          <w:tab w:leader="none" w:pos="2017"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Amendment, Supplement and Waiver</w:t>
      </w:r>
      <w:r>
        <w:rPr>
          <w:rFonts w:ascii="Arial" w:cs="Arial" w:eastAsia="Arial" w:hAnsi="Arial"/>
          <w:sz w:val="17"/>
          <w:szCs w:val="17"/>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w:t>
      </w:r>
    </w:p>
    <w:p>
      <w:pPr>
        <w:spacing w:after="0" w:line="182" w:lineRule="exact"/>
        <w:rPr>
          <w:rFonts w:ascii="Arial" w:cs="Arial" w:eastAsia="Arial" w:hAnsi="Arial"/>
          <w:sz w:val="17"/>
          <w:szCs w:val="17"/>
          <w:color w:val="auto"/>
        </w:rPr>
      </w:pPr>
    </w:p>
    <w:p>
      <w:pPr>
        <w:ind w:firstLine="1305"/>
        <w:spacing w:after="0" w:line="255" w:lineRule="auto"/>
        <w:tabs>
          <w:tab w:leader="none" w:pos="201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 Events of Default with respect to the Notes include: (i) default for 60 days in the payment when due of interest on, or Additional Interest with respect to, the Notes; (ii) default in payment when due of principal of or premium, if any, on the Notes at maturity, upon redemption or otherwise, (iii) failure by an Issuer or any Subsidiary Guarantor for 30 days after notice to comply with any of the other agreements in the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need not be given, and an Event of Default shall occur, 30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 xml:space="preserve">guarantee now exists or is created after the Issue Date, if that default (a) </w:t>
      </w:r>
      <w:r>
        <w:rPr>
          <w:rFonts w:ascii="Arial" w:cs="Arial" w:eastAsia="Arial" w:hAnsi="Arial"/>
          <w:sz w:val="15"/>
          <w:szCs w:val="15"/>
          <w:color w:val="auto"/>
        </w:rPr>
        <w:t>is caused by a failure to pay principal of or premium, if any, or interest on such Debt</w:t>
      </w:r>
      <w:r>
        <w:rPr>
          <w:rFonts w:ascii="Arial" w:cs="Arial" w:eastAsia="Arial" w:hAnsi="Arial"/>
          <w:sz w:val="16"/>
          <w:szCs w:val="16"/>
          <w:color w:val="auto"/>
        </w:rPr>
        <w:t xml:space="preserve"> </w:t>
      </w:r>
      <w:r>
        <w:rPr>
          <w:rFonts w:ascii="Arial" w:cs="Arial" w:eastAsia="Arial" w:hAnsi="Arial"/>
          <w:sz w:val="15"/>
          <w:szCs w:val="15"/>
          <w:color w:val="auto"/>
        </w:rPr>
        <w:t>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w:t>
      </w:r>
    </w:p>
    <w:p>
      <w:pPr>
        <w:sectPr>
          <w:pgSz w:w="11900" w:h="16911" w:orient="portrait"/>
          <w:cols w:equalWidth="0" w:num="1">
            <w:col w:w="11400"/>
          </w:cols>
          <w:pgMar w:left="240" w:top="125" w:right="259" w:bottom="0" w:gutter="0" w:footer="0" w:header="0"/>
        </w:sectPr>
      </w:pPr>
    </w:p>
    <w:bookmarkStart w:id="24" w:name="page25"/>
    <w:bookmarkEnd w:id="24"/>
    <w:p>
      <w:pPr>
        <w:ind w:right="20"/>
        <w:spacing w:after="0" w:line="253" w:lineRule="auto"/>
        <w:rPr>
          <w:sz w:val="20"/>
          <w:szCs w:val="20"/>
          <w:color w:val="auto"/>
        </w:rPr>
      </w:pPr>
      <w:r>
        <w:rPr>
          <w:rFonts w:ascii="Arial" w:cs="Arial" w:eastAsia="Arial" w:hAnsi="Arial"/>
          <w:sz w:val="18"/>
          <w:szCs w:val="18"/>
          <w:color w:val="auto"/>
        </w:rPr>
        <w:t>Trustee in good faith so determines, the Trustee may withhold from Holders of the Notes notice of any continuing Default or Event of Default (except a Default or Event of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on, the principal of, or premium, if any, on the Notes.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95" w:lineRule="exact"/>
        <w:rPr>
          <w:sz w:val="20"/>
          <w:szCs w:val="20"/>
          <w:color w:val="auto"/>
        </w:rPr>
      </w:pPr>
    </w:p>
    <w:p>
      <w:pPr>
        <w:ind w:right="140" w:firstLine="1305"/>
        <w:spacing w:after="0" w:line="308" w:lineRule="auto"/>
        <w:tabs>
          <w:tab w:leader="none" w:pos="201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Trustee Dealings with Issuers</w:t>
      </w:r>
      <w:r>
        <w:rPr>
          <w:rFonts w:ascii="Arial" w:cs="Arial" w:eastAsia="Arial" w:hAnsi="Arial"/>
          <w:sz w:val="17"/>
          <w:szCs w:val="17"/>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46" w:lineRule="exact"/>
        <w:rPr>
          <w:rFonts w:ascii="Arial" w:cs="Arial" w:eastAsia="Arial" w:hAnsi="Arial"/>
          <w:sz w:val="17"/>
          <w:szCs w:val="17"/>
          <w:color w:val="auto"/>
        </w:rPr>
      </w:pPr>
    </w:p>
    <w:p>
      <w:pPr>
        <w:ind w:right="40" w:firstLine="1305"/>
        <w:spacing w:after="0" w:line="279" w:lineRule="auto"/>
        <w:tabs>
          <w:tab w:leader="none" w:pos="201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 Recourse Against Others</w:t>
      </w:r>
      <w:r>
        <w:rPr>
          <w:rFonts w:ascii="Arial" w:cs="Arial" w:eastAsia="Arial" w:hAnsi="Arial"/>
          <w:sz w:val="17"/>
          <w:szCs w:val="17"/>
          <w:color w:val="auto"/>
        </w:rPr>
        <w:t>. The General Partner and its directors, officers, employees and partners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20" w:hanging="715"/>
        <w:spacing w:after="0"/>
        <w:tabs>
          <w:tab w:leader="none" w:pos="202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Authentication</w:t>
      </w:r>
      <w:r>
        <w:rPr>
          <w:rFonts w:ascii="Arial" w:cs="Arial" w:eastAsia="Arial" w:hAnsi="Arial"/>
          <w:sz w:val="16"/>
          <w:szCs w:val="16"/>
          <w:color w:val="auto"/>
        </w:rPr>
        <w:t>. This Note shall not be valid until authenticated by the manual signature of the Trustee or an authenticating agent.</w:t>
      </w:r>
    </w:p>
    <w:p>
      <w:pPr>
        <w:spacing w:after="0" w:line="248" w:lineRule="exact"/>
        <w:rPr>
          <w:rFonts w:ascii="Arial" w:cs="Arial" w:eastAsia="Arial" w:hAnsi="Arial"/>
          <w:sz w:val="16"/>
          <w:szCs w:val="16"/>
          <w:color w:val="auto"/>
        </w:rPr>
      </w:pPr>
    </w:p>
    <w:p>
      <w:pPr>
        <w:ind w:right="180" w:firstLine="1305"/>
        <w:spacing w:after="0" w:line="264" w:lineRule="auto"/>
        <w:tabs>
          <w:tab w:leader="none" w:pos="201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right="140" w:firstLine="1305"/>
        <w:spacing w:after="0" w:line="302" w:lineRule="auto"/>
        <w:tabs>
          <w:tab w:leader="none" w:pos="201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CUSIP and ISIN Numbers</w:t>
      </w:r>
      <w:r>
        <w:rPr>
          <w:rFonts w:ascii="Arial" w:cs="Arial" w:eastAsia="Arial" w:hAnsi="Arial"/>
          <w:sz w:val="16"/>
          <w:szCs w:val="16"/>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4" w:lineRule="exact"/>
        <w:rPr>
          <w:rFonts w:ascii="Arial" w:cs="Arial" w:eastAsia="Arial" w:hAnsi="Arial"/>
          <w:sz w:val="16"/>
          <w:szCs w:val="16"/>
          <w:color w:val="auto"/>
        </w:rPr>
      </w:pPr>
    </w:p>
    <w:p>
      <w:pPr>
        <w:ind w:right="80" w:firstLine="1305"/>
        <w:spacing w:after="0" w:line="264" w:lineRule="auto"/>
        <w:tabs>
          <w:tab w:leader="none" w:pos="201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Additional Rights of Holders of Transfer Restricted Securities</w:t>
      </w:r>
      <w:r>
        <w:rPr>
          <w:rFonts w:ascii="Arial" w:cs="Arial" w:eastAsia="Arial" w:hAnsi="Arial"/>
          <w:sz w:val="18"/>
          <w:szCs w:val="18"/>
          <w:color w:val="auto"/>
        </w:rPr>
        <w:t>. In addition to the rights provided to Holders of Notes under the Indenture, Holders of Transfer Restricted Securities shall have all the rights set forth in the Exchange and Registration Rights Agreement, including the right to receive Additional Interest as set forth therein.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Issuers shall furnish to any Holder upon written request and without charge a copy of the Indenture. Requests may be made to:</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&amp;nb sp;</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&amp;n bsp;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&amp;n bsp;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&amp;n bsp;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Issuers.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-130810</wp:posOffset>
            </wp:positionV>
            <wp:extent cx="58572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9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&amp;n bsp;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9950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3" w:lineRule="exact"/>
        <w:rPr>
          <w:sz w:val="20"/>
          <w:szCs w:val="20"/>
          <w:color w:val="auto"/>
        </w:rPr>
      </w:pPr>
    </w:p>
    <w:p>
      <w:pPr>
        <w:ind w:left="1900"/>
        <w:spacing w:after="0" w:line="341" w:lineRule="auto"/>
        <w:rPr>
          <w:sz w:val="20"/>
          <w:szCs w:val="20"/>
          <w:color w:val="auto"/>
        </w:rPr>
      </w:pPr>
      <w:r>
        <w:rPr>
          <w:rFonts w:ascii="Arial" w:cs="Arial" w:eastAsia="Arial" w:hAnsi="Arial"/>
          <w:sz w:val="16"/>
          <w:szCs w:val="16"/>
          <w:color w:val="auto"/>
        </w:rPr>
        <w:t>(Signature must be guaranteed by a financial institution that is a member of the Securities Transfer Agent Medallion Program (“STAMP”), the Stock Exchange Medallion Program (“SEMP”), the New York Stock Exchange, Inc. Medallion Signature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-331470</wp:posOffset>
            </wp:positionV>
            <wp:extent cx="6045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45835"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25" w:name="page26"/>
    <w:bookmarkEnd w:id="25"/>
    <w:p>
      <w:pPr>
        <w:ind w:left="1900" w:right="380"/>
        <w:spacing w:after="0" w:line="277" w:lineRule="auto"/>
        <w:rPr>
          <w:sz w:val="20"/>
          <w:szCs w:val="20"/>
          <w:color w:val="auto"/>
        </w:rPr>
      </w:pPr>
      <w:r>
        <w:rPr>
          <w:rFonts w:ascii="Arial" w:cs="Arial" w:eastAsia="Arial" w:hAnsi="Arial"/>
          <w:sz w:val="18"/>
          <w:szCs w:val="18"/>
          <w:color w:val="auto"/>
        </w:rPr>
        <w:t>(“MSP”) or such other signature guarantee program as may be determined by the Registrar in addition to, or in substitution for, STAMP, SEMP or MSP, all in accordance with the Securities Exchange Act of 1934, as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40" w:type="dxa"/>
            <w:vAlign w:val="bottom"/>
            <w:gridSpan w:val="9"/>
          </w:tcPr>
          <w:p>
            <w:pPr>
              <w:ind w:left="320"/>
              <w:spacing w:after="0"/>
              <w:rPr>
                <w:sz w:val="20"/>
                <w:szCs w:val="20"/>
                <w:color w:val="auto"/>
              </w:rPr>
            </w:pPr>
            <w:r>
              <w:rPr>
                <w:rFonts w:ascii="Arial" w:cs="Arial" w:eastAsia="Arial" w:hAnsi="Arial"/>
                <w:sz w:val="18"/>
                <w:szCs w:val="18"/>
                <w:b w:val="1"/>
                <w:bCs w:val="1"/>
                <w:color w:val="auto"/>
              </w:rPr>
              <w:t>SCHEDULE OF INCREASES OR DECREASES IN THE GLOBAL NOTE</w:t>
            </w:r>
            <w:r>
              <w:rPr>
                <w:rFonts w:ascii="Arial" w:cs="Arial" w:eastAsia="Arial" w:hAnsi="Arial"/>
                <w:sz w:val="30"/>
                <w:szCs w:val="30"/>
                <w:b w:val="1"/>
                <w:bCs w:val="1"/>
                <w:color w:val="auto"/>
                <w:vertAlign w:val="superscript"/>
              </w:rPr>
              <w:t>4</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060" w:type="dxa"/>
            <w:vAlign w:val="bottom"/>
            <w:vMerge w:val="restart"/>
          </w:tcPr>
          <w:p>
            <w:pPr>
              <w:spacing w:after="0"/>
              <w:rPr>
                <w:sz w:val="20"/>
                <w:szCs w:val="20"/>
                <w:color w:val="auto"/>
              </w:rPr>
            </w:pPr>
            <w:r>
              <w:rPr>
                <w:rFonts w:ascii="Arial" w:cs="Arial" w:eastAsia="Arial" w:hAnsi="Arial"/>
                <w:sz w:val="18"/>
                <w:szCs w:val="18"/>
                <w:color w:val="auto"/>
              </w:rPr>
              <w:t>been made:</w:t>
            </w: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w w:val="96"/>
              </w:rPr>
              <w:t>The original principal amount of this Global Note is</w:t>
            </w:r>
          </w:p>
        </w:tc>
        <w:tc>
          <w:tcPr>
            <w:tcW w:w="1360" w:type="dxa"/>
            <w:vAlign w:val="bottom"/>
          </w:tcPr>
          <w:p>
            <w:pPr>
              <w:spacing w:after="0"/>
              <w:rPr>
                <w:sz w:val="24"/>
                <w:szCs w:val="24"/>
                <w:color w:val="auto"/>
              </w:rPr>
            </w:pP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w w:val="93"/>
              </w:rPr>
              <w:t>. The following increases or decreases in this Global Note have</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3"/>
            <w:vMerge w:val="restart"/>
          </w:tcPr>
          <w:p>
            <w:pPr>
              <w:jc w:val="center"/>
              <w:ind w:right="1040"/>
              <w:spacing w:after="0"/>
              <w:rPr>
                <w:sz w:val="20"/>
                <w:szCs w:val="20"/>
                <w:color w:val="auto"/>
              </w:rPr>
            </w:pPr>
            <w:r>
              <w:rPr>
                <w:rFonts w:ascii="Arial" w:cs="Arial" w:eastAsia="Arial" w:hAnsi="Arial"/>
                <w:sz w:val="14"/>
                <w:szCs w:val="14"/>
                <w:b w:val="1"/>
                <w:bCs w:val="1"/>
                <w:color w:val="auto"/>
                <w:w w:val="94"/>
              </w:rPr>
              <w:t>Amount of</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Principal</w:t>
            </w:r>
          </w:p>
        </w:tc>
        <w:tc>
          <w:tcPr>
            <w:tcW w:w="1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 of</w:t>
            </w: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4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 in</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Date of</w:t>
            </w: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4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9"/>
        </w:trPr>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4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of</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decrease</w:t>
            </w:r>
          </w:p>
        </w:tc>
        <w:tc>
          <w:tcPr>
            <w:tcW w:w="1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Trustee or Note</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20"/>
                <w:szCs w:val="20"/>
                <w:color w:val="auto"/>
              </w:rPr>
            </w:pPr>
            <w:r>
              <w:rPr>
                <w:rFonts w:ascii="Arial" w:cs="Arial" w:eastAsia="Arial" w:hAnsi="Arial"/>
                <w:sz w:val="14"/>
                <w:szCs w:val="14"/>
                <w:b w:val="1"/>
                <w:bCs w:val="1"/>
                <w:color w:val="auto"/>
              </w:rPr>
              <w:t>Exchange</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3"/>
              </w:rPr>
              <w:t>this Global Note</w:t>
            </w:r>
          </w:p>
        </w:tc>
        <w:tc>
          <w:tcPr>
            <w:tcW w:w="136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this Global Note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(or increase)</w:t>
            </w:r>
          </w:p>
        </w:tc>
        <w:tc>
          <w:tcPr>
            <w:tcW w:w="1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Custodian</w:t>
            </w: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40" w:hanging="132"/>
        <w:spacing w:after="0" w:line="233" w:lineRule="auto"/>
        <w:tabs>
          <w:tab w:leader="none" w:pos="140" w:val="left"/>
        </w:tabs>
        <w:numPr>
          <w:ilvl w:val="0"/>
          <w:numId w:val="48"/>
        </w:numPr>
        <w:rPr>
          <w:rFonts w:ascii="Arial" w:cs="Arial" w:eastAsia="Arial" w:hAnsi="Arial"/>
          <w:sz w:val="35"/>
          <w:szCs w:val="35"/>
          <w:b w:val="1"/>
          <w:bCs w:val="1"/>
          <w:color w:val="auto"/>
          <w:vertAlign w:val="superscript"/>
        </w:rPr>
      </w:pPr>
      <w:r>
        <w:rPr>
          <w:rFonts w:ascii="Arial" w:cs="Arial" w:eastAsia="Arial" w:hAnsi="Arial"/>
          <w:sz w:val="18"/>
          <w:szCs w:val="18"/>
          <w:color w:val="auto"/>
        </w:rPr>
        <w:t>To be included only if the Note is issued in global form.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B</w:t>
            </w:r>
          </w:p>
        </w:tc>
      </w:tr>
      <w:tr>
        <w:trPr>
          <w:trHeight w:val="453"/>
        </w:trPr>
        <w:tc>
          <w:tcPr>
            <w:tcW w:w="3000" w:type="dxa"/>
            <w:vAlign w:val="bottom"/>
          </w:tcPr>
          <w:p>
            <w:pPr>
              <w:spacing w:after="0"/>
              <w:rPr>
                <w:sz w:val="24"/>
                <w:szCs w:val="24"/>
                <w:color w:val="auto"/>
              </w:rPr>
            </w:pPr>
          </w:p>
        </w:tc>
        <w:tc>
          <w:tcPr>
            <w:tcW w:w="5020" w:type="dxa"/>
            <w:vAlign w:val="bottom"/>
          </w:tcPr>
          <w:p>
            <w:pPr>
              <w:ind w:left="1060"/>
              <w:spacing w:after="0"/>
              <w:rPr>
                <w:sz w:val="20"/>
                <w:szCs w:val="20"/>
                <w:color w:val="auto"/>
              </w:rPr>
            </w:pPr>
            <w:r>
              <w:rPr>
                <w:rFonts w:ascii="Arial" w:cs="Arial" w:eastAsia="Arial" w:hAnsi="Arial"/>
                <w:sz w:val="18"/>
                <w:szCs w:val="18"/>
                <w:color w:val="auto"/>
              </w:rPr>
              <w:t>FORM OF SUPPLEMENTAL INDENTURE</w:t>
            </w: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8"/>
        </w:trPr>
        <w:tc>
          <w:tcPr>
            <w:tcW w:w="8020" w:type="dxa"/>
            <w:vAlign w:val="bottom"/>
            <w:gridSpan w:val="2"/>
          </w:tcPr>
          <w:p>
            <w:pPr>
              <w:ind w:left="1300"/>
              <w:spacing w:after="0"/>
              <w:rPr>
                <w:sz w:val="20"/>
                <w:szCs w:val="20"/>
                <w:color w:val="auto"/>
              </w:rPr>
            </w:pPr>
            <w:r>
              <w:rPr>
                <w:rFonts w:ascii="Arial" w:cs="Arial" w:eastAsia="Arial" w:hAnsi="Arial"/>
                <w:sz w:val="18"/>
                <w:szCs w:val="18"/>
                <w:color w:val="auto"/>
              </w:rPr>
              <w:t>SUPPLEMENTAL INDENTURE (this “Supplemental Indenture”), dated as of</w:t>
            </w:r>
          </w:p>
        </w:tc>
        <w:tc>
          <w:tcPr>
            <w:tcW w:w="3400" w:type="dxa"/>
            <w:vAlign w:val="bottom"/>
            <w:gridSpan w:val="2"/>
          </w:tcPr>
          <w:p>
            <w:pPr>
              <w:ind w:left="680"/>
              <w:spacing w:after="0"/>
              <w:rPr>
                <w:sz w:val="20"/>
                <w:szCs w:val="20"/>
                <w:color w:val="auto"/>
              </w:rPr>
            </w:pPr>
            <w:r>
              <w:rPr>
                <w:rFonts w:ascii="Arial" w:cs="Arial" w:eastAsia="Arial" w:hAnsi="Arial"/>
                <w:sz w:val="18"/>
                <w:szCs w:val="18"/>
                <w:color w:val="auto"/>
              </w:rPr>
              <w:t>, among Plains All American</w:t>
            </w:r>
          </w:p>
        </w:tc>
      </w:tr>
      <w:tr>
        <w:trPr>
          <w:trHeight w:val="216"/>
        </w:trPr>
        <w:tc>
          <w:tcPr>
            <w:tcW w:w="11420" w:type="dxa"/>
            <w:vAlign w:val="bottom"/>
            <w:gridSpan w:val="4"/>
          </w:tcPr>
          <w:p>
            <w:pPr>
              <w:spacing w:after="0"/>
              <w:rPr>
                <w:sz w:val="20"/>
                <w:szCs w:val="20"/>
                <w:color w:val="auto"/>
              </w:rPr>
            </w:pPr>
            <w:r>
              <w:rPr>
                <w:rFonts w:ascii="Arial" w:cs="Arial" w:eastAsia="Arial" w:hAnsi="Arial"/>
                <w:sz w:val="18"/>
                <w:szCs w:val="18"/>
                <w:color w:val="auto"/>
                <w:w w:val="96"/>
              </w:rPr>
              <w:t>Pipeline, L.P., a Delaware limited partnership (the “Partnership”), PAA Finance Corp., a Delaware corporation (“PAA Finance” and, together with the</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Partnership, the “Issuers”),</w:t>
            </w:r>
          </w:p>
        </w:tc>
        <w:tc>
          <w:tcPr>
            <w:tcW w:w="8420" w:type="dxa"/>
            <w:vAlign w:val="bottom"/>
            <w:gridSpan w:val="3"/>
          </w:tcPr>
          <w:p>
            <w:pPr>
              <w:ind w:left="1100"/>
              <w:spacing w:after="0"/>
              <w:rPr>
                <w:sz w:val="20"/>
                <w:szCs w:val="20"/>
                <w:color w:val="auto"/>
              </w:rPr>
            </w:pPr>
            <w:r>
              <w:rPr>
                <w:rFonts w:ascii="Arial" w:cs="Arial" w:eastAsia="Arial" w:hAnsi="Arial"/>
                <w:sz w:val="18"/>
                <w:szCs w:val="18"/>
                <w:color w:val="auto"/>
                <w:w w:val="93"/>
              </w:rPr>
              <w:t>(the “Subsidiary Guarantor”), a direct or indirect subsidiary of Plains All American Pipeline, L.P. (or</w:t>
            </w:r>
          </w:p>
        </w:tc>
      </w:tr>
    </w:tbl>
    <w:p>
      <w:pPr>
        <w:ind w:right="100"/>
        <w:spacing w:after="0" w:line="261" w:lineRule="auto"/>
        <w:rPr>
          <w:sz w:val="20"/>
          <w:szCs w:val="20"/>
          <w:color w:val="auto"/>
        </w:rPr>
      </w:pPr>
      <w:r>
        <w:rPr>
          <w:rFonts w:ascii="Arial" w:cs="Arial" w:eastAsia="Arial" w:hAnsi="Arial"/>
          <w:sz w:val="18"/>
          <w:szCs w:val="18"/>
          <w:color w:val="auto"/>
        </w:rPr>
        <w:t>its successor), a Delaware limited partnership (the “Partnership”), and Wachovia Bank, National Association, as trustee under the indenture referred to below (the “Trustee”).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WHEREAS, the Issuers have heretofore executed and delivered to the Trustee an indenture (the “Original Indenture”), dated as of September 25, 2002, as supplemented by the Sixth Supplemental Indenture (the “Sixth Supplemental Indenture” and, together with the Original Indenture, the “Indenture”) dated as of May 12, 2006, among the Issuers, the Subsidiary Guarantors and the Trustee, providing for the issuance of the Issuers’ 6.70% Senior Notes due 2036 (the “Notes”);</w:t>
      </w:r>
    </w:p>
    <w:p>
      <w:pPr>
        <w:spacing w:after="0" w:line="187" w:lineRule="exact"/>
        <w:rPr>
          <w:sz w:val="20"/>
          <w:szCs w:val="20"/>
          <w:color w:val="auto"/>
        </w:rPr>
      </w:pPr>
    </w:p>
    <w:p>
      <w:pPr>
        <w:ind w:right="440" w:firstLine="1297"/>
        <w:spacing w:after="0" w:line="312" w:lineRule="auto"/>
        <w:rPr>
          <w:sz w:val="20"/>
          <w:szCs w:val="20"/>
          <w:color w:val="auto"/>
        </w:rPr>
      </w:pPr>
      <w:r>
        <w:rPr>
          <w:rFonts w:ascii="Arial" w:cs="Arial" w:eastAsia="Arial" w:hAnsi="Arial"/>
          <w:sz w:val="16"/>
          <w:szCs w:val="16"/>
          <w:color w:val="auto"/>
        </w:rPr>
        <w:t>WHEREAS, Section 5.05 of the Sixth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47"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WHEREAS, pursuant to Section 9.01 of the Original Indenture, the Issuers and the Trustee are authorized to execute and deliver this Supplemental Indenture;</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181" w:lineRule="exact"/>
        <w:rPr>
          <w:sz w:val="20"/>
          <w:szCs w:val="20"/>
          <w:color w:val="auto"/>
        </w:rPr>
      </w:pPr>
    </w:p>
    <w:p>
      <w:pPr>
        <w:ind w:left="2020" w:hanging="715"/>
        <w:spacing w:after="0"/>
        <w:tabs>
          <w:tab w:leader="none" w:pos="20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(a) Capitalized terms used herein without definition shall have the meanings assigned to them in the Indenture.</w:t>
      </w:r>
    </w:p>
    <w:p>
      <w:pPr>
        <w:spacing w:after="0" w:line="237" w:lineRule="exact"/>
        <w:rPr>
          <w:sz w:val="20"/>
          <w:szCs w:val="20"/>
          <w:color w:val="auto"/>
        </w:rPr>
      </w:pPr>
    </w:p>
    <w:p>
      <w:pPr>
        <w:ind w:right="60" w:firstLine="1305"/>
        <w:spacing w:after="0" w:line="259" w:lineRule="auto"/>
        <w:tabs>
          <w:tab w:leader="none" w:pos="20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00" w:firstLine="1305"/>
        <w:spacing w:after="0" w:line="297" w:lineRule="auto"/>
        <w:tabs>
          <w:tab w:leader="none" w:pos="201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xml:space="preserve"> The Subsidiary Guarantor hereby agrees, jointly and severally with all other Subsidiary Guarantors under the Indenture, to guarantee the Issuers’ obligations under the Notes on the terms and subject to the conditions set forth in Article IX of the Sixth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54" w:lineRule="exact"/>
        <w:rPr>
          <w:rFonts w:ascii="Arial" w:cs="Arial" w:eastAsia="Arial" w:hAnsi="Arial"/>
          <w:sz w:val="16"/>
          <w:szCs w:val="16"/>
          <w:color w:val="auto"/>
        </w:rPr>
      </w:pPr>
    </w:p>
    <w:p>
      <w:pPr>
        <w:ind w:right="80" w:firstLine="1305"/>
        <w:spacing w:after="0" w:line="313" w:lineRule="auto"/>
        <w:tabs>
          <w:tab w:leader="none" w:pos="2017"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THIS SUPPLEMENTAL INDENTURE SHALL BE DEEMED TO BE A NEW YORK CONTRACT, AND FOR ALL PURPOSES SHALL BE CONSTRUED IN ACCORDANCE WITH, THE LAWS OF THE STATE OF NEW YORK.</w:t>
      </w:r>
    </w:p>
    <w:p>
      <w:pPr>
        <w:sectPr>
          <w:pgSz w:w="11900" w:h="16838" w:orient="portrait"/>
          <w:cols w:equalWidth="0" w:num="1">
            <w:col w:w="11420"/>
          </w:cols>
          <w:pgMar w:left="240" w:top="125" w:right="239" w:bottom="0" w:gutter="0" w:footer="0" w:header="0"/>
        </w:sectPr>
      </w:pPr>
    </w:p>
    <w:bookmarkStart w:id="26" w:name="page27"/>
    <w:bookmarkEnd w:id="26"/>
    <w:p>
      <w:pPr>
        <w:ind w:left="2020" w:hanging="715"/>
        <w:spacing w:after="0"/>
        <w:tabs>
          <w:tab w:leader="none" w:pos="202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Trustee Makes No Representation.</w:t>
      </w:r>
      <w:r>
        <w:rPr>
          <w:rFonts w:ascii="Arial" w:cs="Arial" w:eastAsia="Arial" w:hAnsi="Arial"/>
          <w:sz w:val="17"/>
          <w:szCs w:val="17"/>
          <w:color w:val="auto"/>
        </w:rPr>
        <w:t xml:space="preserve"> The Trustee makes no representation as to the validity or sufficiency of this Supplemental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200" w:firstLine="1305"/>
        <w:spacing w:after="0" w:line="277" w:lineRule="auto"/>
        <w:tabs>
          <w:tab w:leader="none" w:pos="201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effect the construction thereof.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 written.</w:t>
      </w:r>
    </w:p>
    <w:p>
      <w:pPr>
        <w:spacing w:after="0" w:line="24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Plains AAP, L.P., its General Partner</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Plains All American GP LLC, its General</w:t>
            </w:r>
          </w:p>
        </w:tc>
      </w:tr>
      <w:tr>
        <w:trPr>
          <w:trHeight w:val="230"/>
        </w:trPr>
        <w:tc>
          <w:tcPr>
            <w:tcW w:w="420" w:type="dxa"/>
            <w:vAlign w:val="bottom"/>
          </w:tcPr>
          <w:p>
            <w:pPr>
              <w:spacing w:after="0"/>
              <w:rPr>
                <w:sz w:val="20"/>
                <w:szCs w:val="20"/>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Partner</w:t>
            </w:r>
          </w:p>
        </w:tc>
      </w:tr>
      <w:tr>
        <w:trPr>
          <w:trHeight w:val="648"/>
        </w:trPr>
        <w:tc>
          <w:tcPr>
            <w:tcW w:w="420" w:type="dxa"/>
            <w:vAlign w:val="bottom"/>
          </w:tcPr>
          <w:p>
            <w:pPr>
              <w:spacing w:after="0"/>
              <w:rPr>
                <w:sz w:val="24"/>
                <w:szCs w:val="24"/>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195"/>
        </w:trPr>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20" w:type="dxa"/>
            <w:vAlign w:val="bottom"/>
          </w:tcPr>
          <w:p>
            <w:pPr>
              <w:spacing w:after="0"/>
              <w:rPr>
                <w:sz w:val="20"/>
                <w:szCs w:val="20"/>
                <w:color w:val="auto"/>
              </w:rPr>
            </w:pPr>
          </w:p>
        </w:tc>
        <w:tc>
          <w:tcPr>
            <w:tcW w:w="4220" w:type="dxa"/>
            <w:vAlign w:val="bottom"/>
            <w:gridSpan w:val="2"/>
          </w:tcPr>
          <w:p>
            <w:pPr>
              <w:ind w:left="640"/>
              <w:spacing w:after="0"/>
              <w:rPr>
                <w:sz w:val="20"/>
                <w:szCs w:val="20"/>
                <w:color w:val="auto"/>
              </w:rPr>
            </w:pPr>
            <w:r>
              <w:rPr>
                <w:rFonts w:ascii="Arial" w:cs="Arial" w:eastAsia="Arial" w:hAnsi="Arial"/>
                <w:sz w:val="18"/>
                <w:szCs w:val="18"/>
                <w:color w:val="auto"/>
              </w:rPr>
              <w:t>Title:</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PAA FINANCE CORP.</w:t>
      </w:r>
    </w:p>
    <w:p>
      <w:pPr>
        <w:spacing w:after="0" w:line="200" w:lineRule="exact"/>
        <w:rPr>
          <w:sz w:val="20"/>
          <w:szCs w:val="20"/>
          <w:color w:val="auto"/>
        </w:rPr>
      </w:pPr>
    </w:p>
    <w:p>
      <w:pPr>
        <w:spacing w:after="0" w:line="24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0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1020" w:type="dxa"/>
            <w:vAlign w:val="bottom"/>
            <w:gridSpan w:val="3"/>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80" w:type="dxa"/>
            <w:vAlign w:val="bottom"/>
            <w:gridSpan w:val="5"/>
          </w:tcPr>
          <w:p>
            <w:pPr>
              <w:spacing w:after="0"/>
              <w:rPr>
                <w:sz w:val="20"/>
                <w:szCs w:val="20"/>
                <w:color w:val="auto"/>
              </w:rPr>
            </w:pPr>
            <w:r>
              <w:rPr>
                <w:rFonts w:ascii="Arial" w:cs="Arial" w:eastAsia="Arial" w:hAnsi="Arial"/>
                <w:sz w:val="18"/>
                <w:szCs w:val="18"/>
                <w:color w:val="auto"/>
              </w:rPr>
              <w:t>Title:</w:t>
            </w:r>
          </w:p>
        </w:tc>
      </w:tr>
      <w:tr>
        <w:trPr>
          <w:trHeight w:val="432"/>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60" w:type="dxa"/>
            <w:vAlign w:val="bottom"/>
            <w:gridSpan w:val="6"/>
          </w:tcPr>
          <w:p>
            <w:pPr>
              <w:ind w:left="2000"/>
              <w:spacing w:after="0"/>
              <w:rPr>
                <w:sz w:val="20"/>
                <w:szCs w:val="20"/>
                <w:color w:val="auto"/>
              </w:rPr>
            </w:pPr>
            <w:r>
              <w:rPr>
                <w:rFonts w:ascii="Arial" w:cs="Arial" w:eastAsia="Arial" w:hAnsi="Arial"/>
                <w:sz w:val="18"/>
                <w:szCs w:val="18"/>
                <w:color w:val="auto"/>
              </w:rPr>
              <w:t>B-2</w:t>
            </w:r>
          </w:p>
        </w:tc>
      </w:tr>
      <w:tr>
        <w:trPr>
          <w:trHeight w:val="118"/>
        </w:trPr>
        <w:tc>
          <w:tcPr>
            <w:tcW w:w="46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gridSpan w:val="2"/>
          </w:tcPr>
          <w:p>
            <w:pPr>
              <w:spacing w:after="0"/>
              <w:rPr>
                <w:sz w:val="10"/>
                <w:szCs w:val="10"/>
                <w:color w:val="auto"/>
              </w:rPr>
            </w:pPr>
          </w:p>
        </w:tc>
        <w:tc>
          <w:tcPr>
            <w:tcW w:w="4160" w:type="dxa"/>
            <w:vAlign w:val="bottom"/>
            <w:tcBorders>
              <w:bottom w:val="single" w:sz="8" w:color="808080"/>
            </w:tcBorders>
            <w:gridSpan w:val="2"/>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80"/>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60" w:type="dxa"/>
            <w:vAlign w:val="bottom"/>
            <w:gridSpan w:val="6"/>
          </w:tcPr>
          <w:p>
            <w:pPr>
              <w:ind w:left="2200"/>
              <w:spacing w:after="0"/>
              <w:rPr>
                <w:sz w:val="20"/>
                <w:szCs w:val="20"/>
                <w:color w:val="auto"/>
              </w:rPr>
            </w:pPr>
            <w:r>
              <w:rPr>
                <w:rFonts w:ascii="Arial" w:cs="Arial" w:eastAsia="Arial" w:hAnsi="Arial"/>
                <w:sz w:val="18"/>
                <w:szCs w:val="18"/>
                <w:color w:val="auto"/>
              </w:rPr>
              <w:t>[SUBSIDIARY GUARANTOR],</w:t>
            </w:r>
          </w:p>
        </w:tc>
      </w:tr>
      <w:tr>
        <w:trPr>
          <w:trHeight w:val="648"/>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60" w:type="dxa"/>
            <w:vAlign w:val="bottom"/>
            <w:gridSpan w:val="6"/>
          </w:tcPr>
          <w:p>
            <w:pPr>
              <w:ind w:left="2200"/>
              <w:spacing w:after="0"/>
              <w:rPr>
                <w:sz w:val="20"/>
                <w:szCs w:val="20"/>
                <w:color w:val="auto"/>
              </w:rPr>
            </w:pPr>
            <w:r>
              <w:rPr>
                <w:rFonts w:ascii="Arial" w:cs="Arial" w:eastAsia="Arial" w:hAnsi="Arial"/>
                <w:sz w:val="18"/>
                <w:szCs w:val="18"/>
                <w:color w:val="auto"/>
              </w:rPr>
              <w:t>By:</w:t>
            </w:r>
          </w:p>
        </w:tc>
      </w:tr>
      <w:tr>
        <w:trPr>
          <w:trHeight w:val="195"/>
        </w:trPr>
        <w:tc>
          <w:tcPr>
            <w:tcW w:w="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80" w:type="dxa"/>
            <w:vAlign w:val="bottom"/>
            <w:gridSpan w:val="5"/>
          </w:tcPr>
          <w:p>
            <w:pPr>
              <w:spacing w:after="0"/>
              <w:rPr>
                <w:sz w:val="20"/>
                <w:szCs w:val="20"/>
                <w:color w:val="auto"/>
              </w:rPr>
            </w:pPr>
            <w:r>
              <w:rPr>
                <w:rFonts w:ascii="Arial" w:cs="Arial" w:eastAsia="Arial" w:hAnsi="Arial"/>
                <w:sz w:val="18"/>
                <w:szCs w:val="18"/>
                <w:color w:val="auto"/>
              </w:rPr>
              <w:t>Title:</w:t>
            </w:r>
          </w:p>
        </w:tc>
      </w:tr>
      <w:tr>
        <w:trPr>
          <w:trHeight w:val="634"/>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60" w:type="dxa"/>
            <w:vAlign w:val="bottom"/>
            <w:gridSpan w:val="6"/>
          </w:tcPr>
          <w:p>
            <w:pPr>
              <w:ind w:left="2200"/>
              <w:spacing w:after="0"/>
              <w:rPr>
                <w:sz w:val="20"/>
                <w:szCs w:val="20"/>
                <w:color w:val="auto"/>
              </w:rPr>
            </w:pPr>
            <w:r>
              <w:rPr>
                <w:rFonts w:ascii="Arial" w:cs="Arial" w:eastAsia="Arial" w:hAnsi="Arial"/>
                <w:sz w:val="18"/>
                <w:szCs w:val="18"/>
                <w:color w:val="auto"/>
              </w:rPr>
              <w:t>WACHOVIA BANK, NATIONAL ASSOCIATION,</w:t>
            </w:r>
          </w:p>
        </w:tc>
      </w:tr>
      <w:tr>
        <w:trPr>
          <w:trHeight w:val="230"/>
        </w:trPr>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860" w:type="dxa"/>
            <w:vAlign w:val="bottom"/>
            <w:gridSpan w:val="6"/>
          </w:tcPr>
          <w:p>
            <w:pPr>
              <w:ind w:left="2200"/>
              <w:spacing w:after="0"/>
              <w:rPr>
                <w:sz w:val="20"/>
                <w:szCs w:val="20"/>
                <w:color w:val="auto"/>
              </w:rPr>
            </w:pPr>
            <w:r>
              <w:rPr>
                <w:rFonts w:ascii="Arial" w:cs="Arial" w:eastAsia="Arial" w:hAnsi="Arial"/>
                <w:sz w:val="18"/>
                <w:szCs w:val="18"/>
                <w:color w:val="auto"/>
              </w:rPr>
              <w:t>as Trustee</w:t>
            </w:r>
          </w:p>
        </w:tc>
      </w:tr>
      <w:tr>
        <w:trPr>
          <w:trHeight w:val="648"/>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60" w:type="dxa"/>
            <w:vAlign w:val="bottom"/>
            <w:gridSpan w:val="6"/>
          </w:tcPr>
          <w:p>
            <w:pPr>
              <w:ind w:left="2200"/>
              <w:spacing w:after="0"/>
              <w:rPr>
                <w:sz w:val="20"/>
                <w:szCs w:val="20"/>
                <w:color w:val="auto"/>
              </w:rPr>
            </w:pPr>
            <w:r>
              <w:rPr>
                <w:rFonts w:ascii="Arial" w:cs="Arial" w:eastAsia="Arial" w:hAnsi="Arial"/>
                <w:sz w:val="18"/>
                <w:szCs w:val="18"/>
                <w:color w:val="auto"/>
              </w:rPr>
              <w:t>By:</w:t>
            </w:r>
          </w:p>
        </w:tc>
      </w:tr>
      <w:tr>
        <w:trPr>
          <w:trHeight w:val="195"/>
        </w:trPr>
        <w:tc>
          <w:tcPr>
            <w:tcW w:w="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80" w:type="dxa"/>
            <w:vAlign w:val="bottom"/>
            <w:gridSpan w:val="5"/>
          </w:tcPr>
          <w:p>
            <w:pPr>
              <w:spacing w:after="0"/>
              <w:rPr>
                <w:sz w:val="20"/>
                <w:szCs w:val="20"/>
                <w:color w:val="auto"/>
              </w:rPr>
            </w:pPr>
            <w:r>
              <w:rPr>
                <w:rFonts w:ascii="Arial" w:cs="Arial" w:eastAsia="Arial" w:hAnsi="Arial"/>
                <w:sz w:val="18"/>
                <w:szCs w:val="18"/>
                <w:color w:val="auto"/>
              </w:rPr>
              <w:t>Title:</w:t>
            </w:r>
          </w:p>
        </w:tc>
      </w:tr>
      <w:tr>
        <w:trPr>
          <w:trHeight w:val="432"/>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60" w:type="dxa"/>
            <w:vAlign w:val="bottom"/>
            <w:gridSpan w:val="6"/>
          </w:tcPr>
          <w:p>
            <w:pPr>
              <w:ind w:left="2000"/>
              <w:spacing w:after="0"/>
              <w:rPr>
                <w:sz w:val="20"/>
                <w:szCs w:val="20"/>
                <w:color w:val="auto"/>
              </w:rPr>
            </w:pPr>
            <w:r>
              <w:rPr>
                <w:rFonts w:ascii="Arial" w:cs="Arial" w:eastAsia="Arial" w:hAnsi="Arial"/>
                <w:sz w:val="18"/>
                <w:szCs w:val="18"/>
                <w:color w:val="auto"/>
              </w:rPr>
              <w:t>B-3</w:t>
            </w:r>
          </w:p>
        </w:tc>
      </w:tr>
      <w:tr>
        <w:trPr>
          <w:trHeight w:val="118"/>
        </w:trPr>
        <w:tc>
          <w:tcPr>
            <w:tcW w:w="46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40"/>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 C</w:t>
            </w:r>
          </w:p>
        </w:tc>
        <w:tc>
          <w:tcPr>
            <w:tcW w:w="20" w:type="dxa"/>
            <w:vAlign w:val="bottom"/>
          </w:tcPr>
          <w:p>
            <w:pPr>
              <w:spacing w:after="0"/>
              <w:rPr>
                <w:sz w:val="24"/>
                <w:szCs w:val="24"/>
                <w:color w:val="auto"/>
              </w:rPr>
            </w:pPr>
          </w:p>
        </w:tc>
      </w:tr>
      <w:tr>
        <w:trPr>
          <w:trHeight w:val="438"/>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60" w:type="dxa"/>
            <w:vAlign w:val="bottom"/>
            <w:gridSpan w:val="6"/>
          </w:tcPr>
          <w:p>
            <w:pPr>
              <w:jc w:val="center"/>
              <w:ind w:right="2960"/>
              <w:spacing w:after="0"/>
              <w:rPr>
                <w:sz w:val="20"/>
                <w:szCs w:val="20"/>
                <w:color w:val="auto"/>
              </w:rPr>
            </w:pPr>
            <w:r>
              <w:rPr>
                <w:rFonts w:ascii="Arial" w:cs="Arial" w:eastAsia="Arial" w:hAnsi="Arial"/>
                <w:sz w:val="18"/>
                <w:szCs w:val="18"/>
                <w:color w:val="auto"/>
                <w:w w:val="96"/>
              </w:rPr>
              <w:t>CERTIFICATE TO BE DELIVERED UPON EXCHANGE</w:t>
            </w:r>
          </w:p>
        </w:tc>
      </w:tr>
      <w:tr>
        <w:trPr>
          <w:trHeight w:val="216"/>
        </w:trPr>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860" w:type="dxa"/>
            <w:vAlign w:val="bottom"/>
            <w:gridSpan w:val="6"/>
          </w:tcPr>
          <w:p>
            <w:pPr>
              <w:jc w:val="center"/>
              <w:ind w:right="2940"/>
              <w:spacing w:after="0"/>
              <w:rPr>
                <w:sz w:val="20"/>
                <w:szCs w:val="20"/>
                <w:color w:val="auto"/>
              </w:rPr>
            </w:pPr>
            <w:r>
              <w:rPr>
                <w:rFonts w:ascii="Arial" w:cs="Arial" w:eastAsia="Arial" w:hAnsi="Arial"/>
                <w:sz w:val="18"/>
                <w:szCs w:val="18"/>
                <w:color w:val="auto"/>
                <w:w w:val="94"/>
              </w:rPr>
              <w:t>OR REGISTRATION OF TRANSFER OF SECURITIES</w:t>
            </w:r>
          </w:p>
        </w:tc>
      </w:tr>
      <w:tr>
        <w:trPr>
          <w:trHeight w:val="230"/>
        </w:trPr>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860" w:type="dxa"/>
            <w:vAlign w:val="bottom"/>
            <w:gridSpan w:val="6"/>
          </w:tcPr>
          <w:p>
            <w:pPr>
              <w:jc w:val="center"/>
              <w:ind w:right="2940"/>
              <w:spacing w:after="0"/>
              <w:rPr>
                <w:sz w:val="20"/>
                <w:szCs w:val="20"/>
                <w:color w:val="auto"/>
              </w:rPr>
            </w:pPr>
            <w:r>
              <w:rPr>
                <w:rFonts w:ascii="Arial" w:cs="Arial" w:eastAsia="Arial" w:hAnsi="Arial"/>
                <w:sz w:val="18"/>
                <w:szCs w:val="18"/>
                <w:color w:val="auto"/>
                <w:w w:val="95"/>
              </w:rPr>
              <w:t>PURSUANT TO RULE 144A OR RULE 501</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Re:</w:t>
            </w:r>
          </w:p>
        </w:tc>
        <w:tc>
          <w:tcPr>
            <w:tcW w:w="10980" w:type="dxa"/>
            <w:vAlign w:val="bottom"/>
            <w:gridSpan w:val="7"/>
          </w:tcPr>
          <w:p>
            <w:pPr>
              <w:ind w:left="220"/>
              <w:spacing w:after="0"/>
              <w:rPr>
                <w:sz w:val="20"/>
                <w:szCs w:val="20"/>
                <w:color w:val="auto"/>
              </w:rPr>
            </w:pPr>
            <w:r>
              <w:rPr>
                <w:rFonts w:ascii="Arial" w:cs="Arial" w:eastAsia="Arial" w:hAnsi="Arial"/>
                <w:sz w:val="18"/>
                <w:szCs w:val="18"/>
                <w:color w:val="auto"/>
              </w:rPr>
              <w:t>6.70% Series [A/B] Senior Notes due 2036 of Plains All American Pipeline, L.P. and PAA Finance Corp. (together, the “Issuers”)</w:t>
            </w:r>
          </w:p>
        </w:tc>
      </w:tr>
      <w:tr>
        <w:trPr>
          <w:trHeight w:val="418"/>
        </w:trPr>
        <w:tc>
          <w:tcPr>
            <w:tcW w:w="460" w:type="dxa"/>
            <w:vAlign w:val="bottom"/>
          </w:tcPr>
          <w:p>
            <w:pPr>
              <w:spacing w:after="0"/>
              <w:rPr>
                <w:sz w:val="24"/>
                <w:szCs w:val="24"/>
                <w:color w:val="auto"/>
              </w:rPr>
            </w:pPr>
          </w:p>
        </w:tc>
        <w:tc>
          <w:tcPr>
            <w:tcW w:w="3120" w:type="dxa"/>
            <w:vAlign w:val="bottom"/>
          </w:tcPr>
          <w:p>
            <w:pPr>
              <w:ind w:left="840"/>
              <w:spacing w:after="0"/>
              <w:rPr>
                <w:sz w:val="20"/>
                <w:szCs w:val="20"/>
                <w:color w:val="auto"/>
              </w:rPr>
            </w:pPr>
            <w:r>
              <w:rPr>
                <w:rFonts w:ascii="Arial" w:cs="Arial" w:eastAsia="Arial" w:hAnsi="Arial"/>
                <w:sz w:val="18"/>
                <w:szCs w:val="18"/>
                <w:color w:val="auto"/>
              </w:rPr>
              <w:t>This Certificate relates to $</w:t>
            </w:r>
          </w:p>
        </w:tc>
        <w:tc>
          <w:tcPr>
            <w:tcW w:w="7860" w:type="dxa"/>
            <w:vAlign w:val="bottom"/>
            <w:gridSpan w:val="6"/>
          </w:tcPr>
          <w:p>
            <w:pPr>
              <w:ind w:left="400"/>
              <w:spacing w:after="0"/>
              <w:rPr>
                <w:sz w:val="20"/>
                <w:szCs w:val="20"/>
                <w:color w:val="auto"/>
              </w:rPr>
            </w:pPr>
            <w:r>
              <w:rPr>
                <w:rFonts w:ascii="Arial" w:cs="Arial" w:eastAsia="Arial" w:hAnsi="Arial"/>
                <w:sz w:val="18"/>
                <w:szCs w:val="18"/>
                <w:color w:val="auto"/>
              </w:rPr>
              <w:t>principal amount of the above captioned Notes held in definitive form (the “Securities”) by</w:t>
            </w:r>
          </w:p>
        </w:tc>
      </w:tr>
      <w:tr>
        <w:trPr>
          <w:trHeight w:val="230"/>
        </w:trPr>
        <w:tc>
          <w:tcPr>
            <w:tcW w:w="460" w:type="dxa"/>
            <w:vAlign w:val="bottom"/>
          </w:tcPr>
          <w:p>
            <w:pPr>
              <w:spacing w:after="0"/>
              <w:rPr>
                <w:sz w:val="20"/>
                <w:szCs w:val="20"/>
                <w:color w:val="auto"/>
              </w:rPr>
            </w:pPr>
          </w:p>
        </w:tc>
        <w:tc>
          <w:tcPr>
            <w:tcW w:w="10980" w:type="dxa"/>
            <w:vAlign w:val="bottom"/>
            <w:gridSpan w:val="7"/>
          </w:tcPr>
          <w:p>
            <w:pPr>
              <w:ind w:left="2120"/>
              <w:spacing w:after="0"/>
              <w:rPr>
                <w:sz w:val="20"/>
                <w:szCs w:val="20"/>
                <w:color w:val="auto"/>
              </w:rPr>
            </w:pPr>
            <w:r>
              <w:rPr>
                <w:rFonts w:ascii="Arial" w:cs="Arial" w:eastAsia="Arial" w:hAnsi="Arial"/>
                <w:sz w:val="18"/>
                <w:szCs w:val="18"/>
                <w:color w:val="auto"/>
              </w:rPr>
              <w:t>(the “Transferor”).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-4540250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-4540250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-1744345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-1744345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Transferor has requested the Trustee by written order to exchange or register the transfer of a Security or Securities.</w:t>
      </w:r>
    </w:p>
    <w:p>
      <w:pPr>
        <w:spacing w:after="0" w:line="225"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In connection with such request and in respect of each such Security, the Transferor does hereby certify that the Transferor is familiar with the Indenture and the Supplemental Indenture relative to the Securities and that the transfer of this Security does not require registration under the Securities Act (as defined below) because:*</w:t>
      </w:r>
    </w:p>
    <w:p>
      <w:pPr>
        <w:spacing w:after="0" w:line="186" w:lineRule="exact"/>
        <w:rPr>
          <w:sz w:val="20"/>
          <w:szCs w:val="20"/>
          <w:color w:val="auto"/>
        </w:rPr>
      </w:pPr>
    </w:p>
    <w:p>
      <w:pPr>
        <w:ind w:left="2020" w:hanging="715"/>
        <w:spacing w:after="0"/>
        <w:tabs>
          <w:tab w:leader="none" w:pos="2020" w:val="left"/>
        </w:tabs>
        <w:numPr>
          <w:ilvl w:val="0"/>
          <w:numId w:val="54"/>
        </w:numPr>
        <w:rPr>
          <w:rFonts w:ascii="Arial" w:cs="Arial" w:eastAsia="Arial" w:hAnsi="Arial"/>
          <w:sz w:val="22"/>
          <w:szCs w:val="22"/>
          <w:color w:val="auto"/>
        </w:rPr>
      </w:pPr>
      <w:r>
        <w:rPr>
          <w:rFonts w:ascii="Arial" w:cs="Arial" w:eastAsia="Arial" w:hAnsi="Arial"/>
          <w:sz w:val="18"/>
          <w:szCs w:val="18"/>
          <w:color w:val="auto"/>
        </w:rPr>
        <w:t>Such Security is being acquired for the Transferor’s own account without transfer.</w:t>
      </w:r>
    </w:p>
    <w:p>
      <w:pPr>
        <w:spacing w:after="0" w:line="228" w:lineRule="exact"/>
        <w:rPr>
          <w:rFonts w:ascii="Arial" w:cs="Arial" w:eastAsia="Arial" w:hAnsi="Arial"/>
          <w:sz w:val="22"/>
          <w:szCs w:val="22"/>
          <w:color w:val="auto"/>
        </w:rPr>
      </w:pPr>
    </w:p>
    <w:p>
      <w:pPr>
        <w:ind w:right="20" w:firstLine="1305"/>
        <w:spacing w:after="0" w:line="297" w:lineRule="auto"/>
        <w:tabs>
          <w:tab w:leader="none" w:pos="2002" w:val="left"/>
        </w:tabs>
        <w:numPr>
          <w:ilvl w:val="0"/>
          <w:numId w:val="54"/>
        </w:numPr>
        <w:rPr>
          <w:rFonts w:ascii="Arial" w:cs="Arial" w:eastAsia="Arial" w:hAnsi="Arial"/>
          <w:sz w:val="19"/>
          <w:szCs w:val="19"/>
          <w:color w:val="auto"/>
        </w:rPr>
      </w:pPr>
      <w:r>
        <w:rPr>
          <w:rFonts w:ascii="Arial" w:cs="Arial" w:eastAsia="Arial" w:hAnsi="Arial"/>
          <w:sz w:val="16"/>
          <w:szCs w:val="16"/>
          <w:color w:val="auto"/>
        </w:rPr>
        <w:t>Such Security is being transferred to a “qualified institutional buyer” (as defined in Rule 144A under the Securities Act of 1933, as amended (the “Securities Act”)), in reliance on Rule 144A under the Securities Act and in accordance with any applicable securities laws of any state of the</w:t>
      </w:r>
    </w:p>
    <w:p>
      <w:pPr>
        <w:sectPr>
          <w:pgSz w:w="11900" w:h="16838" w:orient="portrait"/>
          <w:cols w:equalWidth="0" w:num="1">
            <w:col w:w="11440"/>
          </w:cols>
          <w:pgMar w:left="240" w:top="125" w:right="219" w:bottom="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color w:val="auto"/>
        </w:rPr>
        <w:t>United States or any other jurisdiction, that is purchasing for its own account or for the account of another qualified institutional buyer, in each case to whom notice is given that the transfer is being made in reliance on Rule 144A.</w:t>
      </w:r>
    </w:p>
    <w:p>
      <w:pPr>
        <w:spacing w:after="0" w:line="197" w:lineRule="exact"/>
        <w:rPr>
          <w:sz w:val="20"/>
          <w:szCs w:val="20"/>
          <w:color w:val="auto"/>
        </w:rPr>
      </w:pPr>
    </w:p>
    <w:p>
      <w:pPr>
        <w:ind w:right="80" w:firstLine="1305"/>
        <w:spacing w:after="0" w:line="232" w:lineRule="auto"/>
        <w:tabs>
          <w:tab w:leader="none" w:pos="2002" w:val="left"/>
        </w:tabs>
        <w:numPr>
          <w:ilvl w:val="0"/>
          <w:numId w:val="55"/>
        </w:numPr>
        <w:rPr>
          <w:rFonts w:ascii="Arial" w:cs="Arial" w:eastAsia="Arial" w:hAnsi="Arial"/>
          <w:sz w:val="22"/>
          <w:szCs w:val="22"/>
          <w:color w:val="auto"/>
        </w:rPr>
      </w:pPr>
      <w:r>
        <w:rPr>
          <w:rFonts w:ascii="Arial" w:cs="Arial" w:eastAsia="Arial" w:hAnsi="Arial"/>
          <w:sz w:val="18"/>
          <w:szCs w:val="18"/>
          <w:color w:val="auto"/>
        </w:rPr>
        <w:t>Such Security is being transferred (i) in accordance with Rule 144 under the Securities Act (and based on an opinion of counsel if the Issuers or the Trustee so requests) or (ii) pursuant to an effective registration statement under the Securities Act.</w:t>
      </w:r>
    </w:p>
    <w:p>
      <w:pPr>
        <w:spacing w:after="0" w:line="230" w:lineRule="exact"/>
        <w:rPr>
          <w:rFonts w:ascii="Arial" w:cs="Arial" w:eastAsia="Arial" w:hAnsi="Arial"/>
          <w:sz w:val="22"/>
          <w:szCs w:val="22"/>
          <w:color w:val="auto"/>
        </w:rPr>
      </w:pPr>
    </w:p>
    <w:p>
      <w:pPr>
        <w:ind w:right="140" w:firstLine="1305"/>
        <w:spacing w:after="0" w:line="261" w:lineRule="auto"/>
        <w:tabs>
          <w:tab w:leader="none" w:pos="2002" w:val="left"/>
        </w:tabs>
        <w:numPr>
          <w:ilvl w:val="0"/>
          <w:numId w:val="55"/>
        </w:numPr>
        <w:rPr>
          <w:rFonts w:ascii="Arial" w:cs="Arial" w:eastAsia="Arial" w:hAnsi="Arial"/>
          <w:sz w:val="21"/>
          <w:szCs w:val="21"/>
          <w:color w:val="auto"/>
        </w:rPr>
      </w:pPr>
      <w:r>
        <w:rPr>
          <w:rFonts w:ascii="Arial" w:cs="Arial" w:eastAsia="Arial" w:hAnsi="Arial"/>
          <w:sz w:val="17"/>
          <w:szCs w:val="17"/>
          <w:color w:val="auto"/>
        </w:rPr>
        <w:t>Such Security is being transferred to an institutional “accredited investor” within the meaning of Rule 501(a)(1), (2), (3) or (7) under the Securities Act pursuant to a private placement exemption from the registration requirements of the Securities Act (and based on an opinion of counsel if the Issuers or the Trustee so requests) and in accordance with any applicable securities laws of any state of the United States or any other jurisdiction, that is purchasing for its own account or for the account of another institutional accredited investor, together with a certification in substantially the form of Exhibit D to the Supplemental Indenture and, to the knowledge of the Transferor, such institutional accredited investor to whom such Security is to be transferred is not an “affiliate” (as defined in Rule 144 under the Securities Act) of an Issuer.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firstLine="1305"/>
        <w:spacing w:after="0" w:line="232" w:lineRule="auto"/>
        <w:tabs>
          <w:tab w:leader="none" w:pos="2002" w:val="left"/>
        </w:tabs>
        <w:numPr>
          <w:ilvl w:val="0"/>
          <w:numId w:val="56"/>
        </w:numPr>
        <w:rPr>
          <w:rFonts w:ascii="Arial" w:cs="Arial" w:eastAsia="Arial" w:hAnsi="Arial"/>
          <w:sz w:val="22"/>
          <w:szCs w:val="22"/>
          <w:color w:val="auto"/>
        </w:rPr>
      </w:pPr>
      <w:r>
        <w:rPr>
          <w:rFonts w:ascii="Arial" w:cs="Arial" w:eastAsia="Arial" w:hAnsi="Arial"/>
          <w:sz w:val="18"/>
          <w:szCs w:val="18"/>
          <w:color w:val="auto"/>
        </w:rPr>
        <w:t>Such Security is being transferred in reliance on and in compliance with another exemption from the registration requirements of the Securities Act (and based on an opinion of counsel if the Issuers so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*Check appropriate response.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-130175</wp:posOffset>
            </wp:positionV>
            <wp:extent cx="35674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2710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14662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TRANSFEREE LETTER OF REPRESENTATIONS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PAA Finance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5847 San Felipe, Suite 1050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Trust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tabs>
          <w:tab w:leader="none" w:pos="594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 6.70% Senior Notes due 2036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of Plains All American Pipeline, L.P. and PAA Finance Corp. (together, the “Issuers”):</w:t>
      </w:r>
    </w:p>
    <w:p>
      <w:pPr>
        <w:spacing w:after="0" w:line="211" w:lineRule="exact"/>
        <w:rPr>
          <w:sz w:val="20"/>
          <w:szCs w:val="20"/>
          <w:color w:val="auto"/>
        </w:rPr>
      </w:pPr>
    </w:p>
    <w:p>
      <w:pPr>
        <w:ind w:right="20" w:firstLine="1305"/>
        <w:spacing w:after="0" w:line="285" w:lineRule="auto"/>
        <w:tabs>
          <w:tab w:leader="none" w:pos="2017"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understand that the Securities have not been registered under the Securities Act of 1933, as amended (the “Securities Act”), or under any other applicable securities laws, and may not be sold except as permitted in the following sentence. We agree on our own behalf and on behalf of any investor account for which we are purchasing the Securities to offer, sell or otherwise transfer such Securities prior to the date which is two years after the later of the date of original issue and the last date on which the Issuers or any affiliate of an Issuer was the owner of such Securities, or any predecessor, thereto (the “Resale Restriction Termination Date”) only (a) to the Issuers, (b) pursuant to a registration statement that has been declared effective by the Securities and Exchange Commission (the “Commission”), (c) for so long as the Securities are eligible for resale pursuant to Rule 144A under the Securities Act, to a person we reasonably believe is a qualified institutional buyer under Rule 144A (a “QIB”) that purchases for its own account or for the account of a QIB to whom notice is given that the transfer is being made in reliance on Rule 144A, (d) to an institutional “accredited investor” within the meaning of subparagraph (a)(1), (2), (3) or (7) of Rule 501 under the Securities Act (an “Institutional Accredited Investor”) that is acquiring the Securities for its own account or for the account of another Institutional Accredited Investor for investment purposes and not with a view to, or for offer or sale in connection with, any distribution thereof in violation of the regulations of the Securities Act and any other applicable securities laws or (e) pursuant to any other available exemption from the registration requirements of the Securities Act, subject in each of the foregoing cases to any requirement of law that the disposition of our property and the property of such investor account or accounts be at all times within our or their control. The foregoing restrictions on resale will not apply subsequent to the Resale Restriction Termination Date. If any resale or other transfer of the Securities is proposed to be made pursuant to clause (d) above prior to the Resale Restriction Termination Date, the transferor shall deliver a letter from the transferee substantially in the form of this letter to the Trustee, which shall provide, among other things, that the transferee is an Institutional Accredited Investor and that it is acquiring such Securities for investment purposes and not for distribution in violation of the Securities Act. We acknowledge that the Issuers and the Trustee reserve the right prior to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8" w:name="page29"/>
    <w:bookmarkEnd w:id="28"/>
    <w:p>
      <w:pPr>
        <w:ind w:right="100"/>
        <w:spacing w:after="0" w:line="277" w:lineRule="auto"/>
        <w:rPr>
          <w:sz w:val="20"/>
          <w:szCs w:val="20"/>
          <w:color w:val="auto"/>
        </w:rPr>
      </w:pPr>
      <w:r>
        <w:rPr>
          <w:rFonts w:ascii="Arial" w:cs="Arial" w:eastAsia="Arial" w:hAnsi="Arial"/>
          <w:sz w:val="18"/>
          <w:szCs w:val="18"/>
          <w:color w:val="auto"/>
        </w:rPr>
        <w:t>offer, sale or other transfer pursuant to clause (d) or (e) prior to the Resale Restriction Termination Date of the Securities to require the delivery of an opinion of counsel, certifications and/or other information satisfactory to the Issuers and the Trustee.</w:t>
      </w:r>
    </w:p>
    <w:p>
      <w:pPr>
        <w:spacing w:after="0" w:line="170" w:lineRule="exact"/>
        <w:rPr>
          <w:sz w:val="20"/>
          <w:szCs w:val="20"/>
          <w:color w:val="auto"/>
        </w:rPr>
      </w:pPr>
    </w:p>
    <w:p>
      <w:pPr>
        <w:ind w:left="2020" w:hanging="715"/>
        <w:spacing w:after="0"/>
        <w:tabs>
          <w:tab w:leader="none" w:pos="2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are an Institutional Accredited Investor purchasing for our own account or for the account of another Institutional Accredited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11" w:lineRule="exact"/>
        <w:rPr>
          <w:sz w:val="20"/>
          <w:szCs w:val="20"/>
          <w:color w:val="auto"/>
        </w:rPr>
      </w:pPr>
    </w:p>
    <w:p>
      <w:pPr>
        <w:ind w:right="40" w:firstLine="1305"/>
        <w:spacing w:after="0" w:line="257" w:lineRule="auto"/>
        <w:tabs>
          <w:tab w:leader="none" w:pos="20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are acquiring the Securities purchased by us for our own account, or for one or more accounts as to each of which we exercise sole investment discretion, for investment purposes and not with a view to, or for offer or sale in connection with any distribution in violation of, the Securities Act. We have such knowledge and experience in financial and business matters as to be capable of evaluating the merits and risks of investment in the Securities, we invest in securities similar to the Securities in the normal course of our business and we, and all accounts for which we are acting, are able to bear the economic risks of investment in the Securities.</w:t>
      </w:r>
    </w:p>
    <w:p>
      <w:pPr>
        <w:spacing w:after="0" w:line="188" w:lineRule="exact"/>
        <w:rPr>
          <w:rFonts w:ascii="Arial" w:cs="Arial" w:eastAsia="Arial" w:hAnsi="Arial"/>
          <w:sz w:val="18"/>
          <w:szCs w:val="18"/>
          <w:color w:val="auto"/>
        </w:rPr>
      </w:pPr>
    </w:p>
    <w:p>
      <w:pPr>
        <w:ind w:right="40" w:firstLine="1305"/>
        <w:spacing w:after="0" w:line="277" w:lineRule="auto"/>
        <w:tabs>
          <w:tab w:leader="none" w:pos="20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are entitled to rely upon this letter and you are irrevocably authorized to produce this letter or a copy thereof to any interested party in any administrative or legal proceeding or official inquiry with respect to the matters covered hereby.</w:t>
      </w:r>
    </w:p>
    <w:p>
      <w:pPr>
        <w:spacing w:after="0" w:line="17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OF TRANSFEREE]</w:t>
      </w:r>
    </w:p>
    <w:p>
      <w:pPr>
        <w:spacing w:after="0" w:line="200" w:lineRule="exact"/>
        <w:rPr>
          <w:sz w:val="20"/>
          <w:szCs w:val="20"/>
          <w:color w:val="auto"/>
        </w:rPr>
      </w:pPr>
    </w:p>
    <w:p>
      <w:pPr>
        <w:spacing w:after="0" w:line="24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-130810</wp:posOffset>
            </wp:positionV>
            <wp:extent cx="21355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Upon transfer, the Securities should be registered in the name of the new beneficial owner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Taxpayer ID 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 PURSUANT TO REGULATION S</w:t>
      </w:r>
    </w:p>
    <w:p>
      <w:pPr>
        <w:spacing w:after="0" w:line="211" w:lineRule="exact"/>
        <w:rPr>
          <w:sz w:val="20"/>
          <w:szCs w:val="20"/>
          <w:color w:val="auto"/>
        </w:rPr>
      </w:pPr>
    </w:p>
    <w:p>
      <w:pPr>
        <w:ind w:left="10960"/>
        <w:spacing w:after="0"/>
        <w:rPr>
          <w:sz w:val="20"/>
          <w:szCs w:val="20"/>
          <w:color w:val="auto"/>
        </w:rPr>
      </w:pPr>
      <w:r>
        <w:rPr>
          <w:rFonts w:ascii="Arial" w:cs="Arial" w:eastAsia="Arial" w:hAnsi="Arial"/>
          <w:sz w:val="17"/>
          <w:szCs w:val="17"/>
          <w:color w:val="auto"/>
        </w:rPr>
        <w:t>[Date]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PAA Finance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Wachovia Bank, National Association,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5847 San Felipe, Suite 1050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Trust Group</w:t>
      </w:r>
    </w:p>
    <w:p>
      <w:pPr>
        <w:sectPr>
          <w:pgSz w:w="11900" w:h="16838" w:orient="portrait"/>
          <w:cols w:equalWidth="0" w:num="1">
            <w:col w:w="11420"/>
          </w:cols>
          <w:pgMar w:left="240" w:top="584" w:right="239" w:bottom="18" w:gutter="0" w:footer="0" w:header="0"/>
        </w:sect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60" w:firstLine="20"/>
        <w:spacing w:after="0" w:line="277" w:lineRule="auto"/>
        <w:rPr>
          <w:sz w:val="20"/>
          <w:szCs w:val="20"/>
          <w:color w:val="auto"/>
        </w:rPr>
      </w:pPr>
      <w:r>
        <w:rPr>
          <w:rFonts w:ascii="Arial" w:cs="Arial" w:eastAsia="Arial" w:hAnsi="Arial"/>
          <w:sz w:val="18"/>
          <w:szCs w:val="18"/>
          <w:color w:val="auto"/>
        </w:rPr>
        <w:t>Plains All American Pipeline, L.P. and PAA Finance Corp. (the “Issuers”) 6.70% Series [A/B] Senior Notes due 2036 (the “Securities”)</w:t>
      </w:r>
    </w:p>
    <w:p>
      <w:pPr>
        <w:spacing w:after="0" w:line="170" w:lineRule="exact"/>
        <w:rPr>
          <w:sz w:val="20"/>
          <w:szCs w:val="20"/>
          <w:color w:val="auto"/>
        </w:rPr>
      </w:pPr>
    </w:p>
    <w:p>
      <w:pPr>
        <w:sectPr>
          <w:pgSz w:w="11900" w:h="16838" w:orient="portrait"/>
          <w:cols w:equalWidth="0" w:num="2">
            <w:col w:w="1560" w:space="400"/>
            <w:col w:w="9460"/>
          </w:cols>
          <w:pgMar w:left="240" w:top="584" w:right="239" w:bottom="18"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tabs>
          <w:tab w:leader="none" w:pos="5360" w:val="left"/>
        </w:tabs>
        <w:rPr>
          <w:sz w:val="20"/>
          <w:szCs w:val="20"/>
          <w:color w:val="auto"/>
        </w:rPr>
      </w:pPr>
      <w:r>
        <w:rPr>
          <w:rFonts w:ascii="Arial" w:cs="Arial" w:eastAsia="Arial" w:hAnsi="Arial"/>
          <w:sz w:val="18"/>
          <w:szCs w:val="18"/>
          <w:color w:val="auto"/>
        </w:rPr>
        <w:t>In connection with our proposed sale of $</w:t>
      </w:r>
      <w:r>
        <w:rPr>
          <w:sz w:val="20"/>
          <w:szCs w:val="20"/>
          <w:color w:val="auto"/>
        </w:rPr>
        <w:tab/>
      </w:r>
      <w:r>
        <w:rPr>
          <w:rFonts w:ascii="Arial" w:cs="Arial" w:eastAsia="Arial" w:hAnsi="Arial"/>
          <w:sz w:val="16"/>
          <w:szCs w:val="16"/>
          <w:color w:val="auto"/>
        </w:rPr>
        <w:t>aggregate principal amount of the Securities, we confirm that such sale has been</w:t>
      </w:r>
    </w:p>
    <w:p>
      <w:pPr>
        <w:sectPr>
          <w:pgSz w:w="11900" w:h="16838" w:orient="portrait"/>
          <w:cols w:equalWidth="0" w:num="1">
            <w:col w:w="11420"/>
          </w:cols>
          <w:pgMar w:left="240" w:top="584" w:right="239" w:bottom="18" w:gutter="0" w:footer="0" w:header="0"/>
          <w:type w:val="continuous"/>
        </w:sectPr>
      </w:pP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effected pursuant to and in accordance with Regulation S under the United States Securities Act of 1933, as amended (the “Securities Act”), and, accordingly, we represent that:</w:t>
      </w:r>
    </w:p>
    <w:p>
      <w:pPr>
        <w:spacing w:after="0" w:line="184" w:lineRule="exact"/>
        <w:rPr>
          <w:sz w:val="20"/>
          <w:szCs w:val="20"/>
          <w:color w:val="auto"/>
        </w:rPr>
      </w:pPr>
    </w:p>
    <w:p>
      <w:pPr>
        <w:ind w:left="2640" w:hanging="687"/>
        <w:spacing w:after="0"/>
        <w:tabs>
          <w:tab w:leader="none" w:pos="2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offer of the Securities was not made to a person in the United States;</w:t>
      </w:r>
    </w:p>
    <w:p>
      <w:pPr>
        <w:spacing w:after="0" w:line="225" w:lineRule="exact"/>
        <w:rPr>
          <w:rFonts w:ascii="Arial" w:cs="Arial" w:eastAsia="Arial" w:hAnsi="Arial"/>
          <w:sz w:val="18"/>
          <w:szCs w:val="18"/>
          <w:color w:val="auto"/>
        </w:rPr>
      </w:pPr>
    </w:p>
    <w:p>
      <w:pPr>
        <w:jc w:val="both"/>
        <w:ind w:left="1300" w:right="420" w:firstLine="653"/>
        <w:spacing w:after="0" w:line="259" w:lineRule="auto"/>
        <w:tabs>
          <w:tab w:leader="none" w:pos="26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186" w:lineRule="exact"/>
        <w:rPr>
          <w:rFonts w:ascii="Arial" w:cs="Arial" w:eastAsia="Arial" w:hAnsi="Arial"/>
          <w:sz w:val="18"/>
          <w:szCs w:val="18"/>
          <w:color w:val="auto"/>
        </w:rPr>
      </w:pPr>
    </w:p>
    <w:p>
      <w:pPr>
        <w:ind w:left="1300" w:right="320" w:firstLine="653"/>
        <w:spacing w:after="0" w:line="277" w:lineRule="auto"/>
        <w:tabs>
          <w:tab w:leader="none" w:pos="2643"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directed selling efforts have been made in the United States in contravention of the requirements of Rule 904(a) of Regulation S, as applicable; and</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In addition, if the sale is made during a restricted period and the provisions of Rule 904(b)(1) of Regulation S are applicable thereto, we confirm that such sale has been made in accordance with the applicable provisions of Rule 904(b)(1).</w:t>
      </w:r>
    </w:p>
    <w:p>
      <w:pPr>
        <w:sectPr>
          <w:pgSz w:w="11900" w:h="16838" w:orient="portrait"/>
          <w:cols w:equalWidth="0" w:num="1">
            <w:col w:w="11420"/>
          </w:cols>
          <w:pgMar w:left="240" w:top="584" w:right="239" w:bottom="18" w:gutter="0" w:footer="0" w:header="0"/>
          <w:type w:val="continuous"/>
        </w:sectPr>
      </w:pPr>
    </w:p>
    <w:bookmarkStart w:id="29" w:name="page30"/>
    <w:bookmarkEnd w:id="29"/>
    <w:p>
      <w:pPr>
        <w:ind w:firstLine="1297"/>
        <w:spacing w:after="0" w:line="277" w:lineRule="auto"/>
        <w:rPr>
          <w:sz w:val="20"/>
          <w:szCs w:val="20"/>
          <w:color w:val="auto"/>
        </w:rPr>
      </w:pPr>
      <w:r>
        <w:rPr>
          <w:rFonts w:ascii="Arial" w:cs="Arial" w:eastAsia="Arial" w:hAnsi="Arial"/>
          <w:sz w:val="18"/>
          <w:szCs w:val="18"/>
          <w:color w:val="auto"/>
        </w:rPr>
        <w:t>You and the Issuers are entitled to rely upon this letter and are irrevocably authorized to produce this letter or a copy hereof to any interested party in any administrative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120" w:right="340" w:hanging="6117"/>
        <w:spacing w:after="0" w:line="501" w:lineRule="auto"/>
        <w:rPr>
          <w:sz w:val="20"/>
          <w:szCs w:val="20"/>
          <w:color w:val="auto"/>
        </w:rPr>
      </w:pPr>
      <w:r>
        <w:rPr>
          <w:rFonts w:ascii="Arial" w:cs="Arial" w:eastAsia="Arial" w:hAnsi="Arial"/>
          <w:sz w:val="18"/>
          <w:szCs w:val="18"/>
          <w:color w:val="auto"/>
        </w:rPr>
        <w:t>legal proceedings or official inquiry with respect to the matters covered hereby. Terms used in this certificate have the meanings set forth in Regulation S. Very truly yours,</w:t>
      </w:r>
    </w:p>
    <w:p>
      <w:pPr>
        <w:ind w:left="6120"/>
        <w:spacing w:after="0"/>
        <w:rPr>
          <w:sz w:val="20"/>
          <w:szCs w:val="20"/>
          <w:color w:val="auto"/>
        </w:rPr>
      </w:pPr>
      <w:r>
        <w:rPr>
          <w:rFonts w:ascii="Arial" w:cs="Arial" w:eastAsia="Arial" w:hAnsi="Arial"/>
          <w:sz w:val="18"/>
          <w:szCs w:val="18"/>
          <w:color w:val="auto"/>
        </w:rPr>
        <w:t>[NAME OF TRANSFEROR]</w:t>
      </w:r>
    </w:p>
    <w:p>
      <w:pPr>
        <w:spacing w:after="0" w:line="200" w:lineRule="exact"/>
        <w:rPr>
          <w:sz w:val="20"/>
          <w:szCs w:val="20"/>
          <w:color w:val="auto"/>
        </w:rPr>
      </w:pPr>
    </w:p>
    <w:p>
      <w:pPr>
        <w:spacing w:after="0" w:line="24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-130810</wp:posOffset>
            </wp:positionV>
            <wp:extent cx="21355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AND 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INITIAL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FINANCE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6.70% Senior Notes due 2036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AND REGISTRATION RIGHTS AGREEMENT</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May 12, 2006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Fortis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Amegy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Commerzbank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NOR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Mitsubishi UFJ Securities International plc</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 34th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Plains All American Pipeline, L.P., a Delaware limited partnership (the “Partnership”), PAA Finance Corp., a Delaware corporation (“PAA Finance,” and together with the Partnership, the “Issuers”) and the Guarantors listed on Schedule 1 hereto (the “Guarantors”), propose to issue and sell to the initial purchasers listed on Schedule 2 hereto (the “Initial Purchasers”), upon the terms set forth in a purchase agreement dated May 9, 2006 (the “Purchase Agreement”), $250,000,000 principal amount of 6.70% Senior Notes due 2036 (the “Securities”) relating to the initial placement of the Securities (the “Initial Placement”). To induce the Initial Purchasers to enter into the Purchase Agreement and to satisfy a condition of your obligations thereunder, the Issuers and the Guarantors agree with you for your benefit and the benefit of the other holders from time to time of the Securities (including the Initial Purchasers) (each a “Holder” and, together, the “Holders”),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80" w:firstLine="1305"/>
        <w:spacing w:after="0" w:line="277" w:lineRule="auto"/>
        <w:tabs>
          <w:tab w:leader="none" w:pos="201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their respective meanings set forth in the Purchase Agreement. As used in this Agreement, the following capitalized defined terms shall have the following meanings: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37"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“Affiliate” of any specified Person shall mean any other Person that, directly or indirectly, is in control of, is controlled by, or is under common control with, such specified Person. For purposes of this definition, control of a Person shall mean the power, direct or indirect, to direct or cause the direction of the management and policies of such Person whether by contract or otherwise; and the terms “controlling” and “controlled” shall have meanings correlative to the foregoing.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“Broker-Dealer” shall mean any broker or dealer registered as such under the Exchange Act.</w:t>
      </w:r>
    </w:p>
    <w:p>
      <w:pPr>
        <w:sectPr>
          <w:pgSz w:w="11900" w:h="16838" w:orient="portrait"/>
          <w:cols w:equalWidth="0" w:num="1">
            <w:col w:w="11420"/>
          </w:cols>
          <w:pgMar w:left="240" w:top="121" w:right="239" w:bottom="0" w:gutter="0" w:footer="0" w:header="0"/>
        </w:sectPr>
      </w:pPr>
    </w:p>
    <w:bookmarkStart w:id="31" w:name="page32"/>
    <w:bookmarkEnd w:id="31"/>
    <w:p>
      <w:pPr>
        <w:ind w:right="560" w:firstLine="1297"/>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25" w:lineRule="exact"/>
        <w:rPr>
          <w:sz w:val="20"/>
          <w:szCs w:val="20"/>
          <w:color w:val="auto"/>
        </w:rPr>
      </w:pPr>
    </w:p>
    <w:p>
      <w:pPr>
        <w:ind w:right="940" w:firstLine="1297"/>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70" w:lineRule="exact"/>
        <w:rPr>
          <w:sz w:val="20"/>
          <w:szCs w:val="20"/>
          <w:color w:val="auto"/>
        </w:rPr>
      </w:pPr>
    </w:p>
    <w:p>
      <w:pPr>
        <w:ind w:right="500" w:firstLine="1297"/>
        <w:spacing w:after="0" w:line="309" w:lineRule="auto"/>
        <w:rPr>
          <w:sz w:val="20"/>
          <w:szCs w:val="20"/>
          <w:color w:val="auto"/>
        </w:rPr>
      </w:pPr>
      <w:r>
        <w:rPr>
          <w:rFonts w:ascii="Arial" w:cs="Arial" w:eastAsia="Arial" w:hAnsi="Arial"/>
          <w:sz w:val="16"/>
          <w:szCs w:val="16"/>
          <w:color w:val="auto"/>
        </w:rPr>
        <w:t>“Exchange Offer Registration Period” shall mean the one-year period following the consummation of the Registered Exchange Offer, exclusive of any period during which any stop order shall be in effect suspending the effectiveness of the Exchange Offer Registration Statement.</w:t>
      </w:r>
    </w:p>
    <w:p>
      <w:pPr>
        <w:spacing w:after="0" w:line="1" w:lineRule="exact"/>
        <w:rPr>
          <w:sz w:val="20"/>
          <w:szCs w:val="20"/>
          <w:color w:val="auto"/>
        </w:rPr>
      </w:pPr>
    </w:p>
    <w:p>
      <w:pPr>
        <w:ind w:firstLine="1297"/>
        <w:spacing w:after="0" w:line="269" w:lineRule="auto"/>
        <w:rPr>
          <w:sz w:val="20"/>
          <w:szCs w:val="20"/>
          <w:color w:val="auto"/>
        </w:rPr>
      </w:pPr>
      <w:r>
        <w:rPr>
          <w:rFonts w:ascii="Arial" w:cs="Arial" w:eastAsia="Arial" w:hAnsi="Arial"/>
          <w:sz w:val="16"/>
          <w:szCs w:val="16"/>
          <w:color w:val="auto"/>
        </w:rPr>
        <w:t xml:space="preserve">“Exchange Offer Registration Statement” </w:t>
      </w:r>
      <w:r>
        <w:rPr>
          <w:rFonts w:ascii="Arial" w:cs="Arial" w:eastAsia="Arial" w:hAnsi="Arial"/>
          <w:sz w:val="31"/>
          <w:szCs w:val="31"/>
          <w:color w:val="auto"/>
          <w:vertAlign w:val="subscript"/>
        </w:rPr>
        <w:t>shall</w:t>
      </w:r>
      <w:r>
        <w:rPr>
          <w:rFonts w:ascii="Arial" w:cs="Arial" w:eastAsia="Arial" w:hAnsi="Arial"/>
          <w:sz w:val="16"/>
          <w:szCs w:val="16"/>
          <w:color w:val="auto"/>
        </w:rPr>
        <w:t xml:space="preserve"> mean a registration statement of 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on an appropriate form under the Act with respect to the Registered Exchange Offer, all amendments and supplements to such registration statement, including post-effective amendments </w:t>
      </w:r>
      <w:r>
        <w:rPr>
          <w:rFonts w:ascii="Arial" w:cs="Arial" w:eastAsia="Arial" w:hAnsi="Arial"/>
          <w:sz w:val="31"/>
          <w:szCs w:val="31"/>
          <w:color w:val="auto"/>
          <w:vertAlign w:val="subscript"/>
        </w:rPr>
        <w:t>thereto</w:t>
      </w:r>
      <w:r>
        <w:rPr>
          <w:rFonts w:ascii="Arial" w:cs="Arial" w:eastAsia="Arial" w:hAnsi="Arial"/>
          <w:sz w:val="16"/>
          <w:szCs w:val="16"/>
          <w:color w:val="auto"/>
        </w:rPr>
        <w:t>, in each case including the Prospectus contained therein, all exhibits thereto and all material incorporated by reference therein.</w:t>
      </w:r>
    </w:p>
    <w:p>
      <w:pPr>
        <w:spacing w:after="0" w:line="8" w:lineRule="exact"/>
        <w:rPr>
          <w:sz w:val="20"/>
          <w:szCs w:val="20"/>
          <w:color w:val="auto"/>
        </w:rPr>
      </w:pPr>
    </w:p>
    <w:p>
      <w:pPr>
        <w:jc w:val="both"/>
        <w:ind w:right="180" w:firstLine="1297"/>
        <w:spacing w:after="0" w:line="212" w:lineRule="auto"/>
        <w:rPr>
          <w:sz w:val="20"/>
          <w:szCs w:val="20"/>
          <w:color w:val="auto"/>
        </w:rPr>
      </w:pPr>
      <w:r>
        <w:rPr>
          <w:rFonts w:ascii="Arial" w:cs="Arial" w:eastAsia="Arial" w:hAnsi="Arial"/>
          <w:sz w:val="17"/>
          <w:szCs w:val="17"/>
          <w:color w:val="auto"/>
        </w:rPr>
        <w:t xml:space="preserve">“Exchanging Dealer” </w:t>
      </w:r>
      <w:r>
        <w:rPr>
          <w:rFonts w:ascii="Arial" w:cs="Arial" w:eastAsia="Arial" w:hAnsi="Arial"/>
          <w:sz w:val="34"/>
          <w:szCs w:val="34"/>
          <w:color w:val="auto"/>
          <w:vertAlign w:val="subscript"/>
        </w:rPr>
        <w:t>shall</w:t>
      </w:r>
      <w:r>
        <w:rPr>
          <w:rFonts w:ascii="Arial" w:cs="Arial" w:eastAsia="Arial" w:hAnsi="Arial"/>
          <w:sz w:val="17"/>
          <w:szCs w:val="17"/>
          <w:color w:val="auto"/>
        </w:rPr>
        <w:t xml:space="preserve"> mean any Holder (which may include any Initial Purchaser) that is a Broker-Dealer and elects to exchange </w:t>
      </w:r>
      <w:r>
        <w:rPr>
          <w:rFonts w:ascii="Arial" w:cs="Arial" w:eastAsia="Arial" w:hAnsi="Arial"/>
          <w:sz w:val="34"/>
          <w:szCs w:val="34"/>
          <w:color w:val="auto"/>
          <w:vertAlign w:val="subscript"/>
        </w:rPr>
        <w:t>for</w:t>
      </w:r>
      <w:r>
        <w:rPr>
          <w:rFonts w:ascii="Arial" w:cs="Arial" w:eastAsia="Arial" w:hAnsi="Arial"/>
          <w:sz w:val="17"/>
          <w:szCs w:val="17"/>
          <w:color w:val="auto"/>
        </w:rPr>
        <w:t xml:space="preserve"> </w:t>
      </w:r>
      <w:r>
        <w:rPr>
          <w:rFonts w:ascii="Arial" w:cs="Arial" w:eastAsia="Arial" w:hAnsi="Arial"/>
          <w:sz w:val="34"/>
          <w:szCs w:val="34"/>
          <w:color w:val="auto"/>
          <w:vertAlign w:val="subscript"/>
        </w:rPr>
        <w:t>New Securities any</w:t>
      </w:r>
      <w:r>
        <w:rPr>
          <w:rFonts w:ascii="Arial" w:cs="Arial" w:eastAsia="Arial" w:hAnsi="Arial"/>
          <w:sz w:val="17"/>
          <w:szCs w:val="17"/>
          <w:color w:val="auto"/>
        </w:rPr>
        <w:t xml:space="preserve"> Securities </w:t>
      </w:r>
      <w:r>
        <w:rPr>
          <w:rFonts w:ascii="Arial" w:cs="Arial" w:eastAsia="Arial" w:hAnsi="Arial"/>
          <w:sz w:val="34"/>
          <w:szCs w:val="34"/>
          <w:color w:val="auto"/>
          <w:vertAlign w:val="subscript"/>
        </w:rPr>
        <w:t>that it</w:t>
      </w:r>
      <w:r>
        <w:rPr>
          <w:rFonts w:ascii="Arial" w:cs="Arial" w:eastAsia="Arial" w:hAnsi="Arial"/>
          <w:sz w:val="17"/>
          <w:szCs w:val="17"/>
          <w:color w:val="auto"/>
        </w:rPr>
        <w:t xml:space="preserve"> acquired for its own account as a result of market-making activities or other trading activities (but not directly from the Issuers </w:t>
      </w:r>
      <w:r>
        <w:rPr>
          <w:rFonts w:ascii="Arial" w:cs="Arial" w:eastAsia="Arial" w:hAnsi="Arial"/>
          <w:sz w:val="34"/>
          <w:szCs w:val="34"/>
          <w:color w:val="auto"/>
          <w:vertAlign w:val="subscript"/>
        </w:rPr>
        <w:t>and the Guarantors</w:t>
      </w:r>
      <w:r>
        <w:rPr>
          <w:rFonts w:ascii="Arial" w:cs="Arial" w:eastAsia="Arial" w:hAnsi="Arial"/>
          <w:sz w:val="17"/>
          <w:szCs w:val="17"/>
          <w:color w:val="auto"/>
        </w:rPr>
        <w:t xml:space="preserve"> or any Affiliate of the Issuers </w:t>
      </w:r>
      <w:r>
        <w:rPr>
          <w:rFonts w:ascii="Arial" w:cs="Arial" w:eastAsia="Arial" w:hAnsi="Arial"/>
          <w:sz w:val="34"/>
          <w:szCs w:val="34"/>
          <w:color w:val="auto"/>
          <w:vertAlign w:val="subscript"/>
        </w:rPr>
        <w:t>and the Guarantors</w:t>
      </w:r>
      <w:r>
        <w:rPr>
          <w:rFonts w:ascii="Arial" w:cs="Arial" w:eastAsia="Arial" w:hAnsi="Arial"/>
          <w:sz w:val="17"/>
          <w:szCs w:val="17"/>
          <w:color w:val="auto"/>
        </w:rPr>
        <w:t>) for New Securities.</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“Final Memorandum”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ha</w:t>
      </w:r>
      <w:r>
        <w:rPr>
          <w:rFonts w:ascii="Arial" w:cs="Arial" w:eastAsia="Arial" w:hAnsi="Arial"/>
          <w:sz w:val="36"/>
          <w:szCs w:val="36"/>
          <w:color w:val="auto"/>
          <w:vertAlign w:val="subscript"/>
        </w:rPr>
        <w:t>ve</w:t>
      </w:r>
      <w:r>
        <w:rPr>
          <w:rFonts w:ascii="Arial" w:cs="Arial" w:eastAsia="Arial" w:hAnsi="Arial"/>
          <w:sz w:val="18"/>
          <w:szCs w:val="18"/>
          <w:color w:val="auto"/>
        </w:rPr>
        <w:t xml:space="preserve"> the meaning set forth in the Purchase Agreement.</w:t>
      </w:r>
    </w:p>
    <w:p>
      <w:pPr>
        <w:spacing w:after="0" w:line="25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“Guarantors” shall have the meaning set </w:t>
      </w:r>
      <w:r>
        <w:rPr>
          <w:rFonts w:ascii="Arial" w:cs="Arial" w:eastAsia="Arial" w:hAnsi="Arial"/>
          <w:sz w:val="32"/>
          <w:szCs w:val="32"/>
          <w:color w:val="auto"/>
          <w:vertAlign w:val="superscript"/>
        </w:rPr>
        <w:t>forth in the preamble hereto and shall also include any</w:t>
      </w:r>
      <w:r>
        <w:rPr>
          <w:rFonts w:ascii="Arial" w:cs="Arial" w:eastAsia="Arial" w:hAnsi="Arial"/>
          <w:sz w:val="17"/>
          <w:szCs w:val="17"/>
          <w:color w:val="auto"/>
        </w:rPr>
        <w:t xml:space="preserve"> Guarantor’s successor.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“Holder”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have the meaning set forth in the preamble hereto.</w:t>
      </w:r>
    </w:p>
    <w:p>
      <w:pPr>
        <w:spacing w:after="0" w:line="86" w:lineRule="exact"/>
        <w:rPr>
          <w:sz w:val="20"/>
          <w:szCs w:val="20"/>
          <w:color w:val="auto"/>
        </w:rPr>
      </w:pPr>
    </w:p>
    <w:p>
      <w:pPr>
        <w:ind w:right="180" w:firstLine="1297"/>
        <w:spacing w:after="0" w:line="271" w:lineRule="auto"/>
        <w:rPr>
          <w:sz w:val="20"/>
          <w:szCs w:val="20"/>
          <w:color w:val="auto"/>
        </w:rPr>
      </w:pPr>
      <w:r>
        <w:rPr>
          <w:rFonts w:ascii="Arial" w:cs="Arial" w:eastAsia="Arial" w:hAnsi="Arial"/>
          <w:sz w:val="16"/>
          <w:szCs w:val="16"/>
          <w:color w:val="auto"/>
        </w:rPr>
        <w:t xml:space="preserve">“Indenture” </w:t>
      </w:r>
      <w:r>
        <w:rPr>
          <w:rFonts w:ascii="Arial" w:cs="Arial" w:eastAsia="Arial" w:hAnsi="Arial"/>
          <w:sz w:val="31"/>
          <w:szCs w:val="31"/>
          <w:color w:val="auto"/>
          <w:vertAlign w:val="subscript"/>
        </w:rPr>
        <w:t>shall</w:t>
      </w:r>
      <w:r>
        <w:rPr>
          <w:rFonts w:ascii="Arial" w:cs="Arial" w:eastAsia="Arial" w:hAnsi="Arial"/>
          <w:sz w:val="16"/>
          <w:szCs w:val="16"/>
          <w:color w:val="auto"/>
        </w:rPr>
        <w:t xml:space="preserve"> mean the Indenture relating to the Securities </w:t>
      </w:r>
      <w:r>
        <w:rPr>
          <w:rFonts w:ascii="Arial" w:cs="Arial" w:eastAsia="Arial" w:hAnsi="Arial"/>
          <w:sz w:val="31"/>
          <w:szCs w:val="31"/>
          <w:color w:val="auto"/>
          <w:vertAlign w:val="subscript"/>
        </w:rPr>
        <w:t>and the New Securities,</w:t>
      </w:r>
      <w:r>
        <w:rPr>
          <w:rFonts w:ascii="Arial" w:cs="Arial" w:eastAsia="Arial" w:hAnsi="Arial"/>
          <w:sz w:val="16"/>
          <w:szCs w:val="16"/>
          <w:color w:val="auto"/>
        </w:rPr>
        <w:t xml:space="preserve"> dated as of </w:t>
      </w:r>
      <w:r>
        <w:rPr>
          <w:rFonts w:ascii="Arial" w:cs="Arial" w:eastAsia="Arial" w:hAnsi="Arial"/>
          <w:sz w:val="31"/>
          <w:szCs w:val="31"/>
          <w:color w:val="auto"/>
          <w:vertAlign w:val="subscript"/>
        </w:rPr>
        <w:t>September 25, 2002</w:t>
      </w:r>
      <w:r>
        <w:rPr>
          <w:rFonts w:ascii="Arial" w:cs="Arial" w:eastAsia="Arial" w:hAnsi="Arial"/>
          <w:sz w:val="16"/>
          <w:szCs w:val="16"/>
          <w:color w:val="auto"/>
        </w:rPr>
        <w:t xml:space="preserve">, among the Issuers </w:t>
      </w:r>
      <w:r>
        <w:rPr>
          <w:rFonts w:ascii="Arial" w:cs="Arial" w:eastAsia="Arial" w:hAnsi="Arial"/>
          <w:sz w:val="31"/>
          <w:szCs w:val="31"/>
          <w:color w:val="auto"/>
          <w:vertAlign w:val="superscript"/>
        </w:rPr>
        <w:t>and</w:t>
      </w:r>
      <w:r>
        <w:rPr>
          <w:rFonts w:ascii="Arial" w:cs="Arial" w:eastAsia="Arial" w:hAnsi="Arial"/>
          <w:sz w:val="16"/>
          <w:szCs w:val="16"/>
          <w:color w:val="auto"/>
        </w:rPr>
        <w:t xml:space="preserve"> Wachovia Bank, National Association, </w:t>
      </w:r>
      <w:r>
        <w:rPr>
          <w:rFonts w:ascii="Arial" w:cs="Arial" w:eastAsia="Arial" w:hAnsi="Arial"/>
          <w:sz w:val="31"/>
          <w:szCs w:val="31"/>
          <w:color w:val="auto"/>
          <w:vertAlign w:val="superscript"/>
        </w:rPr>
        <w:t>as trustee, as amended by the</w:t>
      </w:r>
      <w:r>
        <w:rPr>
          <w:rFonts w:ascii="Arial" w:cs="Arial" w:eastAsia="Arial" w:hAnsi="Arial"/>
          <w:sz w:val="16"/>
          <w:szCs w:val="16"/>
          <w:color w:val="auto"/>
        </w:rPr>
        <w:t xml:space="preserve"> Sixth Supplemental Indenture, dated as of May 12, 2006, among the Issuers, the Guarantors and the Trustee</w:t>
      </w:r>
      <w:r>
        <w:rPr>
          <w:rFonts w:ascii="Arial" w:cs="Arial" w:eastAsia="Arial" w:hAnsi="Arial"/>
          <w:sz w:val="31"/>
          <w:szCs w:val="31"/>
          <w:color w:val="auto"/>
          <w:vertAlign w:val="superscript"/>
        </w:rPr>
        <w:t>, as the same may be amended</w:t>
      </w:r>
      <w:r>
        <w:rPr>
          <w:rFonts w:ascii="Arial" w:cs="Arial" w:eastAsia="Arial" w:hAnsi="Arial"/>
          <w:sz w:val="16"/>
          <w:szCs w:val="16"/>
          <w:color w:val="auto"/>
        </w:rPr>
        <w:t xml:space="preserve"> from time to time in accordance with the terms thereof</w:t>
      </w:r>
      <w:r>
        <w:rPr>
          <w:rFonts w:ascii="Arial" w:cs="Arial" w:eastAsia="Arial" w:hAnsi="Arial"/>
          <w:sz w:val="31"/>
          <w:szCs w:val="31"/>
          <w:color w:val="auto"/>
          <w:vertAlign w:val="superscript"/>
        </w:rPr>
        <w:t>.</w:t>
      </w:r>
    </w:p>
    <w:p>
      <w:pPr>
        <w:ind w:left="1300"/>
        <w:spacing w:after="0" w:line="191" w:lineRule="auto"/>
        <w:rPr>
          <w:sz w:val="20"/>
          <w:szCs w:val="20"/>
          <w:color w:val="auto"/>
        </w:rPr>
      </w:pPr>
      <w:r>
        <w:rPr>
          <w:rFonts w:ascii="Arial" w:cs="Arial" w:eastAsia="Arial" w:hAnsi="Arial"/>
          <w:sz w:val="18"/>
          <w:szCs w:val="18"/>
          <w:color w:val="auto"/>
        </w:rPr>
        <w:t xml:space="preserve">“Initial Placement”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ha</w:t>
      </w:r>
      <w:r>
        <w:rPr>
          <w:rFonts w:ascii="Arial" w:cs="Arial" w:eastAsia="Arial" w:hAnsi="Arial"/>
          <w:sz w:val="36"/>
          <w:szCs w:val="36"/>
          <w:color w:val="auto"/>
          <w:vertAlign w:val="subscript"/>
        </w:rPr>
        <w:t>ve</w:t>
      </w:r>
      <w:r>
        <w:rPr>
          <w:rFonts w:ascii="Arial" w:cs="Arial" w:eastAsia="Arial" w:hAnsi="Arial"/>
          <w:sz w:val="18"/>
          <w:szCs w:val="18"/>
          <w:color w:val="auto"/>
        </w:rPr>
        <w:t xml:space="preserve"> the meaning set forth in the preamble hereto.</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“Initial Purchasers”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“Losses” shall have the meaning set forth in Section 7(d) hereof.</w:t>
      </w:r>
    </w:p>
    <w:p>
      <w:pPr>
        <w:spacing w:after="0" w:line="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“Majority Holders” </w:t>
      </w:r>
      <w:r>
        <w:rPr>
          <w:rFonts w:ascii="Arial" w:cs="Arial" w:eastAsia="Arial" w:hAnsi="Arial"/>
          <w:sz w:val="31"/>
          <w:szCs w:val="31"/>
          <w:color w:val="auto"/>
          <w:vertAlign w:val="subscript"/>
        </w:rPr>
        <w:t>shall</w:t>
      </w:r>
      <w:r>
        <w:rPr>
          <w:rFonts w:ascii="Arial" w:cs="Arial" w:eastAsia="Arial" w:hAnsi="Arial"/>
          <w:sz w:val="16"/>
          <w:szCs w:val="16"/>
          <w:color w:val="auto"/>
        </w:rPr>
        <w:t xml:space="preserve"> mean the Holders of a majority of the aggregate principal amount of Securities registered under a Registration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51" w:lineRule="exact"/>
        <w:rPr>
          <w:sz w:val="20"/>
          <w:szCs w:val="20"/>
          <w:color w:val="auto"/>
        </w:rPr>
      </w:pPr>
    </w:p>
    <w:p>
      <w:pPr>
        <w:ind w:right="520" w:firstLine="1297"/>
        <w:spacing w:after="0" w:line="281" w:lineRule="auto"/>
        <w:rPr>
          <w:sz w:val="20"/>
          <w:szCs w:val="20"/>
          <w:color w:val="auto"/>
        </w:rPr>
      </w:pPr>
      <w:r>
        <w:rPr>
          <w:rFonts w:ascii="Arial" w:cs="Arial" w:eastAsia="Arial" w:hAnsi="Arial"/>
          <w:sz w:val="18"/>
          <w:szCs w:val="18"/>
          <w:color w:val="auto"/>
        </w:rPr>
        <w:t xml:space="preserve">“Managing Underwriters”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mean the investment banker or investment bankers and manager or managers that shall administer an underwritten offering.</w:t>
      </w:r>
    </w:p>
    <w:p>
      <w:pPr>
        <w:spacing w:after="0" w:line="2" w:lineRule="exact"/>
        <w:rPr>
          <w:sz w:val="20"/>
          <w:szCs w:val="20"/>
          <w:color w:val="auto"/>
        </w:rPr>
      </w:pPr>
    </w:p>
    <w:p>
      <w:pPr>
        <w:ind w:right="380" w:firstLine="1297"/>
        <w:spacing w:after="0" w:line="218" w:lineRule="auto"/>
        <w:rPr>
          <w:sz w:val="20"/>
          <w:szCs w:val="20"/>
          <w:color w:val="auto"/>
        </w:rPr>
      </w:pPr>
      <w:r>
        <w:rPr>
          <w:rFonts w:ascii="Arial" w:cs="Arial" w:eastAsia="Arial" w:hAnsi="Arial"/>
          <w:sz w:val="18"/>
          <w:szCs w:val="18"/>
          <w:color w:val="auto"/>
        </w:rPr>
        <w:t xml:space="preserve">“New Securities”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mean debt securities of the Issuers identical in all material respects to the Securities (except that the interest rate step-up provisions and the transfer restrictions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be eliminated) and to be issued under the Indenture.</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“Prospectus” </w:t>
      </w:r>
      <w:r>
        <w:rPr>
          <w:rFonts w:ascii="Arial" w:cs="Arial" w:eastAsia="Arial" w:hAnsi="Arial"/>
          <w:sz w:val="31"/>
          <w:szCs w:val="31"/>
          <w:color w:val="auto"/>
          <w:vertAlign w:val="subscript"/>
        </w:rPr>
        <w:t>shall</w:t>
      </w:r>
      <w:r>
        <w:rPr>
          <w:rFonts w:ascii="Arial" w:cs="Arial" w:eastAsia="Arial" w:hAnsi="Arial"/>
          <w:sz w:val="16"/>
          <w:szCs w:val="16"/>
          <w:color w:val="auto"/>
        </w:rPr>
        <w:t xml:space="preserve"> mean the prospectus included in any Registration Statement (including, without limitation, a prospectus that discloses</w:t>
      </w:r>
    </w:p>
    <w:p>
      <w:pPr>
        <w:spacing w:after="0" w:line="11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 xml:space="preserve">information previously omitted from a prospectus filed as part of an effective registration statement in reliance upon Rule 430A under the Act), as amended or supplemented by any prospectus supplement, with respect to the terms of the offering of any portion of the Securities or the New Securities covered by such Registration Statement, and all amendments and supplements thereto </w:t>
      </w:r>
      <w:r>
        <w:rPr>
          <w:rFonts w:ascii="Arial" w:cs="Arial" w:eastAsia="Arial" w:hAnsi="Arial"/>
          <w:sz w:val="32"/>
          <w:szCs w:val="32"/>
          <w:color w:val="auto"/>
          <w:vertAlign w:val="subscript"/>
        </w:rPr>
        <w:t>and all material incorporated by reference therein</w:t>
      </w:r>
      <w:r>
        <w:rPr>
          <w:rFonts w:ascii="Arial" w:cs="Arial" w:eastAsia="Arial" w:hAnsi="Arial"/>
          <w:sz w:val="17"/>
          <w:szCs w:val="17"/>
          <w:color w:val="auto"/>
        </w:rPr>
        <w:t>.</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“Purchase Agreement” shall have the meaning set forth in the preamble hereto.</w:t>
      </w:r>
    </w:p>
    <w:p>
      <w:pPr>
        <w:spacing w:after="0" w:line="52" w:lineRule="exact"/>
        <w:rPr>
          <w:sz w:val="20"/>
          <w:szCs w:val="20"/>
          <w:color w:val="auto"/>
        </w:rPr>
      </w:pPr>
    </w:p>
    <w:p>
      <w:pPr>
        <w:jc w:val="both"/>
        <w:ind w:right="360" w:firstLine="1297"/>
        <w:spacing w:after="0" w:line="187" w:lineRule="auto"/>
        <w:rPr>
          <w:sz w:val="20"/>
          <w:szCs w:val="20"/>
          <w:color w:val="auto"/>
        </w:rPr>
      </w:pPr>
      <w:r>
        <w:rPr>
          <w:rFonts w:ascii="Arial" w:cs="Arial" w:eastAsia="Arial" w:hAnsi="Arial"/>
          <w:sz w:val="18"/>
          <w:szCs w:val="18"/>
          <w:color w:val="auto"/>
        </w:rPr>
        <w:t xml:space="preserve">“Registered Exchange Offer”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mean the proposed offer </w:t>
      </w:r>
      <w:r>
        <w:rPr>
          <w:rFonts w:ascii="Arial" w:cs="Arial" w:eastAsia="Arial" w:hAnsi="Arial"/>
          <w:sz w:val="36"/>
          <w:szCs w:val="36"/>
          <w:color w:val="auto"/>
          <w:vertAlign w:val="subscript"/>
        </w:rPr>
        <w:t>of the Issuers and the Guarantors</w:t>
      </w:r>
      <w:r>
        <w:rPr>
          <w:rFonts w:ascii="Arial" w:cs="Arial" w:eastAsia="Arial" w:hAnsi="Arial"/>
          <w:sz w:val="18"/>
          <w:szCs w:val="18"/>
          <w:color w:val="auto"/>
        </w:rPr>
        <w:t xml:space="preserve"> to </w:t>
      </w:r>
      <w:r>
        <w:rPr>
          <w:rFonts w:ascii="Arial" w:cs="Arial" w:eastAsia="Arial" w:hAnsi="Arial"/>
          <w:sz w:val="36"/>
          <w:szCs w:val="36"/>
          <w:color w:val="auto"/>
          <w:vertAlign w:val="subscript"/>
        </w:rPr>
        <w:t>issue and deliver to</w:t>
      </w:r>
      <w:r>
        <w:rPr>
          <w:rFonts w:ascii="Arial" w:cs="Arial" w:eastAsia="Arial" w:hAnsi="Arial"/>
          <w:sz w:val="18"/>
          <w:szCs w:val="18"/>
          <w:color w:val="auto"/>
        </w:rPr>
        <w:t xml:space="preserve"> the Holders </w:t>
      </w:r>
      <w:r>
        <w:rPr>
          <w:rFonts w:ascii="Arial" w:cs="Arial" w:eastAsia="Arial" w:hAnsi="Arial"/>
          <w:sz w:val="36"/>
          <w:szCs w:val="36"/>
          <w:color w:val="auto"/>
          <w:vertAlign w:val="subscript"/>
        </w:rPr>
        <w:t>of the</w:t>
      </w:r>
      <w:r>
        <w:rPr>
          <w:rFonts w:ascii="Arial" w:cs="Arial" w:eastAsia="Arial" w:hAnsi="Arial"/>
          <w:sz w:val="18"/>
          <w:szCs w:val="18"/>
          <w:color w:val="auto"/>
        </w:rPr>
        <w:t xml:space="preserve"> Securities that are not prohibited by any law or policy of the Commission from participating in such offer</w:t>
      </w:r>
      <w:r>
        <w:rPr>
          <w:rFonts w:ascii="Arial" w:cs="Arial" w:eastAsia="Arial" w:hAnsi="Arial"/>
          <w:sz w:val="36"/>
          <w:szCs w:val="36"/>
          <w:color w:val="auto"/>
          <w:vertAlign w:val="superscript"/>
        </w:rPr>
        <w:t>, in exchange for the Securities, a like</w:t>
      </w:r>
      <w:r>
        <w:rPr>
          <w:rFonts w:ascii="Arial" w:cs="Arial" w:eastAsia="Arial" w:hAnsi="Arial"/>
          <w:sz w:val="18"/>
          <w:szCs w:val="18"/>
          <w:color w:val="auto"/>
        </w:rPr>
        <w:t xml:space="preserve"> aggregate principal amount of the New Securities.</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“Registration Default” shall have the meaning set forth in Section 4(a) hereof.</w:t>
      </w:r>
    </w:p>
    <w:p>
      <w:pPr>
        <w:spacing w:after="0" w:line="52" w:lineRule="exact"/>
        <w:rPr>
          <w:sz w:val="20"/>
          <w:szCs w:val="20"/>
          <w:color w:val="auto"/>
        </w:rPr>
      </w:pPr>
    </w:p>
    <w:p>
      <w:pPr>
        <w:ind w:right="260" w:firstLine="1297"/>
        <w:spacing w:after="0" w:line="232" w:lineRule="auto"/>
        <w:rPr>
          <w:sz w:val="20"/>
          <w:szCs w:val="20"/>
          <w:color w:val="auto"/>
        </w:rPr>
      </w:pPr>
      <w:r>
        <w:rPr>
          <w:rFonts w:ascii="Arial" w:cs="Arial" w:eastAsia="Arial" w:hAnsi="Arial"/>
          <w:sz w:val="16"/>
          <w:szCs w:val="16"/>
          <w:color w:val="auto"/>
        </w:rPr>
        <w:t xml:space="preserve">“Registration Statement” </w:t>
      </w:r>
      <w:r>
        <w:rPr>
          <w:rFonts w:ascii="Arial" w:cs="Arial" w:eastAsia="Arial" w:hAnsi="Arial"/>
          <w:sz w:val="31"/>
          <w:szCs w:val="31"/>
          <w:color w:val="auto"/>
          <w:vertAlign w:val="subscript"/>
        </w:rPr>
        <w:t>shall</w:t>
      </w:r>
      <w:r>
        <w:rPr>
          <w:rFonts w:ascii="Arial" w:cs="Arial" w:eastAsia="Arial" w:hAnsi="Arial"/>
          <w:sz w:val="16"/>
          <w:szCs w:val="16"/>
          <w:color w:val="auto"/>
        </w:rPr>
        <w:t xml:space="preserve"> mean any Exchange Offer Registration Statement or Shelf Registration Statement that covers any of the Securities or the New Securities pursuant to the provisions of this Agreement, </w:t>
      </w:r>
      <w:r>
        <w:rPr>
          <w:rFonts w:ascii="Arial" w:cs="Arial" w:eastAsia="Arial" w:hAnsi="Arial"/>
          <w:sz w:val="31"/>
          <w:szCs w:val="31"/>
          <w:color w:val="auto"/>
          <w:vertAlign w:val="subscript"/>
        </w:rPr>
        <w:t>any</w:t>
      </w:r>
      <w:r>
        <w:rPr>
          <w:rFonts w:ascii="Arial" w:cs="Arial" w:eastAsia="Arial" w:hAnsi="Arial"/>
          <w:sz w:val="16"/>
          <w:szCs w:val="16"/>
          <w:color w:val="auto"/>
        </w:rPr>
        <w:t xml:space="preserve"> amendments and supplements to such registration statement, including post-effective amendments (in each case including the Prospectus contained therein</w:t>
      </w:r>
      <w:r>
        <w:rPr>
          <w:rFonts w:ascii="Arial" w:cs="Arial" w:eastAsia="Arial" w:hAnsi="Arial"/>
          <w:sz w:val="31"/>
          <w:szCs w:val="31"/>
          <w:color w:val="auto"/>
          <w:vertAlign w:val="subscript"/>
        </w:rPr>
        <w:t>)</w:t>
      </w:r>
      <w:r>
        <w:rPr>
          <w:rFonts w:ascii="Arial" w:cs="Arial" w:eastAsia="Arial" w:hAnsi="Arial"/>
          <w:sz w:val="16"/>
          <w:szCs w:val="16"/>
          <w:color w:val="auto"/>
        </w:rPr>
        <w:t>, all exhibits thereto and all material incorporated by reference therein.</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ha</w:t>
      </w:r>
      <w:r>
        <w:rPr>
          <w:rFonts w:ascii="Arial" w:cs="Arial" w:eastAsia="Arial" w:hAnsi="Arial"/>
          <w:sz w:val="36"/>
          <w:szCs w:val="36"/>
          <w:color w:val="auto"/>
          <w:vertAlign w:val="subscript"/>
        </w:rPr>
        <w:t>ve</w:t>
      </w:r>
      <w:r>
        <w:rPr>
          <w:rFonts w:ascii="Arial" w:cs="Arial" w:eastAsia="Arial" w:hAnsi="Arial"/>
          <w:sz w:val="18"/>
          <w:szCs w:val="18"/>
          <w:color w:val="auto"/>
        </w:rPr>
        <w:t xml:space="preserve"> the meaning set forth in the preamble hereto.</w:t>
      </w:r>
    </w:p>
    <w:p>
      <w:pPr>
        <w:sectPr>
          <w:pgSz w:w="11900" w:h="16838" w:orient="portrait"/>
          <w:cols w:equalWidth="0" w:num="1">
            <w:col w:w="11420"/>
          </w:cols>
          <w:pgMar w:left="240" w:top="125" w:right="239" w:bottom="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4763"/>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2" w:name="page33"/>
    <w:bookmarkEnd w:id="32"/>
    <w:p>
      <w:pPr>
        <w:ind w:left="1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10795"/>
                    </a:xfrm>
                    <a:prstGeom prst="rect">
                      <a:avLst/>
                    </a:prstGeom>
                    <a:noFill/>
                  </pic:spPr>
                </pic:pic>
              </a:graphicData>
            </a:graphic>
          </wp:anchor>
        </w:drawing>
        <w:t xml:space="preserve">“Shelf Registration”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mean a registration effected pursuant to Section 3 hereof.</w:t>
      </w:r>
    </w:p>
    <w:p>
      <w:pPr>
        <w:spacing w:after="0" w:line="25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“Shelf Registration Period” has the meaning set forth in Section 3(b) hereof.</w:t>
      </w:r>
    </w:p>
    <w:p>
      <w:pPr>
        <w:spacing w:after="0" w:line="52" w:lineRule="exact"/>
        <w:rPr>
          <w:sz w:val="20"/>
          <w:szCs w:val="20"/>
          <w:color w:val="auto"/>
        </w:rPr>
      </w:pPr>
    </w:p>
    <w:p>
      <w:pPr>
        <w:ind w:right="220" w:firstLine="1297"/>
        <w:spacing w:after="0" w:line="313" w:lineRule="auto"/>
        <w:rPr>
          <w:sz w:val="20"/>
          <w:szCs w:val="20"/>
          <w:color w:val="auto"/>
        </w:rPr>
      </w:pPr>
      <w:r>
        <w:rPr>
          <w:rFonts w:ascii="Arial" w:cs="Arial" w:eastAsia="Arial" w:hAnsi="Arial"/>
          <w:sz w:val="16"/>
          <w:szCs w:val="16"/>
          <w:color w:val="auto"/>
        </w:rPr>
        <w:t xml:space="preserve">“Shelf Registration Statement” </w:t>
      </w:r>
      <w:r>
        <w:rPr>
          <w:rFonts w:ascii="Arial" w:cs="Arial" w:eastAsia="Arial" w:hAnsi="Arial"/>
          <w:sz w:val="31"/>
          <w:szCs w:val="31"/>
          <w:color w:val="auto"/>
          <w:vertAlign w:val="subscript"/>
        </w:rPr>
        <w:t>shall</w:t>
      </w:r>
      <w:r>
        <w:rPr>
          <w:rFonts w:ascii="Arial" w:cs="Arial" w:eastAsia="Arial" w:hAnsi="Arial"/>
          <w:sz w:val="16"/>
          <w:szCs w:val="16"/>
          <w:color w:val="auto"/>
        </w:rPr>
        <w:t xml:space="preserve"> mean a “shelf” registration statement of 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pursuant to the provisions of Section 3 hereof which covers some or all of the Securities or New Securities, as applicable,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“Trustee”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mean the trustee with respect to the Securities </w:t>
      </w:r>
      <w:r>
        <w:rPr>
          <w:rFonts w:ascii="Arial" w:cs="Arial" w:eastAsia="Arial" w:hAnsi="Arial"/>
          <w:sz w:val="36"/>
          <w:szCs w:val="36"/>
          <w:color w:val="auto"/>
          <w:vertAlign w:val="subscript"/>
        </w:rPr>
        <w:t>and the New Securities</w:t>
      </w:r>
      <w:r>
        <w:rPr>
          <w:rFonts w:ascii="Arial" w:cs="Arial" w:eastAsia="Arial" w:hAnsi="Arial"/>
          <w:sz w:val="18"/>
          <w:szCs w:val="18"/>
          <w:color w:val="auto"/>
        </w:rPr>
        <w:t xml:space="preserve"> under the Indenture.</w:t>
      </w:r>
    </w:p>
    <w:p>
      <w:pPr>
        <w:spacing w:after="0" w:line="25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“Trust Indenture Act” shall mean the Trust Indenture Act of 1939, as amended from time to time.</w:t>
      </w:r>
    </w:p>
    <w:p>
      <w:pPr>
        <w:spacing w:after="0" w:line="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“underwriter” </w:t>
      </w:r>
      <w:r>
        <w:rPr>
          <w:rFonts w:ascii="Arial" w:cs="Arial" w:eastAsia="Arial" w:hAnsi="Arial"/>
          <w:sz w:val="34"/>
          <w:szCs w:val="34"/>
          <w:color w:val="auto"/>
          <w:vertAlign w:val="subscript"/>
        </w:rPr>
        <w:t>shall</w:t>
      </w:r>
      <w:r>
        <w:rPr>
          <w:rFonts w:ascii="Arial" w:cs="Arial" w:eastAsia="Arial" w:hAnsi="Arial"/>
          <w:sz w:val="17"/>
          <w:szCs w:val="17"/>
          <w:color w:val="auto"/>
        </w:rPr>
        <w:t xml:space="preserve"> mean any underwriter of Securities in connection with an offering thereof under a Shelf Registration Statement.</w:t>
      </w:r>
    </w:p>
    <w:p>
      <w:pPr>
        <w:spacing w:after="0" w:line="282" w:lineRule="exact"/>
        <w:rPr>
          <w:sz w:val="20"/>
          <w:szCs w:val="20"/>
          <w:color w:val="auto"/>
        </w:rPr>
      </w:pPr>
    </w:p>
    <w:p>
      <w:pPr>
        <w:ind w:right="20" w:firstLine="1305"/>
        <w:spacing w:after="0" w:line="214" w:lineRule="auto"/>
        <w:tabs>
          <w:tab w:leader="none" w:pos="2017" w:val="left"/>
        </w:tabs>
        <w:numPr>
          <w:ilvl w:val="0"/>
          <w:numId w:val="62"/>
        </w:numPr>
        <w:rPr>
          <w:rFonts w:ascii="Arial" w:cs="Arial" w:eastAsia="Arial" w:hAnsi="Arial"/>
          <w:sz w:val="15"/>
          <w:szCs w:val="15"/>
          <w:color w:val="auto"/>
        </w:rPr>
      </w:pPr>
      <w:r>
        <w:rPr>
          <w:rFonts w:ascii="Arial" w:cs="Arial" w:eastAsia="Arial" w:hAnsi="Arial"/>
          <w:sz w:val="28"/>
          <w:szCs w:val="28"/>
          <w:u w:val="single" w:color="auto"/>
          <w:color w:val="auto"/>
          <w:vertAlign w:val="superscript"/>
        </w:rPr>
        <w:t>Registered Exchange Offer</w:t>
      </w:r>
      <w:r>
        <w:rPr>
          <w:rFonts w:ascii="Arial" w:cs="Arial" w:eastAsia="Arial" w:hAnsi="Arial"/>
          <w:sz w:val="15"/>
          <w:szCs w:val="15"/>
          <w:color w:val="auto"/>
        </w:rPr>
        <w:t>. (a) Except as set forth in Section 3, t</w:t>
      </w:r>
      <w:r>
        <w:rPr>
          <w:rFonts w:ascii="Arial" w:cs="Arial" w:eastAsia="Arial" w:hAnsi="Arial"/>
          <w:sz w:val="28"/>
          <w:szCs w:val="28"/>
          <w:color w:val="auto"/>
          <w:vertAlign w:val="superscript"/>
        </w:rPr>
        <w:t>he Issuers</w:t>
      </w:r>
      <w:r>
        <w:rPr>
          <w:rFonts w:ascii="Arial" w:cs="Arial" w:eastAsia="Arial" w:hAnsi="Arial"/>
          <w:sz w:val="15"/>
          <w:szCs w:val="15"/>
          <w:color w:val="auto"/>
        </w:rPr>
        <w:t xml:space="preserve"> and the Guarantors </w:t>
      </w:r>
      <w:r>
        <w:rPr>
          <w:rFonts w:ascii="Arial" w:cs="Arial" w:eastAsia="Arial" w:hAnsi="Arial"/>
          <w:sz w:val="28"/>
          <w:szCs w:val="28"/>
          <w:color w:val="auto"/>
          <w:vertAlign w:val="superscript"/>
        </w:rPr>
        <w:t>shall prepare and</w:t>
      </w:r>
      <w:r>
        <w:rPr>
          <w:rFonts w:ascii="Arial" w:cs="Arial" w:eastAsia="Arial" w:hAnsi="Arial"/>
          <w:sz w:val="15"/>
          <w:szCs w:val="15"/>
          <w:color w:val="auto"/>
        </w:rPr>
        <w:t xml:space="preserve"> shall use their reasonable best efforts to file with the Commission the Exchange Offer Registration Statement with respect to the Registered Exchange Offer</w:t>
      </w:r>
      <w:r>
        <w:rPr>
          <w:rFonts w:ascii="Arial" w:cs="Arial" w:eastAsia="Arial" w:hAnsi="Arial"/>
          <w:sz w:val="28"/>
          <w:szCs w:val="28"/>
          <w:color w:val="auto"/>
          <w:vertAlign w:val="superscript"/>
        </w:rPr>
        <w:t>, not later than</w:t>
      </w:r>
      <w:r>
        <w:rPr>
          <w:rFonts w:ascii="Arial" w:cs="Arial" w:eastAsia="Arial" w:hAnsi="Arial"/>
          <w:sz w:val="15"/>
          <w:szCs w:val="15"/>
          <w:color w:val="auto"/>
        </w:rPr>
        <w:t xml:space="preserve"> 120 </w:t>
      </w:r>
      <w:r>
        <w:rPr>
          <w:rFonts w:ascii="Arial" w:cs="Arial" w:eastAsia="Arial" w:hAnsi="Arial"/>
          <w:sz w:val="28"/>
          <w:szCs w:val="28"/>
          <w:color w:val="auto"/>
          <w:vertAlign w:val="superscript"/>
        </w:rPr>
        <w:t>days following the date</w:t>
      </w:r>
      <w:r>
        <w:rPr>
          <w:rFonts w:ascii="Arial" w:cs="Arial" w:eastAsia="Arial" w:hAnsi="Arial"/>
          <w:sz w:val="15"/>
          <w:szCs w:val="15"/>
          <w:color w:val="auto"/>
        </w:rPr>
        <w:t xml:space="preserve"> of the original issuance of the Securities (or if such 120th day is not a Business Day, the next succeeding Business Day)</w:t>
      </w:r>
      <w:r>
        <w:rPr>
          <w:rFonts w:ascii="Arial" w:cs="Arial" w:eastAsia="Arial" w:hAnsi="Arial"/>
          <w:sz w:val="28"/>
          <w:szCs w:val="28"/>
          <w:color w:val="auto"/>
          <w:vertAlign w:val="superscript"/>
        </w:rPr>
        <w:t>. The</w:t>
      </w:r>
      <w:r>
        <w:rPr>
          <w:rFonts w:ascii="Arial" w:cs="Arial" w:eastAsia="Arial" w:hAnsi="Arial"/>
          <w:sz w:val="15"/>
          <w:szCs w:val="15"/>
          <w:color w:val="auto"/>
        </w:rPr>
        <w:t xml:space="preserve"> Issuers </w:t>
      </w:r>
      <w:r>
        <w:rPr>
          <w:rFonts w:ascii="Arial" w:cs="Arial" w:eastAsia="Arial" w:hAnsi="Arial"/>
          <w:sz w:val="28"/>
          <w:szCs w:val="28"/>
          <w:color w:val="auto"/>
          <w:vertAlign w:val="subscript"/>
        </w:rPr>
        <w:t>and the Guarantors</w:t>
      </w:r>
      <w:r>
        <w:rPr>
          <w:rFonts w:ascii="Arial" w:cs="Arial" w:eastAsia="Arial" w:hAnsi="Arial"/>
          <w:sz w:val="15"/>
          <w:szCs w:val="15"/>
          <w:color w:val="auto"/>
        </w:rPr>
        <w:t xml:space="preserve"> shall use their </w:t>
      </w:r>
      <w:r>
        <w:rPr>
          <w:rFonts w:ascii="Arial" w:cs="Arial" w:eastAsia="Arial" w:hAnsi="Arial"/>
          <w:sz w:val="28"/>
          <w:szCs w:val="28"/>
          <w:color w:val="auto"/>
          <w:vertAlign w:val="subscript"/>
        </w:rPr>
        <w:t>reasonable</w:t>
      </w:r>
      <w:r>
        <w:rPr>
          <w:rFonts w:ascii="Arial" w:cs="Arial" w:eastAsia="Arial" w:hAnsi="Arial"/>
          <w:sz w:val="15"/>
          <w:szCs w:val="15"/>
          <w:color w:val="auto"/>
        </w:rPr>
        <w:t xml:space="preserve"> best efforts to cause the Exchange Offer Registration Statement to become effective under the Act within</w:t>
      </w:r>
    </w:p>
    <w:p>
      <w:pPr>
        <w:ind w:right="240"/>
        <w:spacing w:after="0" w:line="204"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34"/>
          <w:szCs w:val="34"/>
          <w:color w:val="auto"/>
          <w:vertAlign w:val="superscript"/>
        </w:rPr>
        <w:t>days of the</w:t>
      </w:r>
      <w:r>
        <w:rPr>
          <w:rFonts w:ascii="Arial" w:cs="Arial" w:eastAsia="Arial" w:hAnsi="Arial"/>
          <w:sz w:val="17"/>
          <w:szCs w:val="17"/>
          <w:color w:val="auto"/>
        </w:rPr>
        <w:t xml:space="preserve"> date of the original issuance of the Securities and to consummate the Registered Exchange Offer within 240 days of the date of the original issuance of the Securities (if such 210th or 240th day is not a Business Day, the next succeeding Business Day, as applicable).</w:t>
      </w:r>
    </w:p>
    <w:p>
      <w:pPr>
        <w:spacing w:after="0" w:line="30" w:lineRule="exact"/>
        <w:rPr>
          <w:sz w:val="20"/>
          <w:szCs w:val="20"/>
          <w:color w:val="auto"/>
        </w:rPr>
      </w:pPr>
    </w:p>
    <w:p>
      <w:pPr>
        <w:ind w:right="240" w:firstLine="1305"/>
        <w:spacing w:after="0" w:line="333" w:lineRule="auto"/>
        <w:tabs>
          <w:tab w:leader="none" w:pos="1991"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Upon the effectiveness of the Exchange Offer Registration Statement, the Issuers </w:t>
      </w:r>
      <w:r>
        <w:rPr>
          <w:rFonts w:ascii="Arial" w:cs="Arial" w:eastAsia="Arial" w:hAnsi="Arial"/>
          <w:sz w:val="28"/>
          <w:szCs w:val="28"/>
          <w:color w:val="auto"/>
          <w:vertAlign w:val="subscript"/>
        </w:rPr>
        <w:t>and the Guarantors</w:t>
      </w:r>
      <w:r>
        <w:rPr>
          <w:rFonts w:ascii="Arial" w:cs="Arial" w:eastAsia="Arial" w:hAnsi="Arial"/>
          <w:sz w:val="15"/>
          <w:szCs w:val="15"/>
          <w:color w:val="auto"/>
        </w:rPr>
        <w:t xml:space="preserve"> shall promptly commence the Registered Exchange Offer, it being the objective of such Registered Exchange Offer to enable each Holder electing to exchange Securities for New</w:t>
      </w:r>
    </w:p>
    <w:p>
      <w:pPr>
        <w:spacing w:after="0" w:line="1" w:lineRule="exact"/>
        <w:rPr>
          <w:sz w:val="20"/>
          <w:szCs w:val="20"/>
          <w:color w:val="auto"/>
        </w:rPr>
      </w:pPr>
    </w:p>
    <w:p>
      <w:pPr>
        <w:ind w:right="100"/>
        <w:spacing w:after="0" w:line="227" w:lineRule="auto"/>
        <w:rPr>
          <w:sz w:val="20"/>
          <w:szCs w:val="20"/>
          <w:color w:val="auto"/>
        </w:rPr>
      </w:pPr>
      <w:r>
        <w:rPr>
          <w:rFonts w:ascii="Arial" w:cs="Arial" w:eastAsia="Arial" w:hAnsi="Arial"/>
          <w:sz w:val="15"/>
          <w:szCs w:val="15"/>
          <w:color w:val="auto"/>
        </w:rPr>
        <w:t xml:space="preserve">Securities (assuming that such Holder is not an Affiliate of the Issuers </w:t>
      </w:r>
      <w:r>
        <w:rPr>
          <w:rFonts w:ascii="Arial" w:cs="Arial" w:eastAsia="Arial" w:hAnsi="Arial"/>
          <w:sz w:val="28"/>
          <w:szCs w:val="28"/>
          <w:color w:val="auto"/>
          <w:vertAlign w:val="subscript"/>
        </w:rPr>
        <w:t>or the Guarantors</w:t>
      </w:r>
      <w:r>
        <w:rPr>
          <w:rFonts w:ascii="Arial" w:cs="Arial" w:eastAsia="Arial" w:hAnsi="Arial"/>
          <w:sz w:val="15"/>
          <w:szCs w:val="15"/>
          <w:color w:val="auto"/>
        </w:rPr>
        <w:t>, acquires the New Securities in the ord</w:t>
      </w:r>
      <w:r>
        <w:rPr>
          <w:rFonts w:ascii="Arial" w:cs="Arial" w:eastAsia="Arial" w:hAnsi="Arial"/>
          <w:sz w:val="28"/>
          <w:szCs w:val="28"/>
          <w:color w:val="auto"/>
          <w:vertAlign w:val="subscript"/>
        </w:rPr>
        <w:t>inary</w:t>
      </w:r>
      <w:r>
        <w:rPr>
          <w:rFonts w:ascii="Arial" w:cs="Arial" w:eastAsia="Arial" w:hAnsi="Arial"/>
          <w:sz w:val="15"/>
          <w:szCs w:val="15"/>
          <w:color w:val="auto"/>
        </w:rPr>
        <w:t xml:space="preserve"> course of such Holder’s business, has no arrangements with any Person to participate in the distribution of the New Securities </w:t>
      </w:r>
      <w:r>
        <w:rPr>
          <w:rFonts w:ascii="Arial" w:cs="Arial" w:eastAsia="Arial" w:hAnsi="Arial"/>
          <w:sz w:val="28"/>
          <w:szCs w:val="28"/>
          <w:color w:val="auto"/>
          <w:vertAlign w:val="subscript"/>
        </w:rPr>
        <w:t>and is not prohibited by any law or policy of the</w:t>
      </w:r>
      <w:r>
        <w:rPr>
          <w:rFonts w:ascii="Arial" w:cs="Arial" w:eastAsia="Arial" w:hAnsi="Arial"/>
          <w:sz w:val="15"/>
          <w:szCs w:val="15"/>
          <w:color w:val="auto"/>
        </w:rPr>
        <w:t xml:space="preserve"> </w:t>
      </w:r>
      <w:r>
        <w:rPr>
          <w:rFonts w:ascii="Arial" w:cs="Arial" w:eastAsia="Arial" w:hAnsi="Arial"/>
          <w:sz w:val="28"/>
          <w:szCs w:val="28"/>
          <w:color w:val="auto"/>
          <w:vertAlign w:val="subscript"/>
        </w:rPr>
        <w:t>Commission from participating in the Registered Exchange Offer</w:t>
      </w:r>
      <w:r>
        <w:rPr>
          <w:rFonts w:ascii="Arial" w:cs="Arial" w:eastAsia="Arial" w:hAnsi="Arial"/>
          <w:sz w:val="15"/>
          <w:szCs w:val="15"/>
          <w:color w:val="auto"/>
        </w:rPr>
        <w:t>) to trade such New Securities from and after their receipt without any limitations or restrictions under the Act and without material restrictions under the securities laws of a substantial proportion of the several states of the United States.</w:t>
      </w:r>
    </w:p>
    <w:p>
      <w:pPr>
        <w:spacing w:after="0" w:line="46" w:lineRule="exact"/>
        <w:rPr>
          <w:sz w:val="20"/>
          <w:szCs w:val="20"/>
          <w:color w:val="auto"/>
        </w:rPr>
      </w:pPr>
    </w:p>
    <w:p>
      <w:pPr>
        <w:ind w:left="5660" w:right="3080" w:hanging="4355"/>
        <w:spacing w:after="0" w:line="283" w:lineRule="auto"/>
        <w:tabs>
          <w:tab w:leader="none" w:pos="2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In connection with the Registered Exchange Offer, 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shall: 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60" w:right="180" w:firstLine="1293"/>
        <w:spacing w:after="0" w:line="322" w:lineRule="auto"/>
        <w:tabs>
          <w:tab w:leader="none" w:pos="2666" w:val="left"/>
        </w:tabs>
        <w:numPr>
          <w:ilvl w:val="1"/>
          <w:numId w:val="64"/>
        </w:numPr>
        <w:rPr>
          <w:rFonts w:ascii="Arial" w:cs="Arial" w:eastAsia="Arial" w:hAnsi="Arial"/>
          <w:sz w:val="18"/>
          <w:szCs w:val="18"/>
          <w:color w:val="auto"/>
        </w:rPr>
      </w:pPr>
      <w:r>
        <w:rPr>
          <w:rFonts w:ascii="Arial" w:cs="Arial" w:eastAsia="Arial" w:hAnsi="Arial"/>
          <w:sz w:val="18"/>
          <w:szCs w:val="18"/>
          <w:color w:val="auto"/>
        </w:rPr>
        <w:t>mail to each Holder a copy of the Prospectus forming part of the Exchange Offer Registration Statement, together with an appropriate letter of transmittal and related documents;</w:t>
      </w:r>
    </w:p>
    <w:p>
      <w:pPr>
        <w:ind w:left="660" w:right="40" w:firstLine="1293"/>
        <w:spacing w:after="0" w:line="218" w:lineRule="auto"/>
        <w:tabs>
          <w:tab w:leader="none" w:pos="2671"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keep the Registered Exchange Offer open for not less than </w:t>
      </w:r>
      <w:r>
        <w:rPr>
          <w:rFonts w:ascii="Arial" w:cs="Arial" w:eastAsia="Arial" w:hAnsi="Arial"/>
          <w:sz w:val="36"/>
          <w:szCs w:val="36"/>
          <w:color w:val="auto"/>
          <w:vertAlign w:val="subscript"/>
        </w:rPr>
        <w:t>20 Business Days after the date the notice thereof is mailed to</w:t>
      </w:r>
      <w:r>
        <w:rPr>
          <w:rFonts w:ascii="Arial" w:cs="Arial" w:eastAsia="Arial" w:hAnsi="Arial"/>
          <w:sz w:val="18"/>
          <w:szCs w:val="18"/>
          <w:color w:val="auto"/>
        </w:rPr>
        <w:t xml:space="preserve"> </w:t>
      </w:r>
      <w:r>
        <w:rPr>
          <w:rFonts w:ascii="Arial" w:cs="Arial" w:eastAsia="Arial" w:hAnsi="Arial"/>
          <w:sz w:val="36"/>
          <w:szCs w:val="36"/>
          <w:color w:val="auto"/>
          <w:vertAlign w:val="subscript"/>
        </w:rPr>
        <w:t>the Holders</w:t>
      </w:r>
      <w:r>
        <w:rPr>
          <w:rFonts w:ascii="Arial" w:cs="Arial" w:eastAsia="Arial" w:hAnsi="Arial"/>
          <w:sz w:val="18"/>
          <w:szCs w:val="18"/>
          <w:color w:val="auto"/>
        </w:rPr>
        <w:t xml:space="preserve"> (or</w:t>
      </w:r>
      <w:r>
        <w:rPr>
          <w:rFonts w:ascii="Arial" w:cs="Arial" w:eastAsia="Arial" w:hAnsi="Arial"/>
          <w:sz w:val="36"/>
          <w:szCs w:val="36"/>
          <w:color w:val="auto"/>
          <w:vertAlign w:val="subscript"/>
        </w:rPr>
        <w:t>, in each case,</w:t>
      </w:r>
      <w:r>
        <w:rPr>
          <w:rFonts w:ascii="Arial" w:cs="Arial" w:eastAsia="Arial" w:hAnsi="Arial"/>
          <w:sz w:val="18"/>
          <w:szCs w:val="18"/>
          <w:color w:val="auto"/>
        </w:rPr>
        <w:t xml:space="preserve"> longer if required by applicable law);</w:t>
      </w:r>
    </w:p>
    <w:p>
      <w:pPr>
        <w:spacing w:after="0" w:line="31" w:lineRule="exact"/>
        <w:rPr>
          <w:rFonts w:ascii="Arial" w:cs="Arial" w:eastAsia="Arial" w:hAnsi="Arial"/>
          <w:sz w:val="18"/>
          <w:szCs w:val="18"/>
          <w:color w:val="auto"/>
        </w:rPr>
      </w:pPr>
    </w:p>
    <w:p>
      <w:pPr>
        <w:ind w:left="2680" w:hanging="727"/>
        <w:spacing w:after="0"/>
        <w:tabs>
          <w:tab w:leader="none" w:pos="2680" w:val="left"/>
        </w:tabs>
        <w:numPr>
          <w:ilvl w:val="1"/>
          <w:numId w:val="64"/>
        </w:numPr>
        <w:rPr>
          <w:rFonts w:ascii="Arial" w:cs="Arial" w:eastAsia="Arial" w:hAnsi="Arial"/>
          <w:sz w:val="28"/>
          <w:szCs w:val="28"/>
          <w:color w:val="auto"/>
          <w:vertAlign w:val="subscript"/>
        </w:rPr>
      </w:pPr>
      <w:r>
        <w:rPr>
          <w:rFonts w:ascii="Arial" w:cs="Arial" w:eastAsia="Arial" w:hAnsi="Arial"/>
          <w:sz w:val="15"/>
          <w:szCs w:val="15"/>
          <w:color w:val="auto"/>
        </w:rPr>
        <w:t xml:space="preserve">use their reasonable </w:t>
      </w:r>
      <w:r>
        <w:rPr>
          <w:rFonts w:ascii="Arial" w:cs="Arial" w:eastAsia="Arial" w:hAnsi="Arial"/>
          <w:sz w:val="28"/>
          <w:szCs w:val="28"/>
          <w:color w:val="auto"/>
          <w:vertAlign w:val="subscript"/>
        </w:rPr>
        <w:t>best</w:t>
      </w:r>
      <w:r>
        <w:rPr>
          <w:rFonts w:ascii="Arial" w:cs="Arial" w:eastAsia="Arial" w:hAnsi="Arial"/>
          <w:sz w:val="15"/>
          <w:szCs w:val="15"/>
          <w:color w:val="auto"/>
        </w:rPr>
        <w:t xml:space="preserve"> efforts to keep the Exchange Offer Registration Statement continuously effective </w:t>
      </w:r>
      <w:r>
        <w:rPr>
          <w:rFonts w:ascii="Arial" w:cs="Arial" w:eastAsia="Arial" w:hAnsi="Arial"/>
          <w:sz w:val="28"/>
          <w:szCs w:val="28"/>
          <w:color w:val="auto"/>
          <w:vertAlign w:val="subscript"/>
        </w:rPr>
        <w:t>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-1424940</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29" w:lineRule="exact"/>
        <w:rPr>
          <w:sz w:val="20"/>
          <w:szCs w:val="20"/>
          <w:color w:val="auto"/>
        </w:rPr>
      </w:pPr>
    </w:p>
    <w:p>
      <w:pPr>
        <w:ind w:left="660" w:right="380"/>
        <w:spacing w:after="0" w:line="193" w:lineRule="auto"/>
        <w:rPr>
          <w:sz w:val="20"/>
          <w:szCs w:val="20"/>
          <w:color w:val="auto"/>
        </w:rPr>
      </w:pPr>
      <w:r>
        <w:rPr>
          <w:rFonts w:ascii="Arial" w:cs="Arial" w:eastAsia="Arial" w:hAnsi="Arial"/>
          <w:sz w:val="18"/>
          <w:szCs w:val="18"/>
          <w:color w:val="auto"/>
        </w:rPr>
        <w:t xml:space="preserve">supplemented and amended as required </w:t>
      </w:r>
      <w:r>
        <w:rPr>
          <w:rFonts w:ascii="Arial" w:cs="Arial" w:eastAsia="Arial" w:hAnsi="Arial"/>
          <w:sz w:val="36"/>
          <w:szCs w:val="36"/>
          <w:color w:val="auto"/>
          <w:vertAlign w:val="superscript"/>
        </w:rPr>
        <w:t>under the Act</w:t>
      </w:r>
      <w:r>
        <w:rPr>
          <w:rFonts w:ascii="Arial" w:cs="Arial" w:eastAsia="Arial" w:hAnsi="Arial"/>
          <w:sz w:val="18"/>
          <w:szCs w:val="18"/>
          <w:color w:val="auto"/>
        </w:rPr>
        <w:t xml:space="preserve"> to ensure that it is available for sales of New Securities by Exchanging Dealers during the Exchange Offer Registration Period;</w:t>
      </w:r>
    </w:p>
    <w:p>
      <w:pPr>
        <w:spacing w:after="0" w:line="29" w:lineRule="exact"/>
        <w:rPr>
          <w:sz w:val="20"/>
          <w:szCs w:val="20"/>
          <w:color w:val="auto"/>
        </w:rPr>
      </w:pPr>
    </w:p>
    <w:p>
      <w:pPr>
        <w:ind w:left="660" w:right="60" w:firstLine="1293"/>
        <w:spacing w:after="0" w:line="277" w:lineRule="auto"/>
        <w:tabs>
          <w:tab w:leader="none" w:pos="2666"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utilize the services of a </w:t>
      </w:r>
      <w:r>
        <w:rPr>
          <w:rFonts w:ascii="Arial" w:cs="Arial" w:eastAsia="Arial" w:hAnsi="Arial"/>
          <w:sz w:val="36"/>
          <w:szCs w:val="36"/>
          <w:color w:val="auto"/>
          <w:vertAlign w:val="subscript"/>
        </w:rPr>
        <w:t>bank</w:t>
      </w:r>
      <w:r>
        <w:rPr>
          <w:rFonts w:ascii="Arial" w:cs="Arial" w:eastAsia="Arial" w:hAnsi="Arial"/>
          <w:sz w:val="18"/>
          <w:szCs w:val="18"/>
          <w:color w:val="auto"/>
        </w:rPr>
        <w:t xml:space="preserve"> depositary for the Registered Exchange Offer with an address in the Borough of Manhattan in </w:t>
      </w:r>
      <w:r>
        <w:rPr>
          <w:rFonts w:ascii="Arial" w:cs="Arial" w:eastAsia="Arial" w:hAnsi="Arial"/>
          <w:sz w:val="36"/>
          <w:szCs w:val="36"/>
          <w:color w:val="auto"/>
          <w:vertAlign w:val="superscript"/>
        </w:rPr>
        <w:t>New York</w:t>
      </w:r>
      <w:r>
        <w:rPr>
          <w:rFonts w:ascii="Arial" w:cs="Arial" w:eastAsia="Arial" w:hAnsi="Arial"/>
          <w:sz w:val="18"/>
          <w:szCs w:val="18"/>
          <w:color w:val="auto"/>
        </w:rPr>
        <w:t xml:space="preserve"> City, which may be the Trustee or an Affiliate of the Trustee</w:t>
      </w:r>
      <w:r>
        <w:rPr>
          <w:rFonts w:ascii="Arial" w:cs="Arial" w:eastAsia="Arial" w:hAnsi="Arial"/>
          <w:sz w:val="36"/>
          <w:szCs w:val="36"/>
          <w:color w:val="auto"/>
          <w:vertAlign w:val="superscript"/>
        </w:rPr>
        <w:t>;</w:t>
      </w:r>
    </w:p>
    <w:p>
      <w:pPr>
        <w:ind w:left="660" w:right="360" w:firstLine="1293"/>
        <w:spacing w:after="0" w:line="277" w:lineRule="auto"/>
        <w:tabs>
          <w:tab w:leader="none" w:pos="2661" w:val="left"/>
        </w:tabs>
        <w:numPr>
          <w:ilvl w:val="1"/>
          <w:numId w:val="65"/>
        </w:numPr>
        <w:rPr>
          <w:rFonts w:ascii="Arial" w:cs="Arial" w:eastAsia="Arial" w:hAnsi="Arial"/>
          <w:sz w:val="18"/>
          <w:szCs w:val="18"/>
          <w:color w:val="auto"/>
        </w:rPr>
      </w:pPr>
      <w:r>
        <w:rPr>
          <w:rFonts w:ascii="Arial" w:cs="Arial" w:eastAsia="Arial" w:hAnsi="Arial"/>
          <w:sz w:val="18"/>
          <w:szCs w:val="18"/>
          <w:color w:val="auto"/>
        </w:rPr>
        <w:t>permit Holders to withdraw tendered Securities at any time prior to the close of business, New York time, on the last Business Day on which the Registered Exchange Offer is open;</w:t>
      </w:r>
    </w:p>
    <w:p>
      <w:pPr>
        <w:spacing w:after="0" w:line="170" w:lineRule="exact"/>
        <w:rPr>
          <w:rFonts w:ascii="Arial" w:cs="Arial" w:eastAsia="Arial" w:hAnsi="Arial"/>
          <w:sz w:val="18"/>
          <w:szCs w:val="18"/>
          <w:color w:val="auto"/>
        </w:rPr>
      </w:pPr>
    </w:p>
    <w:p>
      <w:pPr>
        <w:ind w:left="660" w:firstLine="1293"/>
        <w:spacing w:after="0" w:line="245" w:lineRule="auto"/>
        <w:tabs>
          <w:tab w:leader="none" w:pos="2666"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prior to effectiveness of the Exchange </w:t>
      </w:r>
      <w:r>
        <w:rPr>
          <w:rFonts w:ascii="Arial" w:cs="Arial" w:eastAsia="Arial" w:hAnsi="Arial"/>
          <w:sz w:val="34"/>
          <w:szCs w:val="34"/>
          <w:color w:val="auto"/>
          <w:vertAlign w:val="superscript"/>
        </w:rPr>
        <w:t>Offer</w:t>
      </w:r>
      <w:r>
        <w:rPr>
          <w:rFonts w:ascii="Arial" w:cs="Arial" w:eastAsia="Arial" w:hAnsi="Arial"/>
          <w:sz w:val="17"/>
          <w:szCs w:val="17"/>
          <w:color w:val="auto"/>
        </w:rPr>
        <w:t xml:space="preserve"> Registration Statement, provide a supplemental letter to the Commission (A) stating that the Issuers and the Guarantors are conducting the Registered Exchange Offer in reliance on the position of the Commission in </w:t>
      </w:r>
      <w:r>
        <w:rPr>
          <w:rFonts w:ascii="Arial" w:cs="Arial" w:eastAsia="Arial" w:hAnsi="Arial"/>
          <w:sz w:val="17"/>
          <w:szCs w:val="17"/>
          <w:u w:val="single" w:color="auto"/>
          <w:color w:val="auto"/>
        </w:rPr>
        <w:t>Exxon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 Holdings Corporation</w:t>
      </w:r>
      <w:r>
        <w:rPr>
          <w:rFonts w:ascii="Arial" w:cs="Arial" w:eastAsia="Arial" w:hAnsi="Arial"/>
          <w:sz w:val="17"/>
          <w:szCs w:val="17"/>
          <w:color w:val="auto"/>
        </w:rPr>
        <w:t xml:space="preserve"> (pub. avail. May 13, 1988) and </w:t>
      </w:r>
      <w:r>
        <w:rPr>
          <w:rFonts w:ascii="Arial" w:cs="Arial" w:eastAsia="Arial" w:hAnsi="Arial"/>
          <w:sz w:val="17"/>
          <w:szCs w:val="17"/>
          <w:u w:val="single" w:color="auto"/>
          <w:color w:val="auto"/>
        </w:rPr>
        <w:t>Morgan Stanley and Co., Inc</w:t>
      </w:r>
      <w:r>
        <w:rPr>
          <w:rFonts w:ascii="Arial" w:cs="Arial" w:eastAsia="Arial" w:hAnsi="Arial"/>
          <w:sz w:val="17"/>
          <w:szCs w:val="17"/>
          <w:color w:val="auto"/>
        </w:rPr>
        <w:t>. (pub. avail. June 5, 1991) and (B) including a representation that the Issuers and the Guarantors have not entered into any arrangement or understanding with any Person to distribute the New Securities to be received in the Registered Exchange Offer and that, to the best of the Issuers’ and the Guarantors’ information and belief, each Holder participating in the Registered Exchange Offer is acquiring the New Securities in the ordinary course of business and has no arrangement or understanding with any Person to participate in the distribution of the New Securities; and</w:t>
      </w:r>
    </w:p>
    <w:p>
      <w:pPr>
        <w:spacing w:after="0" w:line="26" w:lineRule="exact"/>
        <w:rPr>
          <w:rFonts w:ascii="Arial" w:cs="Arial" w:eastAsia="Arial" w:hAnsi="Arial"/>
          <w:sz w:val="17"/>
          <w:szCs w:val="17"/>
          <w:color w:val="auto"/>
        </w:rPr>
      </w:pPr>
    </w:p>
    <w:p>
      <w:pPr>
        <w:ind w:left="2660" w:hanging="707"/>
        <w:spacing w:after="0"/>
        <w:tabs>
          <w:tab w:leader="none" w:pos="2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comply in all </w:t>
      </w:r>
      <w:r>
        <w:rPr>
          <w:rFonts w:ascii="Arial" w:cs="Arial" w:eastAsia="Arial" w:hAnsi="Arial"/>
          <w:sz w:val="36"/>
          <w:szCs w:val="36"/>
          <w:color w:val="auto"/>
          <w:vertAlign w:val="subscript"/>
        </w:rPr>
        <w:t>material</w:t>
      </w:r>
      <w:r>
        <w:rPr>
          <w:rFonts w:ascii="Arial" w:cs="Arial" w:eastAsia="Arial" w:hAnsi="Arial"/>
          <w:sz w:val="18"/>
          <w:szCs w:val="18"/>
          <w:color w:val="auto"/>
        </w:rPr>
        <w:t xml:space="preserve"> respects with all applicable laws.</w:t>
      </w:r>
    </w:p>
    <w:p>
      <w:pPr>
        <w:spacing w:after="0" w:line="85" w:lineRule="exact"/>
        <w:rPr>
          <w:rFonts w:ascii="Arial" w:cs="Arial" w:eastAsia="Arial" w:hAnsi="Arial"/>
          <w:sz w:val="18"/>
          <w:szCs w:val="18"/>
          <w:color w:val="auto"/>
        </w:rPr>
      </w:pPr>
    </w:p>
    <w:p>
      <w:pPr>
        <w:ind w:left="2000" w:hanging="695"/>
        <w:spacing w:after="0"/>
        <w:tabs>
          <w:tab w:leader="none" w:pos="2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As soon as practicable after the close of the Registered Exchange Offer, 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shall:</w:t>
      </w:r>
    </w:p>
    <w:p>
      <w:pPr>
        <w:spacing w:after="0" w:line="85" w:lineRule="exact"/>
        <w:rPr>
          <w:rFonts w:ascii="Arial" w:cs="Arial" w:eastAsia="Arial" w:hAnsi="Arial"/>
          <w:sz w:val="18"/>
          <w:szCs w:val="18"/>
          <w:color w:val="auto"/>
        </w:rPr>
      </w:pPr>
    </w:p>
    <w:p>
      <w:pPr>
        <w:ind w:left="2660" w:hanging="707"/>
        <w:spacing w:after="0"/>
        <w:tabs>
          <w:tab w:leader="none" w:pos="2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accept for exchange all Securities tendered and not validly withdrawn pursuant to the Registered Exchange Offer; </w:t>
      </w:r>
      <w:r>
        <w:rPr>
          <w:rFonts w:ascii="Arial" w:cs="Arial" w:eastAsia="Arial" w:hAnsi="Arial"/>
          <w:sz w:val="31"/>
          <w:szCs w:val="31"/>
          <w:color w:val="auto"/>
          <w:vertAlign w:val="subscript"/>
        </w:rPr>
        <w:t>and</w:t>
      </w:r>
    </w:p>
    <w:p>
      <w:pPr>
        <w:sectPr>
          <w:pgSz w:w="11900" w:h="16838" w:orient="portrait"/>
          <w:cols w:equalWidth="0" w:num="1">
            <w:col w:w="11400"/>
          </w:cols>
          <w:pgMar w:left="240" w:top="533" w:right="259" w:bottom="15" w:gutter="0" w:footer="0" w:header="0"/>
        </w:sectPr>
      </w:pPr>
    </w:p>
    <w:bookmarkStart w:id="33" w:name="page34"/>
    <w:bookmarkEnd w:id="33"/>
    <w:p>
      <w:pPr>
        <w:spacing w:after="0" w:line="75" w:lineRule="exact"/>
        <w:rPr>
          <w:sz w:val="20"/>
          <w:szCs w:val="20"/>
          <w:color w:val="auto"/>
        </w:rPr>
      </w:pPr>
    </w:p>
    <w:p>
      <w:pPr>
        <w:ind w:left="2660" w:hanging="707"/>
        <w:spacing w:after="0"/>
        <w:tabs>
          <w:tab w:leader="none" w:pos="2660" w:val="left"/>
        </w:tabs>
        <w:numPr>
          <w:ilvl w:val="0"/>
          <w:numId w:val="67"/>
        </w:numPr>
        <w:rPr>
          <w:rFonts w:ascii="Arial" w:cs="Arial" w:eastAsia="Arial" w:hAnsi="Arial"/>
          <w:sz w:val="16"/>
          <w:szCs w:val="16"/>
          <w:color w:val="auto"/>
        </w:rPr>
      </w:pPr>
      <w:r>
        <w:rPr>
          <w:rFonts w:ascii="Arial" w:cs="Arial" w:eastAsia="Arial" w:hAnsi="Arial"/>
          <w:sz w:val="31"/>
          <w:szCs w:val="31"/>
          <w:color w:val="auto"/>
          <w:vertAlign w:val="subscript"/>
        </w:rPr>
        <w:t>issue and</w:t>
      </w:r>
      <w:r>
        <w:rPr>
          <w:rFonts w:ascii="Arial" w:cs="Arial" w:eastAsia="Arial" w:hAnsi="Arial"/>
          <w:sz w:val="16"/>
          <w:szCs w:val="16"/>
          <w:color w:val="auto"/>
        </w:rPr>
        <w:t xml:space="preserve"> cause the Trustee promptly to authenticate a global certificate representing New Securities exchanged for</w:t>
      </w:r>
    </w:p>
    <w:p>
      <w:pPr>
        <w:spacing w:after="0" w:line="67" w:lineRule="exact"/>
        <w:rPr>
          <w:sz w:val="20"/>
          <w:szCs w:val="20"/>
          <w:color w:val="auto"/>
        </w:rPr>
      </w:pPr>
    </w:p>
    <w:p>
      <w:pPr>
        <w:ind w:left="660" w:right="300"/>
        <w:spacing w:after="0" w:line="221" w:lineRule="auto"/>
        <w:rPr>
          <w:sz w:val="20"/>
          <w:szCs w:val="20"/>
          <w:color w:val="auto"/>
        </w:rPr>
      </w:pPr>
      <w:r>
        <w:rPr>
          <w:rFonts w:ascii="Arial" w:cs="Arial" w:eastAsia="Arial" w:hAnsi="Arial"/>
          <w:sz w:val="16"/>
          <w:szCs w:val="16"/>
          <w:color w:val="auto"/>
        </w:rPr>
        <w:t xml:space="preserve">Securities and </w:t>
      </w:r>
      <w:r>
        <w:rPr>
          <w:rFonts w:ascii="Arial" w:cs="Arial" w:eastAsia="Arial" w:hAnsi="Arial"/>
          <w:sz w:val="31"/>
          <w:szCs w:val="31"/>
          <w:color w:val="auto"/>
          <w:vertAlign w:val="subscript"/>
        </w:rPr>
        <w:t>to deliver</w:t>
      </w:r>
      <w:r>
        <w:rPr>
          <w:rFonts w:ascii="Arial" w:cs="Arial" w:eastAsia="Arial" w:hAnsi="Arial"/>
          <w:sz w:val="16"/>
          <w:szCs w:val="16"/>
          <w:color w:val="auto"/>
        </w:rPr>
        <w:t xml:space="preserve"> to each Holder of Securities </w:t>
      </w:r>
      <w:r>
        <w:rPr>
          <w:rFonts w:ascii="Arial" w:cs="Arial" w:eastAsia="Arial" w:hAnsi="Arial"/>
          <w:sz w:val="31"/>
          <w:szCs w:val="31"/>
          <w:color w:val="auto"/>
          <w:vertAlign w:val="subscript"/>
        </w:rPr>
        <w:t>a principal amount of</w:t>
      </w:r>
      <w:r>
        <w:rPr>
          <w:rFonts w:ascii="Arial" w:cs="Arial" w:eastAsia="Arial" w:hAnsi="Arial"/>
          <w:sz w:val="16"/>
          <w:szCs w:val="16"/>
          <w:color w:val="auto"/>
        </w:rPr>
        <w:t xml:space="preserve"> New Securities equal to the </w:t>
      </w:r>
      <w:r>
        <w:rPr>
          <w:rFonts w:ascii="Arial" w:cs="Arial" w:eastAsia="Arial" w:hAnsi="Arial"/>
          <w:sz w:val="31"/>
          <w:szCs w:val="31"/>
          <w:color w:val="auto"/>
          <w:vertAlign w:val="subscript"/>
        </w:rPr>
        <w:t>principal amount of the</w:t>
      </w:r>
      <w:r>
        <w:rPr>
          <w:rFonts w:ascii="Arial" w:cs="Arial" w:eastAsia="Arial" w:hAnsi="Arial"/>
          <w:sz w:val="16"/>
          <w:szCs w:val="16"/>
          <w:color w:val="auto"/>
        </w:rPr>
        <w:t xml:space="preserve"> Securities of such Holder so accepted for exchange.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0" w:hanging="695"/>
        <w:spacing w:after="0"/>
        <w:tabs>
          <w:tab w:leader="none" w:pos="2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Holder hereby acknowledges and agrees that any Broker-Dealer and any such Holder using the Registered Exchange Offer</w:t>
      </w:r>
    </w:p>
    <w:p>
      <w:pPr>
        <w:spacing w:after="0" w:line="46"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 xml:space="preserve">to participate </w:t>
      </w:r>
      <w:r>
        <w:rPr>
          <w:rFonts w:ascii="Arial" w:cs="Arial" w:eastAsia="Arial" w:hAnsi="Arial"/>
          <w:sz w:val="36"/>
          <w:szCs w:val="36"/>
          <w:color w:val="auto"/>
          <w:vertAlign w:val="superscript"/>
        </w:rPr>
        <w:t>in</w:t>
      </w:r>
      <w:r>
        <w:rPr>
          <w:rFonts w:ascii="Arial" w:cs="Arial" w:eastAsia="Arial" w:hAnsi="Arial"/>
          <w:sz w:val="18"/>
          <w:szCs w:val="18"/>
          <w:color w:val="auto"/>
        </w:rPr>
        <w:t xml:space="preserve"> a distribution of the New Securities (x) could not under Commission policy as in effect on the date of this Agreement rely on the position of the Commission in </w:t>
      </w:r>
      <w:r>
        <w:rPr>
          <w:rFonts w:ascii="Arial" w:cs="Arial" w:eastAsia="Arial" w:hAnsi="Arial"/>
          <w:sz w:val="18"/>
          <w:szCs w:val="18"/>
          <w:u w:val="single" w:color="auto"/>
          <w:color w:val="auto"/>
        </w:rPr>
        <w:t>Morgan Stanley and Co., Inc.</w:t>
      </w:r>
      <w:r>
        <w:rPr>
          <w:rFonts w:ascii="Arial" w:cs="Arial" w:eastAsia="Arial" w:hAnsi="Arial"/>
          <w:sz w:val="18"/>
          <w:szCs w:val="18"/>
          <w:color w:val="auto"/>
        </w:rPr>
        <w:t xml:space="preserve"> (pub. avail. June 5, 1991) and </w:t>
      </w:r>
      <w:r>
        <w:rPr>
          <w:rFonts w:ascii="Arial" w:cs="Arial" w:eastAsia="Arial" w:hAnsi="Arial"/>
          <w:sz w:val="18"/>
          <w:szCs w:val="18"/>
          <w:u w:val="single" w:color="auto"/>
          <w:color w:val="auto"/>
        </w:rPr>
        <w:t>Exxon Capital Holdings Corporation</w:t>
      </w:r>
      <w:r>
        <w:rPr>
          <w:rFonts w:ascii="Arial" w:cs="Arial" w:eastAsia="Arial" w:hAnsi="Arial"/>
          <w:sz w:val="18"/>
          <w:szCs w:val="18"/>
          <w:color w:val="auto"/>
        </w:rPr>
        <w:t xml:space="preserve"> (pub. avail. May 13, 1988), as interpreted in the Commission’s letter to Shearman &amp; Sterling dated July 2, 1993 and similar no-action letters; and (y) must comply with the registration and prospectus delivery requirements of the Act in connection with any secondary resale transaction and must be covered by an effective registration statement containing the selling security holder information required by Item 507 or 508, as applicable, of Regulation S-K under the Act if the resales are of New Securities obtained by such Holder in exchange for Securities acquired by such Holder directly from the Issuers or the Guarantors or one of their Affiliates. Accordingly, each Holder participating in the Registered Exchange Offer shall be required to represent to the Issuers and the Guarantors that, at the time of the consummation of the Registered Exchange Offer:</w:t>
      </w:r>
    </w:p>
    <w:p>
      <w:pPr>
        <w:spacing w:after="0" w:line="205" w:lineRule="exact"/>
        <w:rPr>
          <w:sz w:val="20"/>
          <w:szCs w:val="20"/>
          <w:color w:val="auto"/>
        </w:rPr>
      </w:pPr>
    </w:p>
    <w:p>
      <w:pPr>
        <w:ind w:left="2660" w:hanging="707"/>
        <w:spacing w:after="0"/>
        <w:tabs>
          <w:tab w:leader="none" w:pos="2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New Securities received by such Holder will be acquired in the ordinary course of business;</w:t>
      </w:r>
    </w:p>
    <w:p>
      <w:pPr>
        <w:spacing w:after="0" w:line="225" w:lineRule="exact"/>
        <w:rPr>
          <w:rFonts w:ascii="Arial" w:cs="Arial" w:eastAsia="Arial" w:hAnsi="Arial"/>
          <w:sz w:val="18"/>
          <w:szCs w:val="18"/>
          <w:color w:val="auto"/>
        </w:rPr>
      </w:pPr>
    </w:p>
    <w:p>
      <w:pPr>
        <w:ind w:left="660" w:firstLine="1293"/>
        <w:spacing w:after="0" w:line="198" w:lineRule="auto"/>
        <w:tabs>
          <w:tab w:leader="none" w:pos="26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such Holder will have no </w:t>
      </w:r>
      <w:r>
        <w:rPr>
          <w:rFonts w:ascii="Arial" w:cs="Arial" w:eastAsia="Arial" w:hAnsi="Arial"/>
          <w:sz w:val="36"/>
          <w:szCs w:val="36"/>
          <w:color w:val="auto"/>
          <w:vertAlign w:val="superscript"/>
        </w:rPr>
        <w:t>arrangement</w:t>
      </w:r>
      <w:r>
        <w:rPr>
          <w:rFonts w:ascii="Arial" w:cs="Arial" w:eastAsia="Arial" w:hAnsi="Arial"/>
          <w:sz w:val="18"/>
          <w:szCs w:val="18"/>
          <w:color w:val="auto"/>
        </w:rPr>
        <w:t xml:space="preserve"> or understanding with any Person to participate in the distribution of the Securities or the New Securities within the meaning of the Act; and</w:t>
      </w:r>
    </w:p>
    <w:p>
      <w:pPr>
        <w:spacing w:after="0" w:line="203" w:lineRule="exact"/>
        <w:rPr>
          <w:rFonts w:ascii="Arial" w:cs="Arial" w:eastAsia="Arial" w:hAnsi="Arial"/>
          <w:sz w:val="18"/>
          <w:szCs w:val="18"/>
          <w:color w:val="auto"/>
        </w:rPr>
      </w:pPr>
    </w:p>
    <w:p>
      <w:pPr>
        <w:ind w:left="2680" w:hanging="727"/>
        <w:spacing w:after="0"/>
        <w:tabs>
          <w:tab w:leader="none" w:pos="2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Holder is not an Affiliate of the Issuers or the Guarantors.</w:t>
      </w:r>
    </w:p>
    <w:p>
      <w:pPr>
        <w:spacing w:after="0" w:line="52" w:lineRule="exact"/>
        <w:rPr>
          <w:sz w:val="20"/>
          <w:szCs w:val="20"/>
          <w:color w:val="auto"/>
        </w:rPr>
      </w:pPr>
    </w:p>
    <w:p>
      <w:pPr>
        <w:ind w:left="2020" w:hanging="715"/>
        <w:spacing w:after="0"/>
        <w:tabs>
          <w:tab w:leader="none" w:pos="2020" w:val="left"/>
        </w:tabs>
        <w:numPr>
          <w:ilvl w:val="0"/>
          <w:numId w:val="70"/>
        </w:numPr>
        <w:rPr>
          <w:rFonts w:ascii="Arial" w:cs="Arial" w:eastAsia="Arial" w:hAnsi="Arial"/>
          <w:sz w:val="31"/>
          <w:szCs w:val="31"/>
          <w:color w:val="auto"/>
          <w:vertAlign w:val="subscript"/>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xml:space="preserve">. </w:t>
      </w:r>
      <w:r>
        <w:rPr>
          <w:rFonts w:ascii="Arial" w:cs="Arial" w:eastAsia="Arial" w:hAnsi="Arial"/>
          <w:sz w:val="31"/>
          <w:szCs w:val="31"/>
          <w:color w:val="auto"/>
          <w:vertAlign w:val="subscript"/>
        </w:rPr>
        <w:t>(a)</w:t>
      </w:r>
      <w:r>
        <w:rPr>
          <w:rFonts w:ascii="Arial" w:cs="Arial" w:eastAsia="Arial" w:hAnsi="Arial"/>
          <w:sz w:val="16"/>
          <w:szCs w:val="16"/>
          <w:color w:val="auto"/>
        </w:rPr>
        <w:t xml:space="preserve"> If (</w:t>
      </w:r>
      <w:r>
        <w:rPr>
          <w:rFonts w:ascii="Arial" w:cs="Arial" w:eastAsia="Arial" w:hAnsi="Arial"/>
          <w:sz w:val="31"/>
          <w:szCs w:val="31"/>
          <w:color w:val="auto"/>
          <w:vertAlign w:val="subscript"/>
        </w:rPr>
        <w:t>i</w:t>
      </w:r>
      <w:r>
        <w:rPr>
          <w:rFonts w:ascii="Arial" w:cs="Arial" w:eastAsia="Arial" w:hAnsi="Arial"/>
          <w:sz w:val="16"/>
          <w:szCs w:val="16"/>
          <w:color w:val="auto"/>
        </w:rPr>
        <w:t xml:space="preserve">) </w:t>
      </w:r>
      <w:r>
        <w:rPr>
          <w:rFonts w:ascii="Arial" w:cs="Arial" w:eastAsia="Arial" w:hAnsi="Arial"/>
          <w:sz w:val="31"/>
          <w:szCs w:val="31"/>
          <w:color w:val="auto"/>
          <w:vertAlign w:val="subscript"/>
        </w:rPr>
        <w:t>due to</w:t>
      </w:r>
      <w:r>
        <w:rPr>
          <w:rFonts w:ascii="Arial" w:cs="Arial" w:eastAsia="Arial" w:hAnsi="Arial"/>
          <w:sz w:val="16"/>
          <w:szCs w:val="16"/>
          <w:color w:val="auto"/>
        </w:rPr>
        <w:t xml:space="preserve"> any change in law or applicable interpretations thereof by the Commission’s staff, the Issuers</w:t>
      </w:r>
    </w:p>
    <w:p>
      <w:pPr>
        <w:spacing w:after="0" w:line="115" w:lineRule="exact"/>
        <w:rPr>
          <w:sz w:val="20"/>
          <w:szCs w:val="20"/>
          <w:color w:val="auto"/>
        </w:rPr>
      </w:pPr>
    </w:p>
    <w:p>
      <w:pPr>
        <w:ind w:right="60"/>
        <w:spacing w:after="0" w:line="214" w:lineRule="auto"/>
        <w:rPr>
          <w:sz w:val="20"/>
          <w:szCs w:val="20"/>
          <w:color w:val="auto"/>
        </w:rPr>
      </w:pP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determine upon advice of their outside counsel that they are not permitted to effect the Registered Exchange Offer as contemplated by Section 2 hereof; (ii) for any other reason the Registered Exchange Offer is not consummated within 240 days of the date hereof</w:t>
      </w:r>
      <w:r>
        <w:rPr>
          <w:rFonts w:ascii="Arial" w:cs="Arial" w:eastAsia="Arial" w:hAnsi="Arial"/>
          <w:sz w:val="31"/>
          <w:szCs w:val="31"/>
          <w:color w:val="auto"/>
          <w:vertAlign w:val="subscript"/>
        </w:rPr>
        <w:t>; (iii)</w:t>
      </w:r>
      <w:r>
        <w:rPr>
          <w:rFonts w:ascii="Arial" w:cs="Arial" w:eastAsia="Arial" w:hAnsi="Arial"/>
          <w:sz w:val="16"/>
          <w:szCs w:val="16"/>
          <w:color w:val="auto"/>
        </w:rPr>
        <w:t xml:space="preserve"> any Initial Purchaser so </w:t>
      </w:r>
      <w:r>
        <w:rPr>
          <w:rFonts w:ascii="Arial" w:cs="Arial" w:eastAsia="Arial" w:hAnsi="Arial"/>
          <w:sz w:val="31"/>
          <w:szCs w:val="31"/>
          <w:color w:val="auto"/>
          <w:vertAlign w:val="superscript"/>
        </w:rPr>
        <w:t>requests with respect to Securities</w:t>
      </w:r>
      <w:r>
        <w:rPr>
          <w:rFonts w:ascii="Arial" w:cs="Arial" w:eastAsia="Arial" w:hAnsi="Arial"/>
          <w:sz w:val="16"/>
          <w:szCs w:val="16"/>
          <w:color w:val="auto"/>
        </w:rPr>
        <w:t xml:space="preserve"> that are not eligible to be exchanged for New Securities in the Registered Exchange Offer and that are </w:t>
      </w:r>
      <w:r>
        <w:rPr>
          <w:rFonts w:ascii="Arial" w:cs="Arial" w:eastAsia="Arial" w:hAnsi="Arial"/>
          <w:sz w:val="31"/>
          <w:szCs w:val="31"/>
          <w:color w:val="auto"/>
          <w:vertAlign w:val="superscript"/>
        </w:rPr>
        <w:t>held by it following</w:t>
      </w:r>
      <w:r>
        <w:rPr>
          <w:rFonts w:ascii="Arial" w:cs="Arial" w:eastAsia="Arial" w:hAnsi="Arial"/>
          <w:sz w:val="16"/>
          <w:szCs w:val="16"/>
          <w:color w:val="auto"/>
        </w:rPr>
        <w:t xml:space="preserve"> </w:t>
      </w:r>
      <w:r>
        <w:rPr>
          <w:rFonts w:ascii="Arial" w:cs="Arial" w:eastAsia="Arial" w:hAnsi="Arial"/>
          <w:sz w:val="31"/>
          <w:szCs w:val="31"/>
          <w:color w:val="auto"/>
          <w:vertAlign w:val="superscript"/>
        </w:rPr>
        <w:t>consummation of the Registered Exchange Offer</w:t>
      </w:r>
      <w:r>
        <w:rPr>
          <w:rFonts w:ascii="Arial" w:cs="Arial" w:eastAsia="Arial" w:hAnsi="Arial"/>
          <w:sz w:val="16"/>
          <w:szCs w:val="16"/>
          <w:color w:val="auto"/>
        </w:rPr>
        <w:t xml:space="preserve">, or (iv) any Holder (other than an Initial Purchaser) is not eligible to participate in the Registered Exchange Offer, </w:t>
      </w:r>
      <w:r>
        <w:rPr>
          <w:rFonts w:ascii="Arial" w:cs="Arial" w:eastAsia="Arial" w:hAnsi="Arial"/>
          <w:sz w:val="31"/>
          <w:szCs w:val="31"/>
          <w:color w:val="auto"/>
          <w:vertAlign w:val="superscript"/>
        </w:rPr>
        <w:t>the</w:t>
      </w:r>
      <w:r>
        <w:rPr>
          <w:rFonts w:ascii="Arial" w:cs="Arial" w:eastAsia="Arial" w:hAnsi="Arial"/>
          <w:sz w:val="16"/>
          <w:szCs w:val="16"/>
          <w:color w:val="auto"/>
        </w:rPr>
        <w:t xml:space="preserve"> Issuers and the Guarantors shall effect a Shelf Registration Statement in accordance with subsection (b) below.</w:t>
      </w:r>
    </w:p>
    <w:p>
      <w:pPr>
        <w:spacing w:after="0" w:line="31" w:lineRule="exact"/>
        <w:rPr>
          <w:sz w:val="20"/>
          <w:szCs w:val="20"/>
          <w:color w:val="auto"/>
        </w:rPr>
      </w:pPr>
    </w:p>
    <w:p>
      <w:pPr>
        <w:ind w:right="20" w:firstLine="1305"/>
        <w:spacing w:after="0" w:line="191" w:lineRule="auto"/>
        <w:tabs>
          <w:tab w:leader="none" w:pos="2001" w:val="left"/>
        </w:tabs>
        <w:numPr>
          <w:ilvl w:val="0"/>
          <w:numId w:val="71"/>
        </w:numPr>
        <w:rPr>
          <w:rFonts w:ascii="Arial" w:cs="Arial" w:eastAsia="Arial" w:hAnsi="Arial"/>
          <w:sz w:val="32"/>
          <w:szCs w:val="32"/>
          <w:color w:val="auto"/>
          <w:vertAlign w:val="superscript"/>
        </w:rPr>
      </w:pPr>
      <w:r>
        <w:rPr>
          <w:rFonts w:ascii="Arial" w:cs="Arial" w:eastAsia="Arial" w:hAnsi="Arial"/>
          <w:sz w:val="17"/>
          <w:szCs w:val="17"/>
          <w:color w:val="auto"/>
        </w:rPr>
        <w:t xml:space="preserve">(i) </w:t>
      </w:r>
      <w:r>
        <w:rPr>
          <w:rFonts w:ascii="Arial" w:cs="Arial" w:eastAsia="Arial" w:hAnsi="Arial"/>
          <w:sz w:val="32"/>
          <w:szCs w:val="32"/>
          <w:color w:val="auto"/>
          <w:vertAlign w:val="superscript"/>
        </w:rPr>
        <w:t>The Issuers</w:t>
      </w:r>
      <w:r>
        <w:rPr>
          <w:rFonts w:ascii="Arial" w:cs="Arial" w:eastAsia="Arial" w:hAnsi="Arial"/>
          <w:sz w:val="17"/>
          <w:szCs w:val="17"/>
          <w:color w:val="auto"/>
        </w:rPr>
        <w:t xml:space="preserve"> and the Guarantors </w:t>
      </w:r>
      <w:r>
        <w:rPr>
          <w:rFonts w:ascii="Arial" w:cs="Arial" w:eastAsia="Arial" w:hAnsi="Arial"/>
          <w:sz w:val="32"/>
          <w:szCs w:val="32"/>
          <w:color w:val="auto"/>
          <w:vertAlign w:val="superscript"/>
        </w:rPr>
        <w:t>shall</w:t>
      </w:r>
      <w:r>
        <w:rPr>
          <w:rFonts w:ascii="Arial" w:cs="Arial" w:eastAsia="Arial" w:hAnsi="Arial"/>
          <w:sz w:val="17"/>
          <w:szCs w:val="17"/>
          <w:color w:val="auto"/>
        </w:rPr>
        <w:t xml:space="preserve"> as promptly as practicable (but in no event more than 120 days after so required or requested pursuant to this Section 3), file with the Commission and thereafter shall </w:t>
      </w:r>
      <w:r>
        <w:rPr>
          <w:rFonts w:ascii="Arial" w:cs="Arial" w:eastAsia="Arial" w:hAnsi="Arial"/>
          <w:sz w:val="32"/>
          <w:szCs w:val="32"/>
          <w:color w:val="auto"/>
          <w:vertAlign w:val="superscript"/>
        </w:rPr>
        <w:t>use their</w:t>
      </w:r>
      <w:r>
        <w:rPr>
          <w:rFonts w:ascii="Arial" w:cs="Arial" w:eastAsia="Arial" w:hAnsi="Arial"/>
          <w:sz w:val="17"/>
          <w:szCs w:val="17"/>
          <w:color w:val="auto"/>
        </w:rPr>
        <w:t xml:space="preserve"> reasonable </w:t>
      </w:r>
      <w:r>
        <w:rPr>
          <w:rFonts w:ascii="Arial" w:cs="Arial" w:eastAsia="Arial" w:hAnsi="Arial"/>
          <w:sz w:val="32"/>
          <w:szCs w:val="32"/>
          <w:color w:val="auto"/>
          <w:vertAlign w:val="superscript"/>
        </w:rPr>
        <w:t>best efforts to</w:t>
      </w:r>
      <w:r>
        <w:rPr>
          <w:rFonts w:ascii="Arial" w:cs="Arial" w:eastAsia="Arial" w:hAnsi="Arial"/>
          <w:sz w:val="17"/>
          <w:szCs w:val="17"/>
          <w:color w:val="auto"/>
        </w:rPr>
        <w:t xml:space="preserve"> cause to be declared effective under the </w:t>
      </w:r>
      <w:r>
        <w:rPr>
          <w:rFonts w:ascii="Arial" w:cs="Arial" w:eastAsia="Arial" w:hAnsi="Arial"/>
          <w:sz w:val="32"/>
          <w:szCs w:val="32"/>
          <w:color w:val="auto"/>
          <w:vertAlign w:val="subscript"/>
        </w:rPr>
        <w:t>Act, within 210 days after so required or requested pursuant to this Section 3,</w:t>
      </w:r>
      <w:r>
        <w:rPr>
          <w:rFonts w:ascii="Arial" w:cs="Arial" w:eastAsia="Arial" w:hAnsi="Arial"/>
          <w:sz w:val="17"/>
          <w:szCs w:val="17"/>
          <w:color w:val="auto"/>
        </w:rPr>
        <w:t xml:space="preserve"> a Shelf Registration Statement relating to the offer and sale of the Securities or the New Securities, as applicable, by the Holders </w:t>
      </w:r>
      <w:r>
        <w:rPr>
          <w:rFonts w:ascii="Arial" w:cs="Arial" w:eastAsia="Arial" w:hAnsi="Arial"/>
          <w:sz w:val="32"/>
          <w:szCs w:val="32"/>
          <w:color w:val="auto"/>
          <w:vertAlign w:val="subscript"/>
        </w:rPr>
        <w:t>thereof</w:t>
      </w:r>
      <w:r>
        <w:rPr>
          <w:rFonts w:ascii="Arial" w:cs="Arial" w:eastAsia="Arial" w:hAnsi="Arial"/>
          <w:sz w:val="17"/>
          <w:szCs w:val="17"/>
          <w:color w:val="auto"/>
        </w:rPr>
        <w:t xml:space="preserve"> from time to time in accordance with the methods of distribution elected by such Holders and set </w:t>
      </w:r>
      <w:r>
        <w:rPr>
          <w:rFonts w:ascii="Arial" w:cs="Arial" w:eastAsia="Arial" w:hAnsi="Arial"/>
          <w:sz w:val="32"/>
          <w:szCs w:val="32"/>
          <w:color w:val="auto"/>
          <w:vertAlign w:val="superscript"/>
        </w:rPr>
        <w:t>forth in such Shelf Registration Statement;</w:t>
      </w:r>
      <w:r>
        <w:rPr>
          <w:rFonts w:ascii="Arial" w:cs="Arial" w:eastAsia="Arial" w:hAnsi="Arial"/>
          <w:sz w:val="17"/>
          <w:szCs w:val="17"/>
          <w:color w:val="auto"/>
        </w:rPr>
        <w:t xml:space="preserve"> </w:t>
      </w:r>
      <w:r>
        <w:rPr>
          <w:rFonts w:ascii="Arial" w:cs="Arial" w:eastAsia="Arial" w:hAnsi="Arial"/>
          <w:sz w:val="32"/>
          <w:szCs w:val="32"/>
          <w:u w:val="single" w:color="auto"/>
          <w:color w:val="auto"/>
          <w:vertAlign w:val="superscript"/>
        </w:rPr>
        <w:t>provided</w:t>
      </w:r>
      <w:r>
        <w:rPr>
          <w:rFonts w:ascii="Arial" w:cs="Arial" w:eastAsia="Arial" w:hAnsi="Arial"/>
          <w:sz w:val="32"/>
          <w:szCs w:val="32"/>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32"/>
          <w:szCs w:val="32"/>
          <w:color w:val="auto"/>
          <w:vertAlign w:val="superscript"/>
        </w:rPr>
        <w:t>that</w:t>
      </w:r>
      <w:r>
        <w:rPr>
          <w:rFonts w:ascii="Arial" w:cs="Arial" w:eastAsia="Arial" w:hAnsi="Arial"/>
          <w:sz w:val="17"/>
          <w:szCs w:val="17"/>
          <w:color w:val="auto"/>
        </w:rPr>
        <w:t xml:space="preserve"> no Holder (other than an Initial Purchaser) shall be entitled to have the Securities held by it covered by such Shelf Registration Statement unless such Holder agrees in writing to be bound by all of the provisions of this Agreement applicable to such </w:t>
      </w:r>
      <w:r>
        <w:rPr>
          <w:rFonts w:ascii="Arial" w:cs="Arial" w:eastAsia="Arial" w:hAnsi="Arial"/>
          <w:sz w:val="32"/>
          <w:szCs w:val="32"/>
          <w:color w:val="auto"/>
          <w:vertAlign w:val="subscript"/>
        </w:rPr>
        <w:t>Holder; and</w:t>
      </w:r>
      <w:r>
        <w:rPr>
          <w:rFonts w:ascii="Arial" w:cs="Arial" w:eastAsia="Arial" w:hAnsi="Arial"/>
          <w:sz w:val="17"/>
          <w:szCs w:val="17"/>
          <w:color w:val="auto"/>
        </w:rPr>
        <w:t xml:space="preserve"> </w:t>
      </w:r>
      <w:r>
        <w:rPr>
          <w:rFonts w:ascii="Arial" w:cs="Arial" w:eastAsia="Arial" w:hAnsi="Arial"/>
          <w:sz w:val="32"/>
          <w:szCs w:val="32"/>
          <w:u w:val="single" w:color="auto"/>
          <w:color w:val="auto"/>
          <w:vertAlign w:val="subscript"/>
        </w:rPr>
        <w:t>provided further</w:t>
      </w:r>
      <w:r>
        <w:rPr>
          <w:rFonts w:ascii="Arial" w:cs="Arial" w:eastAsia="Arial" w:hAnsi="Arial"/>
          <w:sz w:val="32"/>
          <w:szCs w:val="32"/>
          <w:color w:val="auto"/>
          <w:vertAlign w:val="subscript"/>
        </w:rPr>
        <w:t>, that</w:t>
      </w:r>
      <w:r>
        <w:rPr>
          <w:rFonts w:ascii="Arial" w:cs="Arial" w:eastAsia="Arial" w:hAnsi="Arial"/>
          <w:sz w:val="17"/>
          <w:szCs w:val="17"/>
          <w:color w:val="auto"/>
        </w:rPr>
        <w:t xml:space="preserve"> with respect to New Securities received by an Initial Purchaser in exchange for Securities constituting any portion of an unsold allotment, the Issuers </w:t>
      </w:r>
      <w:r>
        <w:rPr>
          <w:rFonts w:ascii="Arial" w:cs="Arial" w:eastAsia="Arial" w:hAnsi="Arial"/>
          <w:sz w:val="32"/>
          <w:szCs w:val="32"/>
          <w:color w:val="auto"/>
          <w:vertAlign w:val="subscript"/>
        </w:rPr>
        <w:t>and the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200"/>
        <w:spacing w:after="0" w:line="231" w:lineRule="auto"/>
        <w:rPr>
          <w:sz w:val="20"/>
          <w:szCs w:val="20"/>
          <w:color w:val="auto"/>
        </w:rPr>
      </w:pPr>
      <w:r>
        <w:rPr>
          <w:rFonts w:ascii="Arial" w:cs="Arial" w:eastAsia="Arial" w:hAnsi="Arial"/>
          <w:sz w:val="36"/>
          <w:szCs w:val="36"/>
          <w:color w:val="auto"/>
          <w:vertAlign w:val="subscript"/>
        </w:rPr>
        <w:t>Guarantors</w:t>
      </w:r>
      <w:r>
        <w:rPr>
          <w:rFonts w:ascii="Arial" w:cs="Arial" w:eastAsia="Arial" w:hAnsi="Arial"/>
          <w:sz w:val="18"/>
          <w:szCs w:val="18"/>
          <w:color w:val="auto"/>
        </w:rPr>
        <w:t xml:space="preserve"> may, if permitted by current interpretations by the Commission’s staff, file a post-effective amendment to the Exchange Offer Registration Statement containing the information required by Item 507 or 508 </w:t>
      </w:r>
      <w:r>
        <w:rPr>
          <w:rFonts w:ascii="Arial" w:cs="Arial" w:eastAsia="Arial" w:hAnsi="Arial"/>
          <w:sz w:val="36"/>
          <w:szCs w:val="36"/>
          <w:color w:val="auto"/>
          <w:vertAlign w:val="subscript"/>
        </w:rPr>
        <w:t>of Regulation S-K</w:t>
      </w:r>
      <w:r>
        <w:rPr>
          <w:rFonts w:ascii="Arial" w:cs="Arial" w:eastAsia="Arial" w:hAnsi="Arial"/>
          <w:sz w:val="18"/>
          <w:szCs w:val="18"/>
          <w:color w:val="auto"/>
        </w:rPr>
        <w:t>, as applicable, in satisfaction of their obligations under this subsection with respect thereto, and any such Exchange Offer Registration Statement, as so amended, shall be referred to herein as, and governed by the provisions herein applicable to, a Shelf Registration Statement.</w:t>
      </w:r>
    </w:p>
    <w:p>
      <w:pPr>
        <w:spacing w:after="0" w:line="47" w:lineRule="exact"/>
        <w:rPr>
          <w:sz w:val="20"/>
          <w:szCs w:val="20"/>
          <w:color w:val="auto"/>
        </w:rPr>
      </w:pPr>
    </w:p>
    <w:p>
      <w:pPr>
        <w:ind w:left="660" w:right="120" w:firstLine="1293"/>
        <w:spacing w:after="0" w:line="257" w:lineRule="auto"/>
        <w:tabs>
          <w:tab w:leader="none" w:pos="2671" w:val="left"/>
        </w:tabs>
        <w:numPr>
          <w:ilvl w:val="0"/>
          <w:numId w:val="72"/>
        </w:numPr>
        <w:rPr>
          <w:rFonts w:ascii="Arial" w:cs="Arial" w:eastAsia="Arial" w:hAnsi="Arial"/>
          <w:sz w:val="28"/>
          <w:szCs w:val="28"/>
          <w:color w:val="auto"/>
          <w:vertAlign w:val="subscript"/>
        </w:rPr>
      </w:pPr>
      <w:r>
        <w:rPr>
          <w:rFonts w:ascii="Arial" w:cs="Arial" w:eastAsia="Arial" w:hAnsi="Arial"/>
          <w:sz w:val="15"/>
          <w:szCs w:val="15"/>
          <w:color w:val="auto"/>
        </w:rPr>
        <w:t xml:space="preserve">The Issuers </w:t>
      </w:r>
      <w:r>
        <w:rPr>
          <w:rFonts w:ascii="Arial" w:cs="Arial" w:eastAsia="Arial" w:hAnsi="Arial"/>
          <w:sz w:val="28"/>
          <w:szCs w:val="28"/>
          <w:color w:val="auto"/>
          <w:vertAlign w:val="subscript"/>
        </w:rPr>
        <w:t>and the Guarantors</w:t>
      </w:r>
      <w:r>
        <w:rPr>
          <w:rFonts w:ascii="Arial" w:cs="Arial" w:eastAsia="Arial" w:hAnsi="Arial"/>
          <w:sz w:val="15"/>
          <w:szCs w:val="15"/>
          <w:color w:val="auto"/>
        </w:rPr>
        <w:t xml:space="preserve"> shall use their </w:t>
      </w:r>
      <w:r>
        <w:rPr>
          <w:rFonts w:ascii="Arial" w:cs="Arial" w:eastAsia="Arial" w:hAnsi="Arial"/>
          <w:sz w:val="28"/>
          <w:szCs w:val="28"/>
          <w:color w:val="auto"/>
          <w:vertAlign w:val="subscript"/>
        </w:rPr>
        <w:t>reasonable</w:t>
      </w:r>
      <w:r>
        <w:rPr>
          <w:rFonts w:ascii="Arial" w:cs="Arial" w:eastAsia="Arial" w:hAnsi="Arial"/>
          <w:sz w:val="15"/>
          <w:szCs w:val="15"/>
          <w:color w:val="auto"/>
        </w:rPr>
        <w:t xml:space="preserve"> best efforts to keep the Shelf Registration Statement continuously effective</w:t>
      </w:r>
      <w:r>
        <w:rPr>
          <w:rFonts w:ascii="Arial" w:cs="Arial" w:eastAsia="Arial" w:hAnsi="Arial"/>
          <w:sz w:val="28"/>
          <w:szCs w:val="28"/>
          <w:color w:val="auto"/>
          <w:vertAlign w:val="subscript"/>
        </w:rPr>
        <w:t>, supplemented and amended as required by the Act,</w:t>
      </w:r>
      <w:r>
        <w:rPr>
          <w:rFonts w:ascii="Arial" w:cs="Arial" w:eastAsia="Arial" w:hAnsi="Arial"/>
          <w:sz w:val="15"/>
          <w:szCs w:val="15"/>
          <w:color w:val="auto"/>
        </w:rPr>
        <w:t xml:space="preserve"> in order to permit the Prospectus forming part thereof to be usable by Holders for a period of t</w:t>
      </w:r>
      <w:r>
        <w:rPr>
          <w:rFonts w:ascii="Arial" w:cs="Arial" w:eastAsia="Arial" w:hAnsi="Arial"/>
          <w:sz w:val="28"/>
          <w:szCs w:val="28"/>
          <w:color w:val="auto"/>
          <w:vertAlign w:val="subscript"/>
        </w:rPr>
        <w:t>wo</w:t>
      </w:r>
      <w:r>
        <w:rPr>
          <w:rFonts w:ascii="Arial" w:cs="Arial" w:eastAsia="Arial" w:hAnsi="Arial"/>
          <w:sz w:val="15"/>
          <w:szCs w:val="15"/>
          <w:color w:val="auto"/>
        </w:rPr>
        <w:t xml:space="preserve"> years from the date the Shelf Registration Statement is declared effective by the Commission or such shorter period that</w:t>
      </w:r>
    </w:p>
    <w:p>
      <w:pPr>
        <w:spacing w:after="0" w:line="4" w:lineRule="exact"/>
        <w:rPr>
          <w:sz w:val="20"/>
          <w:szCs w:val="20"/>
          <w:color w:val="auto"/>
        </w:rPr>
      </w:pPr>
    </w:p>
    <w:p>
      <w:pPr>
        <w:ind w:left="660" w:right="220"/>
        <w:spacing w:after="0" w:line="227" w:lineRule="auto"/>
        <w:rPr>
          <w:sz w:val="20"/>
          <w:szCs w:val="20"/>
          <w:color w:val="auto"/>
        </w:rPr>
      </w:pPr>
      <w:r>
        <w:rPr>
          <w:rFonts w:ascii="Arial" w:cs="Arial" w:eastAsia="Arial" w:hAnsi="Arial"/>
          <w:sz w:val="16"/>
          <w:szCs w:val="16"/>
          <w:color w:val="auto"/>
        </w:rPr>
        <w:t xml:space="preserve">will terminate when all the Securities or New Securities, as applicable, covered by the Shelf Registration Statement have been sold pursuant to the Shelf Registration Statement </w:t>
      </w:r>
      <w:r>
        <w:rPr>
          <w:rFonts w:ascii="Arial" w:cs="Arial" w:eastAsia="Arial" w:hAnsi="Arial"/>
          <w:sz w:val="31"/>
          <w:szCs w:val="31"/>
          <w:color w:val="auto"/>
          <w:vertAlign w:val="subscript"/>
        </w:rPr>
        <w:t>under the Act</w:t>
      </w:r>
      <w:r>
        <w:rPr>
          <w:rFonts w:ascii="Arial" w:cs="Arial" w:eastAsia="Arial" w:hAnsi="Arial"/>
          <w:sz w:val="16"/>
          <w:szCs w:val="16"/>
          <w:color w:val="auto"/>
        </w:rPr>
        <w:t xml:space="preserve"> (in any such case, such period being called the “Shelf Registration Period”). The Issuers </w:t>
      </w:r>
      <w:r>
        <w:rPr>
          <w:rFonts w:ascii="Arial" w:cs="Arial" w:eastAsia="Arial" w:hAnsi="Arial"/>
          <w:sz w:val="31"/>
          <w:szCs w:val="31"/>
          <w:color w:val="auto"/>
          <w:vertAlign w:val="subscript"/>
        </w:rPr>
        <w:t>and the</w:t>
      </w:r>
    </w:p>
    <w:p>
      <w:pPr>
        <w:spacing w:after="0" w:line="2" w:lineRule="exact"/>
        <w:rPr>
          <w:sz w:val="20"/>
          <w:szCs w:val="20"/>
          <w:color w:val="auto"/>
        </w:rPr>
      </w:pPr>
    </w:p>
    <w:p>
      <w:pPr>
        <w:ind w:left="660" w:right="60"/>
        <w:spacing w:after="0" w:line="182" w:lineRule="auto"/>
        <w:rPr>
          <w:sz w:val="20"/>
          <w:szCs w:val="20"/>
          <w:color w:val="auto"/>
        </w:rPr>
      </w:pPr>
      <w:r>
        <w:rPr>
          <w:rFonts w:ascii="Arial" w:cs="Arial" w:eastAsia="Arial" w:hAnsi="Arial"/>
          <w:sz w:val="34"/>
          <w:szCs w:val="34"/>
          <w:color w:val="auto"/>
          <w:vertAlign w:val="subscript"/>
        </w:rPr>
        <w:t>Guarantors</w:t>
      </w:r>
      <w:r>
        <w:rPr>
          <w:rFonts w:ascii="Arial" w:cs="Arial" w:eastAsia="Arial" w:hAnsi="Arial"/>
          <w:sz w:val="17"/>
          <w:szCs w:val="17"/>
          <w:color w:val="auto"/>
        </w:rPr>
        <w:t xml:space="preserve"> shall be deemed not to have used their </w:t>
      </w:r>
      <w:r>
        <w:rPr>
          <w:rFonts w:ascii="Arial" w:cs="Arial" w:eastAsia="Arial" w:hAnsi="Arial"/>
          <w:sz w:val="34"/>
          <w:szCs w:val="34"/>
          <w:color w:val="auto"/>
          <w:vertAlign w:val="subscript"/>
        </w:rPr>
        <w:t>reasonable</w:t>
      </w:r>
      <w:r>
        <w:rPr>
          <w:rFonts w:ascii="Arial" w:cs="Arial" w:eastAsia="Arial" w:hAnsi="Arial"/>
          <w:sz w:val="17"/>
          <w:szCs w:val="17"/>
          <w:color w:val="auto"/>
        </w:rPr>
        <w:t xml:space="preserve"> best efforts to keep the Shelf Registration Statement effective during the requisite period if either Issuer </w:t>
      </w:r>
      <w:r>
        <w:rPr>
          <w:rFonts w:ascii="Arial" w:cs="Arial" w:eastAsia="Arial" w:hAnsi="Arial"/>
          <w:sz w:val="34"/>
          <w:szCs w:val="34"/>
          <w:color w:val="auto"/>
          <w:vertAlign w:val="subscript"/>
        </w:rPr>
        <w:t>or any Guarantor</w:t>
      </w:r>
      <w:r>
        <w:rPr>
          <w:rFonts w:ascii="Arial" w:cs="Arial" w:eastAsia="Arial" w:hAnsi="Arial"/>
          <w:sz w:val="17"/>
          <w:szCs w:val="17"/>
          <w:color w:val="auto"/>
        </w:rPr>
        <w:t xml:space="preserve"> voluntarily takes any action that would result in Holders of Securities covered thereby not being able to offer and sell such Securities during that period, unless (</w:t>
      </w:r>
      <w:r>
        <w:rPr>
          <w:rFonts w:ascii="Arial" w:cs="Arial" w:eastAsia="Arial" w:hAnsi="Arial"/>
          <w:sz w:val="34"/>
          <w:szCs w:val="34"/>
          <w:color w:val="auto"/>
          <w:vertAlign w:val="subscript"/>
        </w:rPr>
        <w:t>A</w:t>
      </w:r>
      <w:r>
        <w:rPr>
          <w:rFonts w:ascii="Arial" w:cs="Arial" w:eastAsia="Arial" w:hAnsi="Arial"/>
          <w:sz w:val="17"/>
          <w:szCs w:val="17"/>
          <w:color w:val="auto"/>
        </w:rPr>
        <w:t>) such action is required by applicable law</w:t>
      </w:r>
      <w:r>
        <w:rPr>
          <w:rFonts w:ascii="Arial" w:cs="Arial" w:eastAsia="Arial" w:hAnsi="Arial"/>
          <w:sz w:val="34"/>
          <w:szCs w:val="34"/>
          <w:color w:val="auto"/>
          <w:vertAlign w:val="subscript"/>
        </w:rPr>
        <w:t>;</w:t>
      </w:r>
      <w:r>
        <w:rPr>
          <w:rFonts w:ascii="Arial" w:cs="Arial" w:eastAsia="Arial" w:hAnsi="Arial"/>
          <w:sz w:val="17"/>
          <w:szCs w:val="17"/>
          <w:color w:val="auto"/>
        </w:rPr>
        <w:t xml:space="preserve"> or (</w:t>
      </w:r>
      <w:r>
        <w:rPr>
          <w:rFonts w:ascii="Arial" w:cs="Arial" w:eastAsia="Arial" w:hAnsi="Arial"/>
          <w:sz w:val="34"/>
          <w:szCs w:val="34"/>
          <w:color w:val="auto"/>
          <w:vertAlign w:val="subscript"/>
        </w:rPr>
        <w:t>B</w:t>
      </w:r>
      <w:r>
        <w:rPr>
          <w:rFonts w:ascii="Arial" w:cs="Arial" w:eastAsia="Arial" w:hAnsi="Arial"/>
          <w:sz w:val="17"/>
          <w:szCs w:val="17"/>
          <w:color w:val="auto"/>
        </w:rPr>
        <w:t xml:space="preserve">) such action is taken by such Issuer </w:t>
      </w:r>
      <w:r>
        <w:rPr>
          <w:rFonts w:ascii="Arial" w:cs="Arial" w:eastAsia="Arial" w:hAnsi="Arial"/>
          <w:sz w:val="34"/>
          <w:szCs w:val="34"/>
          <w:color w:val="auto"/>
          <w:vertAlign w:val="subscript"/>
        </w:rPr>
        <w:t>or such</w:t>
      </w:r>
      <w:r>
        <w:rPr>
          <w:rFonts w:ascii="Arial" w:cs="Arial" w:eastAsia="Arial" w:hAnsi="Arial"/>
          <w:sz w:val="17"/>
          <w:szCs w:val="17"/>
          <w:color w:val="auto"/>
        </w:rPr>
        <w:t xml:space="preserve"> </w:t>
      </w:r>
      <w:r>
        <w:rPr>
          <w:rFonts w:ascii="Arial" w:cs="Arial" w:eastAsia="Arial" w:hAnsi="Arial"/>
          <w:sz w:val="34"/>
          <w:szCs w:val="34"/>
          <w:color w:val="auto"/>
          <w:vertAlign w:val="subscript"/>
        </w:rPr>
        <w:t>Guarantor</w:t>
      </w:r>
      <w:r>
        <w:rPr>
          <w:rFonts w:ascii="Arial" w:cs="Arial" w:eastAsia="Arial" w:hAnsi="Arial"/>
          <w:sz w:val="17"/>
          <w:szCs w:val="17"/>
          <w:color w:val="auto"/>
        </w:rPr>
        <w:t xml:space="preserve"> in good faith and for valid business reasons (not including avoidance of the Issuers’ </w:t>
      </w:r>
      <w:r>
        <w:rPr>
          <w:rFonts w:ascii="Arial" w:cs="Arial" w:eastAsia="Arial" w:hAnsi="Arial"/>
          <w:sz w:val="34"/>
          <w:szCs w:val="34"/>
          <w:color w:val="auto"/>
          <w:vertAlign w:val="subscript"/>
        </w:rPr>
        <w:t>or the Guarantors’</w:t>
      </w:r>
      <w:r>
        <w:rPr>
          <w:rFonts w:ascii="Arial" w:cs="Arial" w:eastAsia="Arial" w:hAnsi="Arial"/>
          <w:sz w:val="17"/>
          <w:szCs w:val="17"/>
          <w:color w:val="auto"/>
        </w:rPr>
        <w:t xml:space="preserve"> obligations hereunder), including the acquisition or divestiture of assets, so long as the Issuers </w:t>
      </w:r>
      <w:r>
        <w:rPr>
          <w:rFonts w:ascii="Arial" w:cs="Arial" w:eastAsia="Arial" w:hAnsi="Arial"/>
          <w:sz w:val="34"/>
          <w:szCs w:val="34"/>
          <w:color w:val="auto"/>
          <w:vertAlign w:val="subscript"/>
        </w:rPr>
        <w:t>and the Guarantors</w:t>
      </w:r>
      <w:r>
        <w:rPr>
          <w:rFonts w:ascii="Arial" w:cs="Arial" w:eastAsia="Arial" w:hAnsi="Arial"/>
          <w:sz w:val="17"/>
          <w:szCs w:val="17"/>
          <w:color w:val="auto"/>
        </w:rPr>
        <w:t xml:space="preserve"> promptly thereafter comply with the requirements of Section 5(k) hereof, if applicable.</w:t>
      </w:r>
    </w:p>
    <w:p>
      <w:pPr>
        <w:spacing w:after="0" w:line="219" w:lineRule="exact"/>
        <w:rPr>
          <w:sz w:val="20"/>
          <w:szCs w:val="20"/>
          <w:color w:val="auto"/>
        </w:rPr>
      </w:pPr>
    </w:p>
    <w:p>
      <w:pPr>
        <w:ind w:left="660" w:right="140" w:firstLine="1293"/>
        <w:spacing w:after="0" w:line="276" w:lineRule="auto"/>
        <w:tabs>
          <w:tab w:leader="none" w:pos="2677"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Issuers and the Guarantors shall cause the Shelf Registration Statement and the related Prospectus and any amendment or supplement thereto, as of the effective date of the Shelf Registration Statement or such amendment or supplement, (A) to comply in all material respects with the applicable requirements of the Act and the rules and regulations of the Commission; and (B) not to contain any untrue statement of a material fact or omit to state a material fact required to be stated therein or necessary in order to make the statements therein, in the light of the circumstances under which they were made, not misleading.</w:t>
      </w:r>
    </w:p>
    <w:p>
      <w:pPr>
        <w:sectPr>
          <w:pgSz w:w="11900" w:h="16913" w:orient="portrait"/>
          <w:cols w:equalWidth="0" w:num="1">
            <w:col w:w="11420"/>
          </w:cols>
          <w:pgMar w:left="240" w:top="0" w:right="239" w:bottom="0" w:gutter="0" w:footer="0" w:header="0"/>
        </w:sectPr>
      </w:pPr>
    </w:p>
    <w:bookmarkStart w:id="34" w:name="page35"/>
    <w:bookmarkEnd w:id="34"/>
    <w:p>
      <w:pPr>
        <w:ind w:left="2020" w:hanging="715"/>
        <w:spacing w:after="0"/>
        <w:tabs>
          <w:tab w:leader="none" w:pos="20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Additional Interest</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91" w:lineRule="auto"/>
        <w:tabs>
          <w:tab w:leader="none" w:pos="1991"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event that (i) the Issuers and the Guarantors have not filed the Exchange Offer Registration Statement or the Shelf Registration Statement with the Commission on or before the date on which such Registration Statement is required to be so filed pursuant to Section 2(a) and 3(b), respectively, or (ii) such Exchange Offer Registration Statement or Shelf Registration Statement has not been declared effective by the Commission under the Act on or before the date on which such Registration Statement is required to be declared effective under the Act pursuant to Section 2(a) or 3(b), respectively, or (iii) the Exchange Offer has not been consummated within 240 days after the date of issuance of the Securities, or (iv) the Exchange Offer Registration Statement or Shelf Registration Statement required by Section 2(a) or 3(b) hereof is filed and declared effective by the Commission under the Act but shall thereafter cease to be effective (except as specifically permitted herein) without being succeeded immediately by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an additional Registration Statement filed and declared effective by the Commission under the Act (each such event referred to in clauses (i) through (iv) is referred to herein as a “Registration Default”), then the interest rate on the Securities will be increased, for the period from the occurrence of the Registration Default until such time as all Registration Defaults are cured (at which time the interest rate will be reduced to its initial rate) by 0.25% per annum during the first 90-day period following the occurrence and during the continuation of the Registration Default, and by 0.25% per annum for each subsequent 90-day period during which such Registration Default continues. The interest rate will not at any time be increased by greater than 0.50% per annum.</w:t>
      </w:r>
    </w:p>
    <w:p>
      <w:pPr>
        <w:spacing w:after="0" w:line="158" w:lineRule="exact"/>
        <w:rPr>
          <w:sz w:val="20"/>
          <w:szCs w:val="20"/>
          <w:color w:val="auto"/>
        </w:rPr>
      </w:pPr>
    </w:p>
    <w:p>
      <w:pPr>
        <w:ind w:right="20" w:firstLine="1305"/>
        <w:spacing w:after="0" w:line="257" w:lineRule="auto"/>
        <w:tabs>
          <w:tab w:leader="none" w:pos="20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Without limiting the remedies available to the Initial Purchasers and the Holders, the Issuers and the Guarantors acknowledge that any failure by the Issuers or the Guarantors to comply with their obligations under Section 2(a) or 3(b)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Issuers’ and the Guarantors’ obligations under Section 2(a) or Section 3(b) hereof.</w:t>
      </w:r>
    </w:p>
    <w:p>
      <w:pPr>
        <w:spacing w:after="0" w:line="15" w:lineRule="exact"/>
        <w:rPr>
          <w:sz w:val="20"/>
          <w:szCs w:val="20"/>
          <w:color w:val="auto"/>
        </w:rPr>
      </w:pPr>
    </w:p>
    <w:p>
      <w:pPr>
        <w:ind w:right="580" w:firstLine="1305"/>
        <w:spacing w:after="0" w:line="316" w:lineRule="auto"/>
        <w:tabs>
          <w:tab w:leader="none" w:pos="2017" w:val="left"/>
        </w:tabs>
        <w:numPr>
          <w:ilvl w:val="0"/>
          <w:numId w:val="77"/>
        </w:numPr>
        <w:rPr>
          <w:rFonts w:ascii="Arial" w:cs="Arial" w:eastAsia="Arial" w:hAnsi="Arial"/>
          <w:sz w:val="36"/>
          <w:szCs w:val="36"/>
          <w:color w:val="auto"/>
          <w:vertAlign w:val="subscript"/>
        </w:rPr>
      </w:pPr>
      <w:r>
        <w:rPr>
          <w:rFonts w:ascii="Arial" w:cs="Arial" w:eastAsia="Arial" w:hAnsi="Arial"/>
          <w:sz w:val="36"/>
          <w:szCs w:val="36"/>
          <w:u w:val="single" w:color="auto"/>
          <w:color w:val="auto"/>
          <w:vertAlign w:val="subscript"/>
        </w:rPr>
        <w:t>Additional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In connection with any Shelf Registration Statement and, to the extent applicable, any Exchange Offer Registration Statement, the following provisions shall apply.</w:t>
      </w:r>
    </w:p>
    <w:p>
      <w:pPr>
        <w:spacing w:after="0" w:line="85" w:lineRule="exact"/>
        <w:rPr>
          <w:sz w:val="20"/>
          <w:szCs w:val="20"/>
          <w:color w:val="auto"/>
        </w:rPr>
      </w:pPr>
    </w:p>
    <w:p>
      <w:pPr>
        <w:ind w:left="2000" w:hanging="695"/>
        <w:spacing w:after="0"/>
        <w:tabs>
          <w:tab w:leader="none" w:pos="2000" w:val="left"/>
        </w:tabs>
        <w:numPr>
          <w:ilvl w:val="0"/>
          <w:numId w:val="78"/>
        </w:numPr>
        <w:rPr>
          <w:rFonts w:ascii="Arial" w:cs="Arial" w:eastAsia="Arial" w:hAnsi="Arial"/>
          <w:sz w:val="18"/>
          <w:szCs w:val="18"/>
          <w:color w:val="auto"/>
        </w:rPr>
      </w:pPr>
      <w:r>
        <w:rPr>
          <w:rFonts w:ascii="Arial" w:cs="Arial" w:eastAsia="Arial" w:hAnsi="Arial"/>
          <w:sz w:val="36"/>
          <w:szCs w:val="36"/>
          <w:color w:val="auto"/>
          <w:vertAlign w:val="superscript"/>
        </w:rPr>
        <w:t>The Issuers</w:t>
      </w:r>
      <w:r>
        <w:rPr>
          <w:rFonts w:ascii="Arial" w:cs="Arial" w:eastAsia="Arial" w:hAnsi="Arial"/>
          <w:sz w:val="18"/>
          <w:szCs w:val="18"/>
          <w:color w:val="auto"/>
        </w:rPr>
        <w:t xml:space="preserve"> and the Guarantors </w:t>
      </w:r>
      <w:r>
        <w:rPr>
          <w:rFonts w:ascii="Arial" w:cs="Arial" w:eastAsia="Arial" w:hAnsi="Arial"/>
          <w:sz w:val="36"/>
          <w:szCs w:val="36"/>
          <w:color w:val="auto"/>
          <w:vertAlign w:val="superscript"/>
        </w:rPr>
        <w:t>shall:</w:t>
      </w:r>
    </w:p>
    <w:p>
      <w:pPr>
        <w:spacing w:after="0" w:line="57" w:lineRule="exact"/>
        <w:rPr>
          <w:rFonts w:ascii="Arial" w:cs="Arial" w:eastAsia="Arial" w:hAnsi="Arial"/>
          <w:sz w:val="18"/>
          <w:szCs w:val="18"/>
          <w:color w:val="auto"/>
        </w:rPr>
      </w:pPr>
    </w:p>
    <w:p>
      <w:pPr>
        <w:ind w:left="660" w:right="100" w:firstLine="1293"/>
        <w:spacing w:after="0" w:line="227" w:lineRule="auto"/>
        <w:tabs>
          <w:tab w:leader="none" w:pos="2666" w:val="left"/>
        </w:tabs>
        <w:numPr>
          <w:ilvl w:val="1"/>
          <w:numId w:val="78"/>
        </w:numPr>
        <w:rPr>
          <w:rFonts w:ascii="Arial" w:cs="Arial" w:eastAsia="Arial" w:hAnsi="Arial"/>
          <w:sz w:val="28"/>
          <w:szCs w:val="28"/>
          <w:color w:val="auto"/>
          <w:vertAlign w:val="subscript"/>
        </w:rPr>
      </w:pPr>
      <w:r>
        <w:rPr>
          <w:rFonts w:ascii="Arial" w:cs="Arial" w:eastAsia="Arial" w:hAnsi="Arial"/>
          <w:sz w:val="15"/>
          <w:szCs w:val="15"/>
          <w:color w:val="auto"/>
        </w:rPr>
        <w:t xml:space="preserve">furnish to you, </w:t>
      </w:r>
      <w:r>
        <w:rPr>
          <w:rFonts w:ascii="Arial" w:cs="Arial" w:eastAsia="Arial" w:hAnsi="Arial"/>
          <w:sz w:val="28"/>
          <w:szCs w:val="28"/>
          <w:color w:val="auto"/>
          <w:vertAlign w:val="subscript"/>
        </w:rPr>
        <w:t>not less than five Business Days</w:t>
      </w:r>
      <w:r>
        <w:rPr>
          <w:rFonts w:ascii="Arial" w:cs="Arial" w:eastAsia="Arial" w:hAnsi="Arial"/>
          <w:sz w:val="15"/>
          <w:szCs w:val="15"/>
          <w:color w:val="auto"/>
        </w:rPr>
        <w:t xml:space="preserve"> prior to the filing thereof with the Commission, a copy of any Exchange Offer Registration Statement </w:t>
      </w:r>
      <w:r>
        <w:rPr>
          <w:rFonts w:ascii="Arial" w:cs="Arial" w:eastAsia="Arial" w:hAnsi="Arial"/>
          <w:sz w:val="28"/>
          <w:szCs w:val="28"/>
          <w:color w:val="auto"/>
          <w:vertAlign w:val="subscript"/>
        </w:rPr>
        <w:t>and any</w:t>
      </w:r>
      <w:r>
        <w:rPr>
          <w:rFonts w:ascii="Arial" w:cs="Arial" w:eastAsia="Arial" w:hAnsi="Arial"/>
          <w:sz w:val="15"/>
          <w:szCs w:val="15"/>
          <w:color w:val="auto"/>
        </w:rPr>
        <w:t xml:space="preserve"> Shelf Registration Statement, and each amendment thereof and each amendment or supplement, if any, to the</w:t>
      </w:r>
    </w:p>
    <w:p>
      <w:pPr>
        <w:spacing w:after="0" w:line="1" w:lineRule="exact"/>
        <w:rPr>
          <w:sz w:val="20"/>
          <w:szCs w:val="20"/>
          <w:color w:val="auto"/>
        </w:rPr>
      </w:pPr>
    </w:p>
    <w:p>
      <w:pPr>
        <w:ind w:left="660" w:right="400"/>
        <w:spacing w:after="0" w:line="190" w:lineRule="auto"/>
        <w:rPr>
          <w:sz w:val="20"/>
          <w:szCs w:val="20"/>
          <w:color w:val="auto"/>
        </w:rPr>
      </w:pPr>
      <w:r>
        <w:rPr>
          <w:rFonts w:ascii="Arial" w:cs="Arial" w:eastAsia="Arial" w:hAnsi="Arial"/>
          <w:sz w:val="31"/>
          <w:szCs w:val="31"/>
          <w:color w:val="auto"/>
          <w:vertAlign w:val="superscript"/>
        </w:rPr>
        <w:t>Prospectus included therein</w:t>
      </w:r>
      <w:r>
        <w:rPr>
          <w:rFonts w:ascii="Arial" w:cs="Arial" w:eastAsia="Arial" w:hAnsi="Arial"/>
          <w:sz w:val="16"/>
          <w:szCs w:val="16"/>
          <w:color w:val="auto"/>
        </w:rPr>
        <w:t xml:space="preserve"> (including all documents incorporated by reference therein after the initial filing) </w:t>
      </w:r>
      <w:r>
        <w:rPr>
          <w:rFonts w:ascii="Arial" w:cs="Arial" w:eastAsia="Arial" w:hAnsi="Arial"/>
          <w:sz w:val="31"/>
          <w:szCs w:val="31"/>
          <w:color w:val="auto"/>
          <w:vertAlign w:val="superscript"/>
        </w:rPr>
        <w:t>and shall use their reasonable best</w:t>
      </w:r>
      <w:r>
        <w:rPr>
          <w:rFonts w:ascii="Arial" w:cs="Arial" w:eastAsia="Arial" w:hAnsi="Arial"/>
          <w:sz w:val="16"/>
          <w:szCs w:val="16"/>
          <w:color w:val="auto"/>
        </w:rPr>
        <w:t xml:space="preserve"> efforts to reflect in each such document, when so filed with the Commission, such comments as you reasonably propose</w:t>
      </w:r>
      <w:r>
        <w:rPr>
          <w:rFonts w:ascii="Arial" w:cs="Arial" w:eastAsia="Arial" w:hAnsi="Arial"/>
          <w:sz w:val="31"/>
          <w:szCs w:val="31"/>
          <w:color w:val="auto"/>
          <w:vertAlign w:val="subscript"/>
        </w:rPr>
        <w:t>;</w:t>
      </w:r>
    </w:p>
    <w:p>
      <w:pPr>
        <w:spacing w:after="0" w:line="31" w:lineRule="exact"/>
        <w:rPr>
          <w:sz w:val="20"/>
          <w:szCs w:val="20"/>
          <w:color w:val="auto"/>
        </w:rPr>
      </w:pPr>
    </w:p>
    <w:p>
      <w:pPr>
        <w:ind w:left="660" w:right="100" w:firstLine="1293"/>
        <w:spacing w:after="0" w:line="305" w:lineRule="auto"/>
        <w:tabs>
          <w:tab w:leader="none" w:pos="2671"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include the information set forth in Annex A hereto on the </w:t>
      </w:r>
      <w:r>
        <w:rPr>
          <w:rFonts w:ascii="Arial" w:cs="Arial" w:eastAsia="Arial" w:hAnsi="Arial"/>
          <w:sz w:val="31"/>
          <w:szCs w:val="31"/>
          <w:color w:val="auto"/>
          <w:vertAlign w:val="subscript"/>
        </w:rPr>
        <w:t>facing page</w:t>
      </w:r>
      <w:r>
        <w:rPr>
          <w:rFonts w:ascii="Arial" w:cs="Arial" w:eastAsia="Arial" w:hAnsi="Arial"/>
          <w:sz w:val="16"/>
          <w:szCs w:val="16"/>
          <w:color w:val="auto"/>
        </w:rPr>
        <w:t xml:space="preserve"> of the Exchange Offer Registration Statement, in Annex B hereto in the forepart of the Exchange Offer Registration Statement in a section setting forth details of the Exchange Offer, in Annex C</w:t>
      </w:r>
    </w:p>
    <w:p>
      <w:pPr>
        <w:ind w:left="660" w:right="120"/>
        <w:spacing w:after="0" w:line="219" w:lineRule="auto"/>
        <w:rPr>
          <w:sz w:val="20"/>
          <w:szCs w:val="20"/>
          <w:color w:val="auto"/>
        </w:rPr>
      </w:pPr>
      <w:r>
        <w:rPr>
          <w:rFonts w:ascii="Arial" w:cs="Arial" w:eastAsia="Arial" w:hAnsi="Arial"/>
          <w:sz w:val="18"/>
          <w:szCs w:val="18"/>
          <w:color w:val="auto"/>
        </w:rPr>
        <w:t xml:space="preserve">hereto in the underwriting or plan of distribution section of the Prospectus </w:t>
      </w:r>
      <w:r>
        <w:rPr>
          <w:rFonts w:ascii="Arial" w:cs="Arial" w:eastAsia="Arial" w:hAnsi="Arial"/>
          <w:sz w:val="36"/>
          <w:szCs w:val="36"/>
          <w:color w:val="auto"/>
          <w:vertAlign w:val="subscript"/>
        </w:rPr>
        <w:t>contained in</w:t>
      </w:r>
      <w:r>
        <w:rPr>
          <w:rFonts w:ascii="Arial" w:cs="Arial" w:eastAsia="Arial" w:hAnsi="Arial"/>
          <w:sz w:val="18"/>
          <w:szCs w:val="18"/>
          <w:color w:val="auto"/>
        </w:rPr>
        <w:t xml:space="preserve"> the Exchange Offer Registration Statement, and in Annex D hereto in the letter of transmittal delivered pursuant to the Registered Exchange Offer;</w:t>
      </w:r>
    </w:p>
    <w:p>
      <w:pPr>
        <w:spacing w:after="0" w:line="43" w:lineRule="exact"/>
        <w:rPr>
          <w:sz w:val="20"/>
          <w:szCs w:val="20"/>
          <w:color w:val="auto"/>
        </w:rPr>
      </w:pPr>
    </w:p>
    <w:p>
      <w:pPr>
        <w:ind w:left="660" w:right="780" w:firstLine="1293"/>
        <w:spacing w:after="0" w:line="218" w:lineRule="auto"/>
        <w:tabs>
          <w:tab w:leader="none" w:pos="2676" w:val="left"/>
        </w:tabs>
        <w:numPr>
          <w:ilvl w:val="0"/>
          <w:numId w:val="80"/>
        </w:numPr>
        <w:rPr>
          <w:rFonts w:ascii="Arial" w:cs="Arial" w:eastAsia="Arial" w:hAnsi="Arial"/>
          <w:sz w:val="36"/>
          <w:szCs w:val="36"/>
          <w:color w:val="auto"/>
          <w:vertAlign w:val="subscript"/>
        </w:rPr>
      </w:pPr>
      <w:r>
        <w:rPr>
          <w:rFonts w:ascii="Arial" w:cs="Arial" w:eastAsia="Arial" w:hAnsi="Arial"/>
          <w:sz w:val="18"/>
          <w:szCs w:val="18"/>
          <w:color w:val="auto"/>
        </w:rPr>
        <w:t xml:space="preserve">if requested by </w:t>
      </w:r>
      <w:r>
        <w:rPr>
          <w:rFonts w:ascii="Arial" w:cs="Arial" w:eastAsia="Arial" w:hAnsi="Arial"/>
          <w:sz w:val="36"/>
          <w:szCs w:val="36"/>
          <w:color w:val="auto"/>
          <w:vertAlign w:val="subscript"/>
        </w:rPr>
        <w:t>an</w:t>
      </w:r>
      <w:r>
        <w:rPr>
          <w:rFonts w:ascii="Arial" w:cs="Arial" w:eastAsia="Arial" w:hAnsi="Arial"/>
          <w:sz w:val="18"/>
          <w:szCs w:val="18"/>
          <w:color w:val="auto"/>
        </w:rPr>
        <w:t xml:space="preserve"> Initial Purchaser, include the information required by Item 507 or 508 of Regulation S-K, as applicable, in the Prospectus </w:t>
      </w:r>
      <w:r>
        <w:rPr>
          <w:rFonts w:ascii="Arial" w:cs="Arial" w:eastAsia="Arial" w:hAnsi="Arial"/>
          <w:sz w:val="36"/>
          <w:szCs w:val="36"/>
          <w:color w:val="auto"/>
          <w:vertAlign w:val="subscript"/>
        </w:rPr>
        <w:t>contained in</w:t>
      </w:r>
      <w:r>
        <w:rPr>
          <w:rFonts w:ascii="Arial" w:cs="Arial" w:eastAsia="Arial" w:hAnsi="Arial"/>
          <w:sz w:val="18"/>
          <w:szCs w:val="18"/>
          <w:color w:val="auto"/>
        </w:rPr>
        <w:t xml:space="preserve"> the Shelf Registration Statement; </w:t>
      </w:r>
      <w:r>
        <w:rPr>
          <w:rFonts w:ascii="Arial" w:cs="Arial" w:eastAsia="Arial" w:hAnsi="Arial"/>
          <w:sz w:val="36"/>
          <w:szCs w:val="36"/>
          <w:color w:val="auto"/>
          <w:vertAlign w:val="subscript"/>
        </w:rPr>
        <w:t>and</w:t>
      </w:r>
    </w:p>
    <w:p>
      <w:pPr>
        <w:spacing w:after="0" w:line="204" w:lineRule="exact"/>
        <w:rPr>
          <w:rFonts w:ascii="Arial" w:cs="Arial" w:eastAsia="Arial" w:hAnsi="Arial"/>
          <w:sz w:val="36"/>
          <w:szCs w:val="36"/>
          <w:color w:val="auto"/>
          <w:vertAlign w:val="subscript"/>
        </w:rPr>
      </w:pPr>
    </w:p>
    <w:p>
      <w:pPr>
        <w:ind w:left="660" w:right="80" w:firstLine="1293"/>
        <w:spacing w:after="0" w:line="218" w:lineRule="auto"/>
        <w:tabs>
          <w:tab w:leader="none" w:pos="2666" w:val="left"/>
        </w:tabs>
        <w:numPr>
          <w:ilvl w:val="0"/>
          <w:numId w:val="80"/>
        </w:numPr>
        <w:rPr>
          <w:rFonts w:ascii="Arial" w:cs="Arial" w:eastAsia="Arial" w:hAnsi="Arial"/>
          <w:sz w:val="36"/>
          <w:szCs w:val="36"/>
          <w:color w:val="auto"/>
          <w:vertAlign w:val="superscript"/>
        </w:rPr>
      </w:pPr>
      <w:r>
        <w:rPr>
          <w:rFonts w:ascii="Arial" w:cs="Arial" w:eastAsia="Arial" w:hAnsi="Arial"/>
          <w:sz w:val="18"/>
          <w:szCs w:val="18"/>
          <w:color w:val="auto"/>
        </w:rPr>
        <w:t xml:space="preserve">in the case of a Shelf </w:t>
      </w:r>
      <w:r>
        <w:rPr>
          <w:rFonts w:ascii="Arial" w:cs="Arial" w:eastAsia="Arial" w:hAnsi="Arial"/>
          <w:sz w:val="36"/>
          <w:szCs w:val="36"/>
          <w:color w:val="auto"/>
          <w:vertAlign w:val="superscript"/>
        </w:rPr>
        <w:t>Registration</w:t>
      </w:r>
      <w:r>
        <w:rPr>
          <w:rFonts w:ascii="Arial" w:cs="Arial" w:eastAsia="Arial" w:hAnsi="Arial"/>
          <w:sz w:val="18"/>
          <w:szCs w:val="18"/>
          <w:color w:val="auto"/>
        </w:rPr>
        <w:t xml:space="preserve"> Statement, include the names of the Holders that propose to sell Securities pursuant to the Shelf Registration Statement as selling security holders</w:t>
      </w:r>
      <w:r>
        <w:rPr>
          <w:rFonts w:ascii="Arial" w:cs="Arial" w:eastAsia="Arial" w:hAnsi="Arial"/>
          <w:sz w:val="36"/>
          <w:szCs w:val="36"/>
          <w:color w:val="auto"/>
          <w:vertAlign w:val="superscript"/>
        </w:rPr>
        <w: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000" w:hanging="695"/>
        <w:spacing w:after="0"/>
        <w:tabs>
          <w:tab w:leader="none" w:pos="2000" w:val="left"/>
        </w:tabs>
        <w:numPr>
          <w:ilvl w:val="0"/>
          <w:numId w:val="81"/>
        </w:numPr>
        <w:rPr>
          <w:rFonts w:ascii="Arial" w:cs="Arial" w:eastAsia="Arial" w:hAnsi="Arial"/>
          <w:sz w:val="36"/>
          <w:szCs w:val="36"/>
          <w:color w:val="auto"/>
          <w:vertAlign w:val="subscript"/>
        </w:rPr>
      </w:pPr>
      <w:r>
        <w:rPr>
          <w:rFonts w:ascii="Arial" w:cs="Arial" w:eastAsia="Arial" w:hAnsi="Arial"/>
          <w:sz w:val="18"/>
          <w:szCs w:val="18"/>
          <w:color w:val="auto"/>
        </w:rPr>
        <w:t xml:space="preserve">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shall ensure that:</w:t>
      </w:r>
    </w:p>
    <w:p>
      <w:pPr>
        <w:spacing w:after="0" w:line="258" w:lineRule="exact"/>
        <w:rPr>
          <w:rFonts w:ascii="Arial" w:cs="Arial" w:eastAsia="Arial" w:hAnsi="Arial"/>
          <w:sz w:val="36"/>
          <w:szCs w:val="36"/>
          <w:color w:val="auto"/>
          <w:vertAlign w:val="subscript"/>
        </w:rPr>
      </w:pPr>
    </w:p>
    <w:p>
      <w:pPr>
        <w:ind w:left="660" w:right="140" w:firstLine="1293"/>
        <w:spacing w:after="0" w:line="198" w:lineRule="auto"/>
        <w:tabs>
          <w:tab w:leader="none" w:pos="2666" w:val="left"/>
        </w:tabs>
        <w:numPr>
          <w:ilvl w:val="1"/>
          <w:numId w:val="81"/>
        </w:numPr>
        <w:rPr>
          <w:rFonts w:ascii="Arial" w:cs="Arial" w:eastAsia="Arial" w:hAnsi="Arial"/>
          <w:sz w:val="36"/>
          <w:szCs w:val="36"/>
          <w:color w:val="auto"/>
          <w:vertAlign w:val="subscript"/>
        </w:rPr>
      </w:pPr>
      <w:r>
        <w:rPr>
          <w:rFonts w:ascii="Arial" w:cs="Arial" w:eastAsia="Arial" w:hAnsi="Arial"/>
          <w:sz w:val="18"/>
          <w:szCs w:val="18"/>
          <w:color w:val="auto"/>
        </w:rPr>
        <w:t>any Registration Statement and any amendment thereto and any Prospectus forming part thereof and any amendment or supplement thereto comply in all material respects with the Act and the rules and regulations thereunder; and</w:t>
      </w:r>
    </w:p>
    <w:p>
      <w:pPr>
        <w:spacing w:after="0" w:line="217" w:lineRule="exact"/>
        <w:rPr>
          <w:rFonts w:ascii="Arial" w:cs="Arial" w:eastAsia="Arial" w:hAnsi="Arial"/>
          <w:sz w:val="36"/>
          <w:szCs w:val="36"/>
          <w:color w:val="auto"/>
          <w:vertAlign w:val="subscript"/>
        </w:rPr>
      </w:pPr>
    </w:p>
    <w:p>
      <w:pPr>
        <w:ind w:left="660" w:right="80" w:firstLine="1293"/>
        <w:spacing w:after="0" w:line="234" w:lineRule="auto"/>
        <w:tabs>
          <w:tab w:leader="none" w:pos="2671"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Registration Statement and any amendment thereto do not, when they become effective, contain an untrue statement of a material fact or omit to state a material fact required to be stated therein or necessary to make the statements therein not misleading</w:t>
      </w:r>
      <w:r>
        <w:rPr>
          <w:rFonts w:ascii="Arial" w:cs="Arial" w:eastAsia="Arial" w:hAnsi="Arial"/>
          <w:sz w:val="31"/>
          <w:szCs w:val="31"/>
          <w:color w:val="auto"/>
          <w:vertAlign w:val="subscript"/>
        </w:rPr>
        <w:t>.</w:t>
      </w:r>
    </w:p>
    <w:p>
      <w:pPr>
        <w:spacing w:after="0" w:line="29" w:lineRule="exact"/>
        <w:rPr>
          <w:rFonts w:ascii="Arial" w:cs="Arial" w:eastAsia="Arial" w:hAnsi="Arial"/>
          <w:sz w:val="16"/>
          <w:szCs w:val="16"/>
          <w:color w:val="auto"/>
        </w:rPr>
      </w:pPr>
    </w:p>
    <w:p>
      <w:pPr>
        <w:ind w:right="40" w:firstLine="1305"/>
        <w:spacing w:after="0" w:line="198" w:lineRule="auto"/>
        <w:tabs>
          <w:tab w:leader="none" w:pos="1991" w:val="left"/>
        </w:tabs>
        <w:numPr>
          <w:ilvl w:val="0"/>
          <w:numId w:val="81"/>
        </w:numPr>
        <w:rPr>
          <w:rFonts w:ascii="Arial" w:cs="Arial" w:eastAsia="Arial" w:hAnsi="Arial"/>
          <w:sz w:val="36"/>
          <w:szCs w:val="36"/>
          <w:color w:val="auto"/>
          <w:vertAlign w:val="subscript"/>
        </w:rPr>
      </w:pPr>
      <w:r>
        <w:rPr>
          <w:rFonts w:ascii="Arial" w:cs="Arial" w:eastAsia="Arial" w:hAnsi="Arial"/>
          <w:sz w:val="18"/>
          <w:szCs w:val="18"/>
          <w:color w:val="auto"/>
        </w:rPr>
        <w:t xml:space="preserve">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shall advise you, the Holders of Securities covered by any Shelf Registration Statement and any Exchanging Dealer </w:t>
      </w:r>
      <w:r>
        <w:rPr>
          <w:rFonts w:ascii="Arial" w:cs="Arial" w:eastAsia="Arial" w:hAnsi="Arial"/>
          <w:sz w:val="36"/>
          <w:szCs w:val="36"/>
          <w:color w:val="auto"/>
          <w:vertAlign w:val="subscript"/>
        </w:rPr>
        <w:t>under any Exchange Offer Registration Statement that</w:t>
      </w:r>
      <w:r>
        <w:rPr>
          <w:rFonts w:ascii="Arial" w:cs="Arial" w:eastAsia="Arial" w:hAnsi="Arial"/>
          <w:sz w:val="18"/>
          <w:szCs w:val="18"/>
          <w:color w:val="auto"/>
        </w:rPr>
        <w:t xml:space="preserve"> has provided in writing to 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a telephone or facsimile number and address for notices</w:t>
      </w:r>
      <w:r>
        <w:rPr>
          <w:rFonts w:ascii="Arial" w:cs="Arial" w:eastAsia="Arial" w:hAnsi="Arial"/>
          <w:sz w:val="36"/>
          <w:szCs w:val="36"/>
          <w:color w:val="auto"/>
          <w:vertAlign w:val="subscript"/>
        </w:rPr>
        <w:t>,</w:t>
      </w:r>
      <w:r>
        <w:rPr>
          <w:rFonts w:ascii="Arial" w:cs="Arial" w:eastAsia="Arial" w:hAnsi="Arial"/>
          <w:sz w:val="18"/>
          <w:szCs w:val="18"/>
          <w:color w:val="auto"/>
        </w:rPr>
        <w:t xml:space="preserve"> and, if requested </w:t>
      </w:r>
      <w:r>
        <w:rPr>
          <w:rFonts w:ascii="Arial" w:cs="Arial" w:eastAsia="Arial" w:hAnsi="Arial"/>
          <w:sz w:val="36"/>
          <w:szCs w:val="36"/>
          <w:color w:val="auto"/>
          <w:vertAlign w:val="subscript"/>
        </w:rPr>
        <w:t>in writing</w:t>
      </w:r>
      <w:r>
        <w:rPr>
          <w:rFonts w:ascii="Arial" w:cs="Arial" w:eastAsia="Arial" w:hAnsi="Arial"/>
          <w:sz w:val="18"/>
          <w:szCs w:val="18"/>
          <w:color w:val="auto"/>
        </w:rPr>
        <w:t xml:space="preserve"> by you or any such Holder or Exchanging Dealer, </w:t>
      </w:r>
      <w:r>
        <w:rPr>
          <w:rFonts w:ascii="Arial" w:cs="Arial" w:eastAsia="Arial" w:hAnsi="Arial"/>
          <w:sz w:val="36"/>
          <w:szCs w:val="36"/>
          <w:color w:val="auto"/>
          <w:vertAlign w:val="subscript"/>
        </w:rPr>
        <w:t>shall</w:t>
      </w:r>
      <w:r>
        <w:rPr>
          <w:rFonts w:ascii="Arial" w:cs="Arial" w:eastAsia="Arial" w:hAnsi="Arial"/>
          <w:sz w:val="18"/>
          <w:szCs w:val="18"/>
          <w:color w:val="auto"/>
        </w:rPr>
        <w:t xml:space="preserve"> confirm such advice in writing </w:t>
      </w:r>
      <w:r>
        <w:rPr>
          <w:rFonts w:ascii="Arial" w:cs="Arial" w:eastAsia="Arial" w:hAnsi="Arial"/>
          <w:sz w:val="36"/>
          <w:szCs w:val="36"/>
          <w:color w:val="auto"/>
          <w:vertAlign w:val="subscript"/>
        </w:rPr>
        <w:t>(which</w:t>
      </w:r>
      <w:r>
        <w:rPr>
          <w:rFonts w:ascii="Arial" w:cs="Arial" w:eastAsia="Arial" w:hAnsi="Arial"/>
          <w:sz w:val="18"/>
          <w:szCs w:val="18"/>
          <w:color w:val="auto"/>
        </w:rPr>
        <w:t xml:space="preserve"> notice pursuant to clauses (ii)-(v) hereof shall be accompanied by an instruction to suspend the use of the Prospectus until the Issuers and the Guarantors shall have remedied the basis for such suspension)</w:t>
      </w:r>
      <w:r>
        <w:rPr>
          <w:rFonts w:ascii="Arial" w:cs="Arial" w:eastAsia="Arial" w:hAnsi="Arial"/>
          <w:sz w:val="36"/>
          <w:szCs w:val="36"/>
          <w:color w:val="auto"/>
          <w:vertAlign w:val="superscript"/>
        </w:rPr>
        <w:t>:</w:t>
      </w:r>
    </w:p>
    <w:p>
      <w:pPr>
        <w:spacing w:after="0" w:line="32" w:lineRule="exact"/>
        <w:rPr>
          <w:rFonts w:ascii="Arial" w:cs="Arial" w:eastAsia="Arial" w:hAnsi="Arial"/>
          <w:sz w:val="36"/>
          <w:szCs w:val="36"/>
          <w:color w:val="auto"/>
          <w:vertAlign w:val="subscript"/>
        </w:rPr>
      </w:pPr>
    </w:p>
    <w:p>
      <w:pPr>
        <w:ind w:left="660" w:right="780" w:firstLine="1293"/>
        <w:spacing w:after="0" w:line="324" w:lineRule="auto"/>
        <w:tabs>
          <w:tab w:leader="none" w:pos="2666" w:val="left"/>
        </w:tabs>
        <w:numPr>
          <w:ilvl w:val="1"/>
          <w:numId w:val="81"/>
        </w:numPr>
        <w:rPr>
          <w:rFonts w:ascii="Arial" w:cs="Arial" w:eastAsia="Arial" w:hAnsi="Arial"/>
          <w:sz w:val="18"/>
          <w:szCs w:val="18"/>
          <w:color w:val="auto"/>
        </w:rPr>
      </w:pPr>
      <w:r>
        <w:rPr>
          <w:rFonts w:ascii="Arial" w:cs="Arial" w:eastAsia="Arial" w:hAnsi="Arial"/>
          <w:sz w:val="18"/>
          <w:szCs w:val="18"/>
          <w:color w:val="auto"/>
        </w:rPr>
        <w:t>when a Registration Statement and any amendment thereto have been filed with the Commission and when the Registration Statement or any post-effective amendment thereto has become effective;</w:t>
      </w:r>
    </w:p>
    <w:p>
      <w:pPr>
        <w:sectPr>
          <w:pgSz w:w="11900" w:h="16838" w:orient="portrait"/>
          <w:cols w:equalWidth="0" w:num="1">
            <w:col w:w="11420"/>
          </w:cols>
          <w:pgMar w:left="240" w:top="341" w:right="239" w:bottom="0" w:gutter="0" w:footer="0" w:header="0"/>
        </w:sectPr>
      </w:pPr>
    </w:p>
    <w:bookmarkStart w:id="35" w:name="page36"/>
    <w:bookmarkEnd w:id="35"/>
    <w:p>
      <w:pPr>
        <w:spacing w:after="0" w:line="7" w:lineRule="exact"/>
        <w:rPr>
          <w:sz w:val="20"/>
          <w:szCs w:val="20"/>
          <w:color w:val="auto"/>
        </w:rPr>
      </w:pPr>
    </w:p>
    <w:p>
      <w:pPr>
        <w:ind w:left="2660" w:hanging="707"/>
        <w:spacing w:after="0"/>
        <w:tabs>
          <w:tab w:leader="none" w:pos="26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of any request by the Commission for </w:t>
      </w:r>
      <w:r>
        <w:rPr>
          <w:rFonts w:ascii="Arial" w:cs="Arial" w:eastAsia="Arial" w:hAnsi="Arial"/>
          <w:sz w:val="31"/>
          <w:szCs w:val="31"/>
          <w:color w:val="auto"/>
          <w:vertAlign w:val="subscript"/>
        </w:rPr>
        <w:t>any</w:t>
      </w:r>
      <w:r>
        <w:rPr>
          <w:rFonts w:ascii="Arial" w:cs="Arial" w:eastAsia="Arial" w:hAnsi="Arial"/>
          <w:sz w:val="16"/>
          <w:szCs w:val="16"/>
          <w:color w:val="auto"/>
        </w:rPr>
        <w:t xml:space="preserve"> amendment or supplement to the Registration Statement or the Prospectus or</w:t>
      </w:r>
    </w:p>
    <w:p>
      <w:pPr>
        <w:spacing w:after="0" w:line="6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 additional information;</w:t>
      </w:r>
    </w:p>
    <w:p>
      <w:pPr>
        <w:spacing w:after="0" w:line="224" w:lineRule="exact"/>
        <w:rPr>
          <w:rFonts w:ascii="Arial" w:cs="Arial" w:eastAsia="Arial" w:hAnsi="Arial"/>
          <w:sz w:val="16"/>
          <w:szCs w:val="16"/>
          <w:color w:val="auto"/>
        </w:rPr>
      </w:pPr>
    </w:p>
    <w:p>
      <w:pPr>
        <w:ind w:left="660" w:right="260" w:firstLine="1293"/>
        <w:spacing w:after="0" w:line="322" w:lineRule="auto"/>
        <w:tabs>
          <w:tab w:leader="none" w:pos="2677" w:val="left"/>
        </w:tabs>
        <w:numPr>
          <w:ilvl w:val="1"/>
          <w:numId w:val="82"/>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the Registration Statement or the initiation of any proceedings for that purpose;</w:t>
      </w:r>
    </w:p>
    <w:p>
      <w:pPr>
        <w:ind w:left="660" w:right="160" w:firstLine="1293"/>
        <w:spacing w:after="0" w:line="316" w:lineRule="auto"/>
        <w:tabs>
          <w:tab w:leader="none" w:pos="2666"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of the receipt by 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of any notification with respect to the suspension of the qualification of the Securities included therein for sale in any jurisdiction or the initiation of any proceeding for such purpose; and</w:t>
      </w:r>
    </w:p>
    <w:p>
      <w:pPr>
        <w:spacing w:after="0" w:line="84" w:lineRule="exact"/>
        <w:rPr>
          <w:rFonts w:ascii="Arial" w:cs="Arial" w:eastAsia="Arial" w:hAnsi="Arial"/>
          <w:sz w:val="18"/>
          <w:szCs w:val="18"/>
          <w:color w:val="auto"/>
        </w:rPr>
      </w:pPr>
    </w:p>
    <w:p>
      <w:pPr>
        <w:ind w:left="660" w:right="60" w:firstLine="1293"/>
        <w:spacing w:after="0" w:line="261" w:lineRule="auto"/>
        <w:tabs>
          <w:tab w:leader="none" w:pos="2661"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of the happening of any event that requires any change in the Registration Statement or the Prospectus so that, as of such date, the statements therein are not misleading and do not omit to state a material fact required to be stated therein or necessary to make the statements therein (in the case of the Prospectus, in </w:t>
      </w:r>
      <w:r>
        <w:rPr>
          <w:rFonts w:ascii="Arial" w:cs="Arial" w:eastAsia="Arial" w:hAnsi="Arial"/>
          <w:sz w:val="34"/>
          <w:szCs w:val="34"/>
          <w:color w:val="auto"/>
          <w:vertAlign w:val="subscript"/>
        </w:rPr>
        <w:t>the</w:t>
      </w:r>
      <w:r>
        <w:rPr>
          <w:rFonts w:ascii="Arial" w:cs="Arial" w:eastAsia="Arial" w:hAnsi="Arial"/>
          <w:sz w:val="17"/>
          <w:szCs w:val="17"/>
          <w:color w:val="auto"/>
        </w:rPr>
        <w:t xml:space="preserve"> light of the circumstances under which they were made) not misleading</w:t>
      </w:r>
      <w:r>
        <w:rPr>
          <w:rFonts w:ascii="Arial" w:cs="Arial" w:eastAsia="Arial" w:hAnsi="Arial"/>
          <w:sz w:val="28"/>
          <w:szCs w:val="28"/>
          <w:color w:val="auto"/>
          <w:vertAlign w:val="superscript"/>
        </w:rPr>
        <w:t>.</w:t>
      </w:r>
    </w:p>
    <w:p>
      <w:pPr>
        <w:spacing w:after="0" w:line="2" w:lineRule="exact"/>
        <w:rPr>
          <w:rFonts w:ascii="Arial" w:cs="Arial" w:eastAsia="Arial" w:hAnsi="Arial"/>
          <w:sz w:val="17"/>
          <w:szCs w:val="17"/>
          <w:color w:val="auto"/>
        </w:rPr>
      </w:pPr>
    </w:p>
    <w:p>
      <w:pPr>
        <w:ind w:right="620" w:firstLine="1305"/>
        <w:spacing w:after="0" w:line="281" w:lineRule="auto"/>
        <w:tabs>
          <w:tab w:leader="none" w:pos="2001"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The Issuers </w:t>
      </w:r>
      <w:r>
        <w:rPr>
          <w:rFonts w:ascii="Arial" w:cs="Arial" w:eastAsia="Arial" w:hAnsi="Arial"/>
          <w:sz w:val="28"/>
          <w:szCs w:val="28"/>
          <w:color w:val="auto"/>
          <w:vertAlign w:val="subscript"/>
        </w:rPr>
        <w:t>and the Guarantors</w:t>
      </w:r>
      <w:r>
        <w:rPr>
          <w:rFonts w:ascii="Arial" w:cs="Arial" w:eastAsia="Arial" w:hAnsi="Arial"/>
          <w:sz w:val="15"/>
          <w:szCs w:val="15"/>
          <w:color w:val="auto"/>
        </w:rPr>
        <w:t xml:space="preserve"> shall use their </w:t>
      </w:r>
      <w:r>
        <w:rPr>
          <w:rFonts w:ascii="Arial" w:cs="Arial" w:eastAsia="Arial" w:hAnsi="Arial"/>
          <w:sz w:val="28"/>
          <w:szCs w:val="28"/>
          <w:color w:val="auto"/>
          <w:vertAlign w:val="subscript"/>
        </w:rPr>
        <w:t>reasonable</w:t>
      </w:r>
      <w:r>
        <w:rPr>
          <w:rFonts w:ascii="Arial" w:cs="Arial" w:eastAsia="Arial" w:hAnsi="Arial"/>
          <w:sz w:val="15"/>
          <w:szCs w:val="15"/>
          <w:color w:val="auto"/>
        </w:rPr>
        <w:t xml:space="preserve"> best efforts to obtain the withdrawal of any order suspending the effectiveness of any Registration Statement </w:t>
      </w:r>
      <w:r>
        <w:rPr>
          <w:rFonts w:ascii="Arial" w:cs="Arial" w:eastAsia="Arial" w:hAnsi="Arial"/>
          <w:sz w:val="28"/>
          <w:szCs w:val="28"/>
          <w:color w:val="auto"/>
          <w:vertAlign w:val="subscript"/>
        </w:rPr>
        <w:t>or the qualification of the Securities therein for sale in any jurisdiction</w:t>
      </w:r>
      <w:r>
        <w:rPr>
          <w:rFonts w:ascii="Arial" w:cs="Arial" w:eastAsia="Arial" w:hAnsi="Arial"/>
          <w:sz w:val="15"/>
          <w:szCs w:val="15"/>
          <w:color w:val="auto"/>
        </w:rPr>
        <w:t xml:space="preserve"> at the earliest possible time.</w:t>
      </w:r>
    </w:p>
    <w:p>
      <w:pPr>
        <w:spacing w:after="0" w:line="2" w:lineRule="exact"/>
        <w:rPr>
          <w:rFonts w:ascii="Arial" w:cs="Arial" w:eastAsia="Arial" w:hAnsi="Arial"/>
          <w:sz w:val="15"/>
          <w:szCs w:val="15"/>
          <w:color w:val="auto"/>
        </w:rPr>
      </w:pPr>
    </w:p>
    <w:p>
      <w:pPr>
        <w:ind w:right="280" w:firstLine="1305"/>
        <w:spacing w:after="0" w:line="268" w:lineRule="auto"/>
        <w:tabs>
          <w:tab w:leader="none" w:pos="1991"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shall furnish to each Holder of Securities </w:t>
      </w:r>
      <w:r>
        <w:rPr>
          <w:rFonts w:ascii="Arial" w:cs="Arial" w:eastAsia="Arial" w:hAnsi="Arial"/>
          <w:sz w:val="31"/>
          <w:szCs w:val="31"/>
          <w:color w:val="auto"/>
          <w:vertAlign w:val="subscript"/>
        </w:rPr>
        <w:t>covered by</w:t>
      </w:r>
      <w:r>
        <w:rPr>
          <w:rFonts w:ascii="Arial" w:cs="Arial" w:eastAsia="Arial" w:hAnsi="Arial"/>
          <w:sz w:val="16"/>
          <w:szCs w:val="16"/>
          <w:color w:val="auto"/>
        </w:rPr>
        <w:t xml:space="preserve"> any Shelf Registration Statement, without charge, at least one copy of such Shelf Registration Statement and any post-effective amendment thereto, including </w:t>
      </w:r>
      <w:r>
        <w:rPr>
          <w:rFonts w:ascii="Arial" w:cs="Arial" w:eastAsia="Arial" w:hAnsi="Arial"/>
          <w:sz w:val="31"/>
          <w:szCs w:val="31"/>
          <w:color w:val="auto"/>
          <w:vertAlign w:val="subscript"/>
        </w:rPr>
        <w:t>all material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0"/>
          <w:szCs w:val="30"/>
          <w:color w:val="auto"/>
          <w:vertAlign w:val="subscript"/>
        </w:rPr>
        <w:t>incorporated therein by reference</w:t>
      </w:r>
      <w:r>
        <w:rPr>
          <w:rFonts w:ascii="Arial" w:cs="Arial" w:eastAsia="Arial" w:hAnsi="Arial"/>
          <w:sz w:val="16"/>
          <w:szCs w:val="16"/>
          <w:color w:val="auto"/>
        </w:rPr>
        <w:t xml:space="preserve">, and, if the Holder so requests in writing, all exhibits </w:t>
      </w:r>
      <w:r>
        <w:rPr>
          <w:rFonts w:ascii="Arial" w:cs="Arial" w:eastAsia="Arial" w:hAnsi="Arial"/>
          <w:sz w:val="30"/>
          <w:szCs w:val="30"/>
          <w:color w:val="auto"/>
          <w:vertAlign w:val="subscript"/>
        </w:rPr>
        <w:t>thereto</w:t>
      </w:r>
      <w:r>
        <w:rPr>
          <w:rFonts w:ascii="Arial" w:cs="Arial" w:eastAsia="Arial" w:hAnsi="Arial"/>
          <w:sz w:val="16"/>
          <w:szCs w:val="16"/>
          <w:color w:val="auto"/>
        </w:rPr>
        <w:t xml:space="preserve"> (including </w:t>
      </w:r>
      <w:r>
        <w:rPr>
          <w:rFonts w:ascii="Arial" w:cs="Arial" w:eastAsia="Arial" w:hAnsi="Arial"/>
          <w:sz w:val="30"/>
          <w:szCs w:val="30"/>
          <w:color w:val="auto"/>
          <w:vertAlign w:val="subscript"/>
        </w:rPr>
        <w:t>exhibits</w:t>
      </w:r>
      <w:r>
        <w:rPr>
          <w:rFonts w:ascii="Arial" w:cs="Arial" w:eastAsia="Arial" w:hAnsi="Arial"/>
          <w:sz w:val="16"/>
          <w:szCs w:val="16"/>
          <w:color w:val="auto"/>
        </w:rPr>
        <w:t xml:space="preserve"> incorporated by reference </w:t>
      </w:r>
      <w:r>
        <w:rPr>
          <w:rFonts w:ascii="Arial" w:cs="Arial" w:eastAsia="Arial" w:hAnsi="Arial"/>
          <w:sz w:val="30"/>
          <w:szCs w:val="30"/>
          <w:color w:val="auto"/>
          <w:vertAlign w:val="subscript"/>
        </w:rPr>
        <w:t>therein</w:t>
      </w:r>
      <w:r>
        <w:rPr>
          <w:rFonts w:ascii="Arial" w:cs="Arial" w:eastAsia="Arial" w:hAnsi="Arial"/>
          <w:sz w:val="16"/>
          <w:szCs w:val="16"/>
          <w:color w:val="auto"/>
        </w:rPr>
        <w:t>).</w:t>
      </w:r>
    </w:p>
    <w:p>
      <w:pPr>
        <w:spacing w:after="0" w:line="155" w:lineRule="exact"/>
        <w:rPr>
          <w:sz w:val="20"/>
          <w:szCs w:val="20"/>
          <w:color w:val="auto"/>
        </w:rPr>
      </w:pPr>
    </w:p>
    <w:p>
      <w:pPr>
        <w:ind w:right="200" w:firstLine="1305"/>
        <w:spacing w:after="0" w:line="333" w:lineRule="auto"/>
        <w:tabs>
          <w:tab w:leader="none" w:pos="2016" w:val="left"/>
        </w:tabs>
        <w:numPr>
          <w:ilvl w:val="0"/>
          <w:numId w:val="84"/>
        </w:numPr>
        <w:rPr>
          <w:rFonts w:ascii="Arial" w:cs="Arial" w:eastAsia="Arial" w:hAnsi="Arial"/>
          <w:sz w:val="15"/>
          <w:szCs w:val="15"/>
          <w:color w:val="auto"/>
        </w:rPr>
      </w:pPr>
      <w:r>
        <w:rPr>
          <w:rFonts w:ascii="Arial" w:cs="Arial" w:eastAsia="Arial" w:hAnsi="Arial"/>
          <w:sz w:val="15"/>
          <w:szCs w:val="15"/>
          <w:color w:val="auto"/>
        </w:rPr>
        <w:t xml:space="preserve">The Issuers </w:t>
      </w:r>
      <w:r>
        <w:rPr>
          <w:rFonts w:ascii="Arial" w:cs="Arial" w:eastAsia="Arial" w:hAnsi="Arial"/>
          <w:sz w:val="28"/>
          <w:szCs w:val="28"/>
          <w:color w:val="auto"/>
          <w:vertAlign w:val="subscript"/>
        </w:rPr>
        <w:t>and the Guarantors</w:t>
      </w:r>
      <w:r>
        <w:rPr>
          <w:rFonts w:ascii="Arial" w:cs="Arial" w:eastAsia="Arial" w:hAnsi="Arial"/>
          <w:sz w:val="15"/>
          <w:szCs w:val="15"/>
          <w:color w:val="auto"/>
        </w:rPr>
        <w:t xml:space="preserve"> shall, during the Shelf Registration Period, deliver to each Holder of Securities </w:t>
      </w:r>
      <w:r>
        <w:rPr>
          <w:rFonts w:ascii="Arial" w:cs="Arial" w:eastAsia="Arial" w:hAnsi="Arial"/>
          <w:sz w:val="28"/>
          <w:szCs w:val="28"/>
          <w:color w:val="auto"/>
          <w:vertAlign w:val="subscript"/>
        </w:rPr>
        <w:t>covered by</w:t>
      </w:r>
      <w:r>
        <w:rPr>
          <w:rFonts w:ascii="Arial" w:cs="Arial" w:eastAsia="Arial" w:hAnsi="Arial"/>
          <w:sz w:val="15"/>
          <w:szCs w:val="15"/>
          <w:color w:val="auto"/>
        </w:rPr>
        <w:t xml:space="preserve"> any Shelf Registration Statement, without charge, as many copies of the Prospectus (including each preliminary Prospectus) included in such Shelf Registration</w:t>
      </w:r>
    </w:p>
    <w:p>
      <w:pPr>
        <w:spacing w:after="0" w:line="1" w:lineRule="exact"/>
        <w:rPr>
          <w:sz w:val="20"/>
          <w:szCs w:val="20"/>
          <w:color w:val="auto"/>
        </w:rPr>
      </w:pPr>
    </w:p>
    <w:p>
      <w:pPr>
        <w:ind w:right="360"/>
        <w:spacing w:after="0" w:line="216" w:lineRule="auto"/>
        <w:rPr>
          <w:sz w:val="20"/>
          <w:szCs w:val="20"/>
          <w:color w:val="auto"/>
        </w:rPr>
      </w:pPr>
      <w:r>
        <w:rPr>
          <w:rFonts w:ascii="Arial" w:cs="Arial" w:eastAsia="Arial" w:hAnsi="Arial"/>
          <w:sz w:val="16"/>
          <w:szCs w:val="16"/>
          <w:color w:val="auto"/>
        </w:rPr>
        <w:t>Statement and any amendment or supplement thereto as such Holder may reasonably request</w:t>
      </w:r>
      <w:r>
        <w:rPr>
          <w:rFonts w:ascii="Arial" w:cs="Arial" w:eastAsia="Arial" w:hAnsi="Arial"/>
          <w:sz w:val="31"/>
          <w:szCs w:val="31"/>
          <w:color w:val="auto"/>
          <w:vertAlign w:val="subscript"/>
        </w:rPr>
        <w:t>. T</w:t>
      </w:r>
      <w:r>
        <w:rPr>
          <w:rFonts w:ascii="Arial" w:cs="Arial" w:eastAsia="Arial" w:hAnsi="Arial"/>
          <w:sz w:val="16"/>
          <w:szCs w:val="16"/>
          <w:color w:val="auto"/>
        </w:rPr>
        <w:t xml:space="preserve">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consent to the use of the Prospectus or any amendment or supplement thereto by each of the selling Holders of Securities in connection with the offering and sale of the Securities covered by the Prospectus</w:t>
      </w:r>
      <w:r>
        <w:rPr>
          <w:rFonts w:ascii="Arial" w:cs="Arial" w:eastAsia="Arial" w:hAnsi="Arial"/>
          <w:sz w:val="31"/>
          <w:szCs w:val="31"/>
          <w:color w:val="auto"/>
          <w:vertAlign w:val="subscript"/>
        </w:rPr>
        <w:t>,</w:t>
      </w:r>
      <w:r>
        <w:rPr>
          <w:rFonts w:ascii="Arial" w:cs="Arial" w:eastAsia="Arial" w:hAnsi="Arial"/>
          <w:sz w:val="16"/>
          <w:szCs w:val="16"/>
          <w:color w:val="auto"/>
        </w:rPr>
        <w:t xml:space="preserve"> or any amendment or supplement thereto</w:t>
      </w:r>
      <w:r>
        <w:rPr>
          <w:rFonts w:ascii="Arial" w:cs="Arial" w:eastAsia="Arial" w:hAnsi="Arial"/>
          <w:sz w:val="31"/>
          <w:szCs w:val="31"/>
          <w:color w:val="auto"/>
          <w:vertAlign w:val="subscript"/>
        </w:rPr>
        <w:t>, included in the Shelf Registration Statement</w:t>
      </w:r>
      <w:r>
        <w:rPr>
          <w:rFonts w:ascii="Arial" w:cs="Arial" w:eastAsia="Arial" w:hAnsi="Arial"/>
          <w:sz w:val="16"/>
          <w:szCs w:val="16"/>
          <w:color w:val="auto"/>
        </w:rPr>
        <w:t>.</w:t>
      </w:r>
    </w:p>
    <w:p>
      <w:pPr>
        <w:spacing w:after="0" w:line="32" w:lineRule="exact"/>
        <w:rPr>
          <w:sz w:val="20"/>
          <w:szCs w:val="20"/>
          <w:color w:val="auto"/>
        </w:rPr>
      </w:pPr>
    </w:p>
    <w:p>
      <w:pPr>
        <w:ind w:firstLine="1305"/>
        <w:spacing w:after="0" w:line="225" w:lineRule="auto"/>
        <w:tabs>
          <w:tab w:leader="none" w:pos="2001"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Issuers </w:t>
      </w:r>
      <w:r>
        <w:rPr>
          <w:rFonts w:ascii="Arial" w:cs="Arial" w:eastAsia="Arial" w:hAnsi="Arial"/>
          <w:sz w:val="32"/>
          <w:szCs w:val="32"/>
          <w:color w:val="auto"/>
          <w:vertAlign w:val="subscript"/>
        </w:rPr>
        <w:t>and the Guarantors</w:t>
      </w:r>
      <w:r>
        <w:rPr>
          <w:rFonts w:ascii="Arial" w:cs="Arial" w:eastAsia="Arial" w:hAnsi="Arial"/>
          <w:sz w:val="17"/>
          <w:szCs w:val="17"/>
          <w:color w:val="auto"/>
        </w:rPr>
        <w:t xml:space="preserve"> shall furnish to each Exchanging Dealer which so requests, without charge, at least one copy of the Exchange Offer Registration Statement and any post-effective amendment thereto, including </w:t>
      </w:r>
      <w:r>
        <w:rPr>
          <w:rFonts w:ascii="Arial" w:cs="Arial" w:eastAsia="Arial" w:hAnsi="Arial"/>
          <w:sz w:val="32"/>
          <w:szCs w:val="32"/>
          <w:color w:val="auto"/>
          <w:vertAlign w:val="subscript"/>
        </w:rPr>
        <w:t>all material incorporated by reference therein</w:t>
      </w:r>
      <w:r>
        <w:rPr>
          <w:rFonts w:ascii="Arial" w:cs="Arial" w:eastAsia="Arial" w:hAnsi="Arial"/>
          <w:sz w:val="17"/>
          <w:szCs w:val="17"/>
          <w:color w:val="auto"/>
        </w:rPr>
        <w:t xml:space="preserve">, and, if the Exchanging Dealer so requests in writing, all exhibits </w:t>
      </w:r>
      <w:r>
        <w:rPr>
          <w:rFonts w:ascii="Arial" w:cs="Arial" w:eastAsia="Arial" w:hAnsi="Arial"/>
          <w:sz w:val="32"/>
          <w:szCs w:val="32"/>
          <w:color w:val="auto"/>
          <w:vertAlign w:val="subscript"/>
        </w:rPr>
        <w:t>thereto</w:t>
      </w:r>
      <w:r>
        <w:rPr>
          <w:rFonts w:ascii="Arial" w:cs="Arial" w:eastAsia="Arial" w:hAnsi="Arial"/>
          <w:sz w:val="17"/>
          <w:szCs w:val="17"/>
          <w:color w:val="auto"/>
        </w:rPr>
        <w:t xml:space="preserve"> (including exhibits incorporated by reference </w:t>
      </w:r>
      <w:r>
        <w:rPr>
          <w:rFonts w:ascii="Arial" w:cs="Arial" w:eastAsia="Arial" w:hAnsi="Arial"/>
          <w:sz w:val="32"/>
          <w:szCs w:val="32"/>
          <w:color w:val="auto"/>
          <w:vertAlign w:val="subscript"/>
        </w:rPr>
        <w:t>therein</w:t>
      </w:r>
      <w:r>
        <w:rPr>
          <w:rFonts w:ascii="Arial" w:cs="Arial" w:eastAsia="Arial" w:hAnsi="Arial"/>
          <w:sz w:val="17"/>
          <w:szCs w:val="17"/>
          <w:color w:val="auto"/>
        </w:rPr>
        <w:t>).</w:t>
      </w:r>
    </w:p>
    <w:p>
      <w:pPr>
        <w:spacing w:after="0" w:line="31" w:lineRule="exact"/>
        <w:rPr>
          <w:rFonts w:ascii="Arial" w:cs="Arial" w:eastAsia="Arial" w:hAnsi="Arial"/>
          <w:sz w:val="17"/>
          <w:szCs w:val="17"/>
          <w:color w:val="auto"/>
        </w:rPr>
      </w:pPr>
    </w:p>
    <w:p>
      <w:pPr>
        <w:ind w:right="180" w:firstLine="1305"/>
        <w:spacing w:after="0" w:line="277" w:lineRule="auto"/>
        <w:tabs>
          <w:tab w:leader="none" w:pos="2001"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The Issuers </w:t>
      </w:r>
      <w:r>
        <w:rPr>
          <w:rFonts w:ascii="Arial" w:cs="Arial" w:eastAsia="Arial" w:hAnsi="Arial"/>
          <w:sz w:val="26"/>
          <w:szCs w:val="26"/>
          <w:color w:val="auto"/>
          <w:vertAlign w:val="subscript"/>
        </w:rPr>
        <w:t>and the Guarantors</w:t>
      </w:r>
      <w:r>
        <w:rPr>
          <w:rFonts w:ascii="Arial" w:cs="Arial" w:eastAsia="Arial" w:hAnsi="Arial"/>
          <w:sz w:val="15"/>
          <w:szCs w:val="15"/>
          <w:color w:val="auto"/>
        </w:rPr>
        <w:t xml:space="preserve"> shall promptly deliver to each Initial </w:t>
      </w:r>
      <w:r>
        <w:rPr>
          <w:rFonts w:ascii="Arial" w:cs="Arial" w:eastAsia="Arial" w:hAnsi="Arial"/>
          <w:sz w:val="26"/>
          <w:szCs w:val="26"/>
          <w:color w:val="auto"/>
          <w:vertAlign w:val="subscript"/>
        </w:rPr>
        <w:t>Purchaser, each</w:t>
      </w:r>
      <w:r>
        <w:rPr>
          <w:rFonts w:ascii="Arial" w:cs="Arial" w:eastAsia="Arial" w:hAnsi="Arial"/>
          <w:sz w:val="15"/>
          <w:szCs w:val="15"/>
          <w:color w:val="auto"/>
        </w:rPr>
        <w:t xml:space="preserve"> Exchanging Dealer </w:t>
      </w:r>
      <w:r>
        <w:rPr>
          <w:rFonts w:ascii="Arial" w:cs="Arial" w:eastAsia="Arial" w:hAnsi="Arial"/>
          <w:sz w:val="26"/>
          <w:szCs w:val="26"/>
          <w:color w:val="auto"/>
          <w:vertAlign w:val="subscript"/>
        </w:rPr>
        <w:t>and each other Person</w:t>
      </w:r>
      <w:r>
        <w:rPr>
          <w:rFonts w:ascii="Arial" w:cs="Arial" w:eastAsia="Arial" w:hAnsi="Arial"/>
          <w:sz w:val="15"/>
          <w:szCs w:val="15"/>
          <w:color w:val="auto"/>
        </w:rPr>
        <w:t xml:space="preserve"> required to deliver a </w:t>
      </w:r>
      <w:r>
        <w:rPr>
          <w:rFonts w:ascii="Arial" w:cs="Arial" w:eastAsia="Arial" w:hAnsi="Arial"/>
          <w:sz w:val="26"/>
          <w:szCs w:val="26"/>
          <w:color w:val="auto"/>
          <w:vertAlign w:val="superscript"/>
        </w:rPr>
        <w:t>Prospectus</w:t>
      </w:r>
      <w:r>
        <w:rPr>
          <w:rFonts w:ascii="Arial" w:cs="Arial" w:eastAsia="Arial" w:hAnsi="Arial"/>
          <w:sz w:val="15"/>
          <w:szCs w:val="15"/>
          <w:color w:val="auto"/>
        </w:rPr>
        <w:t xml:space="preserve"> during the effectiveness of the Exchange Offer Registration Statement, </w:t>
      </w:r>
      <w:r>
        <w:rPr>
          <w:rFonts w:ascii="Arial" w:cs="Arial" w:eastAsia="Arial" w:hAnsi="Arial"/>
          <w:sz w:val="26"/>
          <w:szCs w:val="26"/>
          <w:color w:val="auto"/>
          <w:vertAlign w:val="superscript"/>
        </w:rPr>
        <w:t>without charge, as many copies of the Prospectus</w:t>
      </w:r>
      <w:r>
        <w:rPr>
          <w:rFonts w:ascii="Arial" w:cs="Arial" w:eastAsia="Arial" w:hAnsi="Arial"/>
          <w:sz w:val="15"/>
          <w:szCs w:val="15"/>
          <w:color w:val="auto"/>
        </w:rPr>
        <w:t xml:space="preserve"> included in such Exchange Offer Registration Statement and any amendment or supplement thereto as </w:t>
      </w:r>
      <w:r>
        <w:rPr>
          <w:rFonts w:ascii="Arial" w:cs="Arial" w:eastAsia="Arial" w:hAnsi="Arial"/>
          <w:sz w:val="26"/>
          <w:szCs w:val="26"/>
          <w:color w:val="auto"/>
          <w:vertAlign w:val="subscript"/>
        </w:rPr>
        <w:t>any such Person may</w:t>
      </w:r>
      <w:r>
        <w:rPr>
          <w:rFonts w:ascii="Arial" w:cs="Arial" w:eastAsia="Arial" w:hAnsi="Arial"/>
          <w:sz w:val="15"/>
          <w:szCs w:val="15"/>
          <w:color w:val="auto"/>
        </w:rPr>
        <w:t xml:space="preserve"> reasonably request</w:t>
      </w:r>
      <w:r>
        <w:rPr>
          <w:rFonts w:ascii="Arial" w:cs="Arial" w:eastAsia="Arial" w:hAnsi="Arial"/>
          <w:sz w:val="26"/>
          <w:szCs w:val="26"/>
          <w:color w:val="auto"/>
          <w:vertAlign w:val="subscript"/>
        </w:rPr>
        <w:t>. T</w:t>
      </w:r>
      <w:r>
        <w:rPr>
          <w:rFonts w:ascii="Arial" w:cs="Arial" w:eastAsia="Arial" w:hAnsi="Arial"/>
          <w:sz w:val="15"/>
          <w:szCs w:val="15"/>
          <w:color w:val="auto"/>
        </w:rPr>
        <w:t>he Issuers</w:t>
      </w:r>
    </w:p>
    <w:p>
      <w:pPr>
        <w:spacing w:after="0" w:line="3" w:lineRule="exact"/>
        <w:rPr>
          <w:sz w:val="20"/>
          <w:szCs w:val="20"/>
          <w:color w:val="auto"/>
        </w:rPr>
      </w:pPr>
    </w:p>
    <w:p>
      <w:pPr>
        <w:ind w:right="160"/>
        <w:spacing w:after="0" w:line="190" w:lineRule="auto"/>
        <w:rPr>
          <w:sz w:val="20"/>
          <w:szCs w:val="20"/>
          <w:color w:val="auto"/>
        </w:rPr>
      </w:pP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consent to the use of the Prospectus or any amendment or supplement thereto by any Initial Purchaser, any Exchanging Dealer and </w:t>
      </w:r>
      <w:r>
        <w:rPr>
          <w:rFonts w:ascii="Arial" w:cs="Arial" w:eastAsia="Arial" w:hAnsi="Arial"/>
          <w:sz w:val="31"/>
          <w:szCs w:val="31"/>
          <w:color w:val="auto"/>
          <w:vertAlign w:val="subscript"/>
        </w:rPr>
        <w:t>any</w:t>
      </w:r>
      <w:r>
        <w:rPr>
          <w:rFonts w:ascii="Arial" w:cs="Arial" w:eastAsia="Arial" w:hAnsi="Arial"/>
          <w:sz w:val="16"/>
          <w:szCs w:val="16"/>
          <w:color w:val="auto"/>
        </w:rPr>
        <w:t xml:space="preserve"> such other Person </w:t>
      </w:r>
      <w:r>
        <w:rPr>
          <w:rFonts w:ascii="Arial" w:cs="Arial" w:eastAsia="Arial" w:hAnsi="Arial"/>
          <w:sz w:val="31"/>
          <w:szCs w:val="31"/>
          <w:color w:val="auto"/>
          <w:vertAlign w:val="subscript"/>
        </w:rPr>
        <w:t>that may be</w:t>
      </w:r>
      <w:r>
        <w:rPr>
          <w:rFonts w:ascii="Arial" w:cs="Arial" w:eastAsia="Arial" w:hAnsi="Arial"/>
          <w:sz w:val="16"/>
          <w:szCs w:val="16"/>
          <w:color w:val="auto"/>
        </w:rPr>
        <w:t xml:space="preserve"> required to deliver a </w:t>
      </w:r>
      <w:r>
        <w:rPr>
          <w:rFonts w:ascii="Arial" w:cs="Arial" w:eastAsia="Arial" w:hAnsi="Arial"/>
          <w:sz w:val="31"/>
          <w:szCs w:val="31"/>
          <w:color w:val="auto"/>
          <w:vertAlign w:val="subscript"/>
        </w:rPr>
        <w:t>P</w:t>
      </w:r>
      <w:r>
        <w:rPr>
          <w:rFonts w:ascii="Arial" w:cs="Arial" w:eastAsia="Arial" w:hAnsi="Arial"/>
          <w:sz w:val="16"/>
          <w:szCs w:val="16"/>
          <w:color w:val="auto"/>
        </w:rPr>
        <w:t>r</w:t>
      </w:r>
      <w:r>
        <w:rPr>
          <w:rFonts w:ascii="Arial" w:cs="Arial" w:eastAsia="Arial" w:hAnsi="Arial"/>
          <w:sz w:val="31"/>
          <w:szCs w:val="31"/>
          <w:color w:val="auto"/>
          <w:vertAlign w:val="subscript"/>
        </w:rPr>
        <w:t>o</w:t>
      </w:r>
      <w:r>
        <w:rPr>
          <w:rFonts w:ascii="Arial" w:cs="Arial" w:eastAsia="Arial" w:hAnsi="Arial"/>
          <w:sz w:val="16"/>
          <w:szCs w:val="16"/>
          <w:color w:val="auto"/>
        </w:rPr>
        <w:t xml:space="preserve">spectus following the Registered Exchange Offer in connection with the offering and sale of the New Securities covered by the Prospectus, or any amendment or supplement thereto, included in the Exchange Offer Registration </w:t>
      </w:r>
      <w:r>
        <w:rPr>
          <w:rFonts w:ascii="Arial" w:cs="Arial" w:eastAsia="Arial" w:hAnsi="Arial"/>
          <w:sz w:val="31"/>
          <w:szCs w:val="31"/>
          <w:color w:val="auto"/>
          <w:vertAlign w:val="subscript"/>
        </w:rPr>
        <w:t>S</w:t>
      </w:r>
      <w:r>
        <w:rPr>
          <w:rFonts w:ascii="Arial" w:cs="Arial" w:eastAsia="Arial" w:hAnsi="Arial"/>
          <w:sz w:val="16"/>
          <w:szCs w:val="16"/>
          <w:color w:val="auto"/>
        </w:rPr>
        <w:t>tatement.</w:t>
      </w:r>
    </w:p>
    <w:p>
      <w:pPr>
        <w:spacing w:after="0" w:line="33" w:lineRule="exact"/>
        <w:rPr>
          <w:sz w:val="20"/>
          <w:szCs w:val="20"/>
          <w:color w:val="auto"/>
        </w:rPr>
      </w:pPr>
    </w:p>
    <w:p>
      <w:pPr>
        <w:ind w:left="2020" w:hanging="715"/>
        <w:spacing w:after="0"/>
        <w:tabs>
          <w:tab w:leader="none" w:pos="2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Prior to the Registered Exchange Offer or any other offering of Securities pursuant to any Registration Statement, the Issuers </w:t>
      </w:r>
      <w:r>
        <w:rPr>
          <w:rFonts w:ascii="Arial" w:cs="Arial" w:eastAsia="Arial" w:hAnsi="Arial"/>
          <w:sz w:val="31"/>
          <w:szCs w:val="31"/>
          <w:color w:val="auto"/>
          <w:vertAlign w:val="subscript"/>
        </w:rPr>
        <w:t>and</w:t>
      </w:r>
    </w:p>
    <w:p>
      <w:pPr>
        <w:spacing w:after="0" w:line="115" w:lineRule="exact"/>
        <w:rPr>
          <w:sz w:val="20"/>
          <w:szCs w:val="20"/>
          <w:color w:val="auto"/>
        </w:rPr>
      </w:pPr>
    </w:p>
    <w:p>
      <w:pPr>
        <w:ind w:right="320"/>
        <w:spacing w:after="0" w:line="184" w:lineRule="auto"/>
        <w:rPr>
          <w:sz w:val="20"/>
          <w:szCs w:val="20"/>
          <w:color w:val="auto"/>
        </w:rPr>
      </w:pPr>
      <w:r>
        <w:rPr>
          <w:rFonts w:ascii="Arial" w:cs="Arial" w:eastAsia="Arial" w:hAnsi="Arial"/>
          <w:sz w:val="32"/>
          <w:szCs w:val="32"/>
          <w:color w:val="auto"/>
          <w:vertAlign w:val="subscript"/>
        </w:rPr>
        <w:t>the Guarantors</w:t>
      </w:r>
      <w:r>
        <w:rPr>
          <w:rFonts w:ascii="Arial" w:cs="Arial" w:eastAsia="Arial" w:hAnsi="Arial"/>
          <w:sz w:val="17"/>
          <w:szCs w:val="17"/>
          <w:color w:val="auto"/>
        </w:rPr>
        <w:t xml:space="preserve"> shall arrange, if necessary, for the qualification of the Securiti</w:t>
      </w:r>
      <w:r>
        <w:rPr>
          <w:rFonts w:ascii="Arial" w:cs="Arial" w:eastAsia="Arial" w:hAnsi="Arial"/>
          <w:sz w:val="32"/>
          <w:szCs w:val="32"/>
          <w:color w:val="auto"/>
          <w:vertAlign w:val="subscript"/>
        </w:rPr>
        <w:t>e</w:t>
      </w:r>
      <w:r>
        <w:rPr>
          <w:rFonts w:ascii="Arial" w:cs="Arial" w:eastAsia="Arial" w:hAnsi="Arial"/>
          <w:sz w:val="17"/>
          <w:szCs w:val="17"/>
          <w:color w:val="auto"/>
        </w:rPr>
        <w:t xml:space="preserve">s or the New Securities for sale under the laws of such </w:t>
      </w:r>
      <w:r>
        <w:rPr>
          <w:rFonts w:ascii="Arial" w:cs="Arial" w:eastAsia="Arial" w:hAnsi="Arial"/>
          <w:sz w:val="32"/>
          <w:szCs w:val="32"/>
          <w:color w:val="auto"/>
          <w:vertAlign w:val="subscript"/>
        </w:rPr>
        <w:t>jurisdiction</w:t>
      </w:r>
      <w:r>
        <w:rPr>
          <w:rFonts w:ascii="Arial" w:cs="Arial" w:eastAsia="Arial" w:hAnsi="Arial"/>
          <w:sz w:val="17"/>
          <w:szCs w:val="17"/>
          <w:color w:val="auto"/>
        </w:rPr>
        <w:t xml:space="preserve"> as any </w:t>
      </w:r>
      <w:r>
        <w:rPr>
          <w:rFonts w:ascii="Arial" w:cs="Arial" w:eastAsia="Arial" w:hAnsi="Arial"/>
          <w:sz w:val="32"/>
          <w:szCs w:val="32"/>
          <w:color w:val="auto"/>
          <w:vertAlign w:val="superscript"/>
        </w:rPr>
        <w:t>Holder s</w:t>
      </w:r>
      <w:r>
        <w:rPr>
          <w:rFonts w:ascii="Arial" w:cs="Arial" w:eastAsia="Arial" w:hAnsi="Arial"/>
          <w:sz w:val="17"/>
          <w:szCs w:val="17"/>
          <w:color w:val="auto"/>
        </w:rPr>
        <w:t xml:space="preserve">hall </w:t>
      </w:r>
      <w:r>
        <w:rPr>
          <w:rFonts w:ascii="Arial" w:cs="Arial" w:eastAsia="Arial" w:hAnsi="Arial"/>
          <w:sz w:val="32"/>
          <w:szCs w:val="32"/>
          <w:color w:val="auto"/>
          <w:vertAlign w:val="superscript"/>
        </w:rPr>
        <w:t>reasonably request and</w:t>
      </w:r>
      <w:r>
        <w:rPr>
          <w:rFonts w:ascii="Arial" w:cs="Arial" w:eastAsia="Arial" w:hAnsi="Arial"/>
          <w:sz w:val="17"/>
          <w:szCs w:val="17"/>
          <w:color w:val="auto"/>
        </w:rPr>
        <w:t xml:space="preserve"> will maintain such qualification in effect so long as required</w:t>
      </w:r>
      <w:r>
        <w:rPr>
          <w:rFonts w:ascii="Arial" w:cs="Arial" w:eastAsia="Arial" w:hAnsi="Arial"/>
          <w:sz w:val="32"/>
          <w:szCs w:val="32"/>
          <w:color w:val="auto"/>
          <w:vertAlign w:val="superscript"/>
        </w:rPr>
        <w:t>;</w:t>
      </w:r>
      <w:r>
        <w:rPr>
          <w:rFonts w:ascii="Arial" w:cs="Arial" w:eastAsia="Arial" w:hAnsi="Arial"/>
          <w:sz w:val="17"/>
          <w:szCs w:val="17"/>
          <w:color w:val="auto"/>
        </w:rPr>
        <w:t xml:space="preserve"> </w:t>
      </w:r>
      <w:r>
        <w:rPr>
          <w:rFonts w:ascii="Arial" w:cs="Arial" w:eastAsia="Arial" w:hAnsi="Arial"/>
          <w:sz w:val="32"/>
          <w:szCs w:val="32"/>
          <w:u w:val="single" w:color="auto"/>
          <w:color w:val="auto"/>
          <w:vertAlign w:val="superscript"/>
        </w:rPr>
        <w:t>provided</w:t>
      </w:r>
      <w:r>
        <w:rPr>
          <w:rFonts w:ascii="Arial" w:cs="Arial" w:eastAsia="Arial" w:hAnsi="Arial"/>
          <w:sz w:val="17"/>
          <w:szCs w:val="17"/>
          <w:color w:val="auto"/>
        </w:rPr>
        <w:t xml:space="preserve"> t</w:t>
      </w:r>
      <w:r>
        <w:rPr>
          <w:rFonts w:ascii="Arial" w:cs="Arial" w:eastAsia="Arial" w:hAnsi="Arial"/>
          <w:sz w:val="32"/>
          <w:szCs w:val="32"/>
          <w:color w:val="auto"/>
          <w:vertAlign w:val="superscript"/>
        </w:rPr>
        <w:t>hat</w:t>
      </w:r>
      <w:r>
        <w:rPr>
          <w:rFonts w:ascii="Arial" w:cs="Arial" w:eastAsia="Arial" w:hAnsi="Arial"/>
          <w:sz w:val="17"/>
          <w:szCs w:val="17"/>
          <w:color w:val="auto"/>
        </w:rPr>
        <w:t xml:space="preserve"> in no event shall </w:t>
      </w:r>
      <w:r>
        <w:rPr>
          <w:rFonts w:ascii="Arial" w:cs="Arial" w:eastAsia="Arial" w:hAnsi="Arial"/>
          <w:sz w:val="32"/>
          <w:szCs w:val="32"/>
          <w:color w:val="auto"/>
          <w:vertAlign w:val="superscript"/>
        </w:rPr>
        <w:t>either Issuer</w:t>
      </w:r>
      <w:r>
        <w:rPr>
          <w:rFonts w:ascii="Arial" w:cs="Arial" w:eastAsia="Arial" w:hAnsi="Arial"/>
          <w:sz w:val="17"/>
          <w:szCs w:val="17"/>
          <w:color w:val="auto"/>
        </w:rPr>
        <w:t xml:space="preserve"> or any </w:t>
      </w:r>
      <w:r>
        <w:rPr>
          <w:rFonts w:ascii="Arial" w:cs="Arial" w:eastAsia="Arial" w:hAnsi="Arial"/>
          <w:sz w:val="32"/>
          <w:szCs w:val="32"/>
          <w:color w:val="auto"/>
          <w:vertAlign w:val="subscript"/>
        </w:rPr>
        <w:t>Guarantor</w:t>
      </w:r>
      <w:r>
        <w:rPr>
          <w:rFonts w:ascii="Arial" w:cs="Arial" w:eastAsia="Arial" w:hAnsi="Arial"/>
          <w:sz w:val="17"/>
          <w:szCs w:val="17"/>
          <w:color w:val="auto"/>
        </w:rPr>
        <w:t xml:space="preserve"> be </w:t>
      </w:r>
      <w:r>
        <w:rPr>
          <w:rFonts w:ascii="Arial" w:cs="Arial" w:eastAsia="Arial" w:hAnsi="Arial"/>
          <w:sz w:val="32"/>
          <w:szCs w:val="32"/>
          <w:color w:val="auto"/>
          <w:vertAlign w:val="subscript"/>
        </w:rPr>
        <w:t>obligated</w:t>
      </w:r>
      <w:r>
        <w:rPr>
          <w:rFonts w:ascii="Arial" w:cs="Arial" w:eastAsia="Arial" w:hAnsi="Arial"/>
          <w:sz w:val="17"/>
          <w:szCs w:val="17"/>
          <w:color w:val="auto"/>
        </w:rPr>
        <w:t xml:space="preserve"> to qualify to do business in any jurisdiction where it </w:t>
      </w:r>
      <w:r>
        <w:rPr>
          <w:rFonts w:ascii="Arial" w:cs="Arial" w:eastAsia="Arial" w:hAnsi="Arial"/>
          <w:sz w:val="32"/>
          <w:szCs w:val="32"/>
          <w:color w:val="auto"/>
          <w:vertAlign w:val="subscript"/>
        </w:rPr>
        <w:t>is</w:t>
      </w:r>
      <w:r>
        <w:rPr>
          <w:rFonts w:ascii="Arial" w:cs="Arial" w:eastAsia="Arial" w:hAnsi="Arial"/>
          <w:sz w:val="17"/>
          <w:szCs w:val="17"/>
          <w:color w:val="auto"/>
        </w:rPr>
        <w:t xml:space="preserve"> not then so qualified or to take any action </w:t>
      </w:r>
      <w:r>
        <w:rPr>
          <w:rFonts w:ascii="Arial" w:cs="Arial" w:eastAsia="Arial" w:hAnsi="Arial"/>
          <w:sz w:val="32"/>
          <w:szCs w:val="32"/>
          <w:color w:val="auto"/>
          <w:vertAlign w:val="subscript"/>
        </w:rPr>
        <w:t>that w</w:t>
      </w:r>
      <w:r>
        <w:rPr>
          <w:rFonts w:ascii="Arial" w:cs="Arial" w:eastAsia="Arial" w:hAnsi="Arial"/>
          <w:sz w:val="17"/>
          <w:szCs w:val="17"/>
          <w:color w:val="auto"/>
        </w:rPr>
        <w:t xml:space="preserve">ould subject it to service of </w:t>
      </w:r>
      <w:r>
        <w:rPr>
          <w:rFonts w:ascii="Arial" w:cs="Arial" w:eastAsia="Arial" w:hAnsi="Arial"/>
          <w:sz w:val="32"/>
          <w:szCs w:val="32"/>
          <w:color w:val="auto"/>
          <w:vertAlign w:val="superscript"/>
        </w:rPr>
        <w:t>process</w:t>
      </w:r>
      <w:r>
        <w:rPr>
          <w:rFonts w:ascii="Arial" w:cs="Arial" w:eastAsia="Arial" w:hAnsi="Arial"/>
          <w:sz w:val="17"/>
          <w:szCs w:val="17"/>
          <w:color w:val="auto"/>
        </w:rPr>
        <w:t xml:space="preserve"> in suits, other than those arising out of the Initial Placement, the Registered Exchange Offer or any offering pursuant to a Shelf Registration </w:t>
      </w:r>
      <w:r>
        <w:rPr>
          <w:rFonts w:ascii="Arial" w:cs="Arial" w:eastAsia="Arial" w:hAnsi="Arial"/>
          <w:sz w:val="32"/>
          <w:szCs w:val="32"/>
          <w:color w:val="auto"/>
          <w:vertAlign w:val="subscript"/>
        </w:rPr>
        <w:t>Statement,</w:t>
      </w:r>
      <w:r>
        <w:rPr>
          <w:rFonts w:ascii="Arial" w:cs="Arial" w:eastAsia="Arial" w:hAnsi="Arial"/>
          <w:sz w:val="17"/>
          <w:szCs w:val="17"/>
          <w:color w:val="auto"/>
        </w:rPr>
        <w:t xml:space="preserve"> in any such jurisdiction where it </w:t>
      </w:r>
      <w:r>
        <w:rPr>
          <w:rFonts w:ascii="Arial" w:cs="Arial" w:eastAsia="Arial" w:hAnsi="Arial"/>
          <w:sz w:val="32"/>
          <w:szCs w:val="32"/>
          <w:color w:val="auto"/>
          <w:vertAlign w:val="subscript"/>
        </w:rPr>
        <w:t>is</w:t>
      </w:r>
      <w:r>
        <w:rPr>
          <w:rFonts w:ascii="Arial" w:cs="Arial" w:eastAsia="Arial" w:hAnsi="Arial"/>
          <w:sz w:val="17"/>
          <w:szCs w:val="17"/>
          <w:color w:val="auto"/>
        </w:rPr>
        <w:t xml:space="preserve"> not then so subject.</w:t>
      </w:r>
    </w:p>
    <w:p>
      <w:pPr>
        <w:spacing w:after="0" w:line="209" w:lineRule="exact"/>
        <w:rPr>
          <w:sz w:val="20"/>
          <w:szCs w:val="20"/>
          <w:color w:val="auto"/>
        </w:rPr>
      </w:pPr>
    </w:p>
    <w:p>
      <w:pPr>
        <w:jc w:val="both"/>
        <w:ind w:right="300" w:firstLine="1305"/>
        <w:spacing w:after="0" w:line="234" w:lineRule="auto"/>
        <w:tabs>
          <w:tab w:leader="none" w:pos="2006" w:val="left"/>
        </w:tabs>
        <w:numPr>
          <w:ilvl w:val="0"/>
          <w:numId w:val="87"/>
        </w:numPr>
        <w:rPr>
          <w:rFonts w:ascii="Arial" w:cs="Arial" w:eastAsia="Arial" w:hAnsi="Arial"/>
          <w:sz w:val="28"/>
          <w:szCs w:val="28"/>
          <w:color w:val="auto"/>
          <w:vertAlign w:val="superscript"/>
        </w:rPr>
      </w:pPr>
      <w:r>
        <w:rPr>
          <w:rFonts w:ascii="Arial" w:cs="Arial" w:eastAsia="Arial" w:hAnsi="Arial"/>
          <w:sz w:val="15"/>
          <w:szCs w:val="15"/>
          <w:color w:val="auto"/>
        </w:rPr>
        <w:t>If any of the Securities or the New Securities are not issued in global form, then t</w:t>
      </w:r>
      <w:r>
        <w:rPr>
          <w:rFonts w:ascii="Arial" w:cs="Arial" w:eastAsia="Arial" w:hAnsi="Arial"/>
          <w:sz w:val="28"/>
          <w:szCs w:val="28"/>
          <w:color w:val="auto"/>
          <w:vertAlign w:val="superscript"/>
        </w:rPr>
        <w:t>he Issuers</w:t>
      </w:r>
      <w:r>
        <w:rPr>
          <w:rFonts w:ascii="Arial" w:cs="Arial" w:eastAsia="Arial" w:hAnsi="Arial"/>
          <w:sz w:val="15"/>
          <w:szCs w:val="15"/>
          <w:color w:val="auto"/>
        </w:rPr>
        <w:t xml:space="preserve"> and the Guarantors </w:t>
      </w:r>
      <w:r>
        <w:rPr>
          <w:rFonts w:ascii="Arial" w:cs="Arial" w:eastAsia="Arial" w:hAnsi="Arial"/>
          <w:sz w:val="28"/>
          <w:szCs w:val="28"/>
          <w:color w:val="auto"/>
          <w:vertAlign w:val="superscript"/>
        </w:rPr>
        <w:t>shall cooperate</w:t>
      </w:r>
      <w:r>
        <w:rPr>
          <w:rFonts w:ascii="Arial" w:cs="Arial" w:eastAsia="Arial" w:hAnsi="Arial"/>
          <w:sz w:val="15"/>
          <w:szCs w:val="15"/>
          <w:color w:val="auto"/>
        </w:rPr>
        <w:t xml:space="preserve"> with the Holders of Securities to facilitate the timely preparation and delivery of certificates representing </w:t>
      </w:r>
      <w:r>
        <w:rPr>
          <w:rFonts w:ascii="Arial" w:cs="Arial" w:eastAsia="Arial" w:hAnsi="Arial"/>
          <w:sz w:val="28"/>
          <w:szCs w:val="28"/>
          <w:color w:val="auto"/>
          <w:vertAlign w:val="subscript"/>
        </w:rPr>
        <w:t>New</w:t>
      </w:r>
      <w:r>
        <w:rPr>
          <w:rFonts w:ascii="Arial" w:cs="Arial" w:eastAsia="Arial" w:hAnsi="Arial"/>
          <w:sz w:val="15"/>
          <w:szCs w:val="15"/>
          <w:color w:val="auto"/>
        </w:rPr>
        <w:t xml:space="preserve"> Securities </w:t>
      </w:r>
      <w:r>
        <w:rPr>
          <w:rFonts w:ascii="Arial" w:cs="Arial" w:eastAsia="Arial" w:hAnsi="Arial"/>
          <w:sz w:val="28"/>
          <w:szCs w:val="28"/>
          <w:color w:val="auto"/>
          <w:vertAlign w:val="subscript"/>
        </w:rPr>
        <w:t>or Securities</w:t>
      </w:r>
      <w:r>
        <w:rPr>
          <w:rFonts w:ascii="Arial" w:cs="Arial" w:eastAsia="Arial" w:hAnsi="Arial"/>
          <w:sz w:val="15"/>
          <w:szCs w:val="15"/>
          <w:color w:val="auto"/>
        </w:rPr>
        <w:t xml:space="preserve"> to be </w:t>
      </w:r>
      <w:r>
        <w:rPr>
          <w:rFonts w:ascii="Arial" w:cs="Arial" w:eastAsia="Arial" w:hAnsi="Arial"/>
          <w:sz w:val="28"/>
          <w:szCs w:val="28"/>
          <w:color w:val="auto"/>
          <w:vertAlign w:val="subscript"/>
        </w:rPr>
        <w:t>issued or</w:t>
      </w:r>
      <w:r>
        <w:rPr>
          <w:rFonts w:ascii="Arial" w:cs="Arial" w:eastAsia="Arial" w:hAnsi="Arial"/>
          <w:sz w:val="15"/>
          <w:szCs w:val="15"/>
          <w:color w:val="auto"/>
        </w:rPr>
        <w:t xml:space="preserve"> sold pursuant to any Registration Statement free of any restrictive legends and in such denominations and registered in such names as Holders may request.</w:t>
      </w:r>
    </w:p>
    <w:p>
      <w:pPr>
        <w:spacing w:after="0" w:line="43" w:lineRule="exact"/>
        <w:rPr>
          <w:rFonts w:ascii="Arial" w:cs="Arial" w:eastAsia="Arial" w:hAnsi="Arial"/>
          <w:sz w:val="28"/>
          <w:szCs w:val="28"/>
          <w:color w:val="auto"/>
          <w:vertAlign w:val="superscript"/>
        </w:rPr>
      </w:pPr>
    </w:p>
    <w:p>
      <w:pPr>
        <w:ind w:right="120" w:firstLine="1305"/>
        <w:spacing w:after="0" w:line="199" w:lineRule="auto"/>
        <w:tabs>
          <w:tab w:leader="none" w:pos="20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the occurrence of any event contemplated by s</w:t>
      </w:r>
      <w:r>
        <w:rPr>
          <w:rFonts w:ascii="Arial" w:cs="Arial" w:eastAsia="Arial" w:hAnsi="Arial"/>
          <w:sz w:val="36"/>
          <w:szCs w:val="36"/>
          <w:color w:val="auto"/>
          <w:vertAlign w:val="subscript"/>
        </w:rPr>
        <w:t>ubsections</w:t>
      </w:r>
      <w:r>
        <w:rPr>
          <w:rFonts w:ascii="Arial" w:cs="Arial" w:eastAsia="Arial" w:hAnsi="Arial"/>
          <w:sz w:val="18"/>
          <w:szCs w:val="18"/>
          <w:color w:val="auto"/>
        </w:rPr>
        <w:t xml:space="preserve"> (</w:t>
      </w:r>
      <w:r>
        <w:rPr>
          <w:rFonts w:ascii="Arial" w:cs="Arial" w:eastAsia="Arial" w:hAnsi="Arial"/>
          <w:sz w:val="36"/>
          <w:szCs w:val="36"/>
          <w:color w:val="auto"/>
          <w:vertAlign w:val="subscript"/>
        </w:rPr>
        <w:t>c</w:t>
      </w:r>
      <w:r>
        <w:rPr>
          <w:rFonts w:ascii="Arial" w:cs="Arial" w:eastAsia="Arial" w:hAnsi="Arial"/>
          <w:sz w:val="18"/>
          <w:szCs w:val="18"/>
          <w:color w:val="auto"/>
        </w:rPr>
        <w:t>)</w:t>
      </w:r>
      <w:r>
        <w:rPr>
          <w:rFonts w:ascii="Arial" w:cs="Arial" w:eastAsia="Arial" w:hAnsi="Arial"/>
          <w:sz w:val="36"/>
          <w:szCs w:val="36"/>
          <w:color w:val="auto"/>
          <w:vertAlign w:val="subscript"/>
        </w:rPr>
        <w:t>(</w:t>
      </w:r>
      <w:r>
        <w:rPr>
          <w:rFonts w:ascii="Arial" w:cs="Arial" w:eastAsia="Arial" w:hAnsi="Arial"/>
          <w:sz w:val="18"/>
          <w:szCs w:val="18"/>
          <w:color w:val="auto"/>
        </w:rPr>
        <w:t xml:space="preserve">ii) </w:t>
      </w:r>
      <w:r>
        <w:rPr>
          <w:rFonts w:ascii="Arial" w:cs="Arial" w:eastAsia="Arial" w:hAnsi="Arial"/>
          <w:sz w:val="36"/>
          <w:szCs w:val="36"/>
          <w:color w:val="auto"/>
          <w:vertAlign w:val="subscript"/>
        </w:rPr>
        <w:t>or (v)</w:t>
      </w:r>
      <w:r>
        <w:rPr>
          <w:rFonts w:ascii="Arial" w:cs="Arial" w:eastAsia="Arial" w:hAnsi="Arial"/>
          <w:sz w:val="18"/>
          <w:szCs w:val="18"/>
          <w:color w:val="auto"/>
        </w:rPr>
        <w:t xml:space="preserve"> above, 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shall promptly prepare a post-effective amendment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spacing w:after="0" w:line="234" w:lineRule="auto"/>
        <w:rPr>
          <w:sz w:val="20"/>
          <w:szCs w:val="20"/>
          <w:color w:val="auto"/>
        </w:rPr>
      </w:pPr>
      <w:r>
        <w:rPr>
          <w:rFonts w:ascii="Arial" w:cs="Arial" w:eastAsia="Arial" w:hAnsi="Arial"/>
          <w:sz w:val="16"/>
          <w:szCs w:val="16"/>
          <w:color w:val="auto"/>
        </w:rPr>
        <w:t>the applicable Registration Statement or an amendment or supplement to the related Prospectus or file any other required document so that, as thereafter delivered to Initial Purchaser</w:t>
      </w:r>
      <w:r>
        <w:rPr>
          <w:rFonts w:ascii="Arial" w:cs="Arial" w:eastAsia="Arial" w:hAnsi="Arial"/>
          <w:sz w:val="31"/>
          <w:szCs w:val="31"/>
          <w:color w:val="auto"/>
          <w:vertAlign w:val="subscript"/>
        </w:rPr>
        <w:t>s</w:t>
      </w:r>
      <w:r>
        <w:rPr>
          <w:rFonts w:ascii="Arial" w:cs="Arial" w:eastAsia="Arial" w:hAnsi="Arial"/>
          <w:sz w:val="16"/>
          <w:szCs w:val="16"/>
          <w:color w:val="auto"/>
        </w:rPr>
        <w:t xml:space="preserve"> of the securities included therein, the Prospectus will not include an untrue statement of a material fact or omit to state any</w:t>
      </w:r>
    </w:p>
    <w:p>
      <w:pPr>
        <w:spacing w:after="0" w:line="1"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 xml:space="preserve">material fact necessary to make the statements therein, in the light of the circumstances under which they were made, not misleading. </w:t>
      </w:r>
      <w:r>
        <w:rPr>
          <w:rFonts w:ascii="Arial" w:cs="Arial" w:eastAsia="Arial" w:hAnsi="Arial"/>
          <w:sz w:val="28"/>
          <w:szCs w:val="28"/>
          <w:color w:val="auto"/>
          <w:vertAlign w:val="subscript"/>
        </w:rPr>
        <w:t>In such circumstances,</w:t>
      </w:r>
      <w:r>
        <w:rPr>
          <w:rFonts w:ascii="Arial" w:cs="Arial" w:eastAsia="Arial" w:hAnsi="Arial"/>
          <w:sz w:val="15"/>
          <w:szCs w:val="15"/>
          <w:color w:val="auto"/>
        </w:rPr>
        <w:t xml:space="preserve"> the period of effectiveness of the Exchange Offer Registration Statement provided for in Section 2 and the Shelf Registration Statement provided for in Section 3(b) shall each be extended by the number of days from and including the date of the giving of a notice of suspension pursuant to Section 5(c) to and</w:t>
      </w:r>
    </w:p>
    <w:p>
      <w:pPr>
        <w:sectPr>
          <w:pgSz w:w="11900" w:h="16845" w:orient="portrait"/>
          <w:cols w:equalWidth="0" w:num="1">
            <w:col w:w="11420"/>
          </w:cols>
          <w:pgMar w:left="240" w:top="0" w:right="239" w:bottom="0" w:gutter="0" w:footer="0" w:header="0"/>
        </w:sectPr>
      </w:pPr>
    </w:p>
    <w:bookmarkStart w:id="36" w:name="page37"/>
    <w:bookmarkEnd w:id="36"/>
    <w:p>
      <w:pPr>
        <w:ind w:right="700"/>
        <w:spacing w:after="0" w:line="275" w:lineRule="auto"/>
        <w:rPr>
          <w:sz w:val="20"/>
          <w:szCs w:val="20"/>
          <w:color w:val="auto"/>
        </w:rPr>
      </w:pPr>
      <w:r>
        <w:rPr>
          <w:rFonts w:ascii="Arial" w:cs="Arial" w:eastAsia="Arial" w:hAnsi="Arial"/>
          <w:sz w:val="18"/>
          <w:szCs w:val="18"/>
          <w:color w:val="auto"/>
        </w:rPr>
        <w:t>including the date when the Initial Purchasers, the Holders of the Securities and any known Exchanging Dealer shall have received such amended or supplemented Prospectus pursuant to this Section.</w:t>
      </w:r>
    </w:p>
    <w:p>
      <w:pPr>
        <w:spacing w:after="0" w:line="1" w:lineRule="exact"/>
        <w:rPr>
          <w:sz w:val="20"/>
          <w:szCs w:val="20"/>
          <w:color w:val="auto"/>
        </w:rPr>
      </w:pPr>
    </w:p>
    <w:p>
      <w:pPr>
        <w:ind w:right="140" w:firstLine="1305"/>
        <w:spacing w:after="0" w:line="281" w:lineRule="auto"/>
        <w:tabs>
          <w:tab w:leader="none" w:pos="2006"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Not later than the effective date of any Registration Statement, the Issuers </w:t>
      </w:r>
      <w:r>
        <w:rPr>
          <w:rFonts w:ascii="Arial" w:cs="Arial" w:eastAsia="Arial" w:hAnsi="Arial"/>
          <w:sz w:val="28"/>
          <w:szCs w:val="28"/>
          <w:color w:val="auto"/>
          <w:vertAlign w:val="subscript"/>
        </w:rPr>
        <w:t>and the Guarantors</w:t>
      </w:r>
      <w:r>
        <w:rPr>
          <w:rFonts w:ascii="Arial" w:cs="Arial" w:eastAsia="Arial" w:hAnsi="Arial"/>
          <w:sz w:val="15"/>
          <w:szCs w:val="15"/>
          <w:color w:val="auto"/>
        </w:rPr>
        <w:t xml:space="preserve"> shall </w:t>
      </w:r>
      <w:r>
        <w:rPr>
          <w:rFonts w:ascii="Arial" w:cs="Arial" w:eastAsia="Arial" w:hAnsi="Arial"/>
          <w:sz w:val="28"/>
          <w:szCs w:val="28"/>
          <w:color w:val="auto"/>
          <w:vertAlign w:val="subscript"/>
        </w:rPr>
        <w:t>provide</w:t>
      </w:r>
      <w:r>
        <w:rPr>
          <w:rFonts w:ascii="Arial" w:cs="Arial" w:eastAsia="Arial" w:hAnsi="Arial"/>
          <w:sz w:val="15"/>
          <w:szCs w:val="15"/>
          <w:color w:val="auto"/>
        </w:rPr>
        <w:t xml:space="preserve"> a CUSIP number for the Securities or </w:t>
      </w:r>
      <w:r>
        <w:rPr>
          <w:rFonts w:ascii="Arial" w:cs="Arial" w:eastAsia="Arial" w:hAnsi="Arial"/>
          <w:sz w:val="28"/>
          <w:szCs w:val="28"/>
          <w:color w:val="auto"/>
          <w:vertAlign w:val="subscript"/>
        </w:rPr>
        <w:t>the</w:t>
      </w:r>
      <w:r>
        <w:rPr>
          <w:rFonts w:ascii="Arial" w:cs="Arial" w:eastAsia="Arial" w:hAnsi="Arial"/>
          <w:sz w:val="15"/>
          <w:szCs w:val="15"/>
          <w:color w:val="auto"/>
        </w:rPr>
        <w:t xml:space="preserve"> New Securities, as the case may be, registered under such Registration Statement and provide the Trustee with certificates for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Securities or New Securities, in a form eligible for deposit with The Depository Trust Company.</w:t>
      </w:r>
    </w:p>
    <w:p>
      <w:pPr>
        <w:spacing w:after="0" w:line="51" w:lineRule="exact"/>
        <w:rPr>
          <w:sz w:val="20"/>
          <w:szCs w:val="20"/>
          <w:color w:val="auto"/>
        </w:rPr>
      </w:pPr>
    </w:p>
    <w:p>
      <w:pPr>
        <w:ind w:firstLine="1305"/>
        <w:spacing w:after="0" w:line="328" w:lineRule="auto"/>
        <w:tabs>
          <w:tab w:leader="none" w:pos="2006"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shall comply with all </w:t>
      </w:r>
      <w:r>
        <w:rPr>
          <w:rFonts w:ascii="Arial" w:cs="Arial" w:eastAsia="Arial" w:hAnsi="Arial"/>
          <w:sz w:val="31"/>
          <w:szCs w:val="31"/>
          <w:color w:val="auto"/>
          <w:vertAlign w:val="subscript"/>
        </w:rPr>
        <w:t>applicable</w:t>
      </w:r>
      <w:r>
        <w:rPr>
          <w:rFonts w:ascii="Arial" w:cs="Arial" w:eastAsia="Arial" w:hAnsi="Arial"/>
          <w:sz w:val="16"/>
          <w:szCs w:val="16"/>
          <w:color w:val="auto"/>
        </w:rPr>
        <w:t xml:space="preserve"> rules and regulations of the Commission and shall make generally available to the Issuers’ security holders as soon as practicable after the effective date of the applicable Registration Statement an earnings statement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satisfying the provisions of Section 11(a) of the Act.</w:t>
      </w:r>
    </w:p>
    <w:p>
      <w:pPr>
        <w:spacing w:after="0" w:line="66" w:lineRule="exact"/>
        <w:rPr>
          <w:sz w:val="20"/>
          <w:szCs w:val="20"/>
          <w:color w:val="auto"/>
        </w:rPr>
      </w:pPr>
    </w:p>
    <w:p>
      <w:pPr>
        <w:ind w:left="2000" w:hanging="695"/>
        <w:spacing w:after="0"/>
        <w:tabs>
          <w:tab w:leader="none" w:pos="2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shall cause the Indenture to be qualified under the Trust Indenture Act in a timely manner.</w:t>
      </w:r>
    </w:p>
    <w:p>
      <w:pPr>
        <w:spacing w:after="0" w:line="143" w:lineRule="exact"/>
        <w:rPr>
          <w:rFonts w:ascii="Arial" w:cs="Arial" w:eastAsia="Arial" w:hAnsi="Arial"/>
          <w:sz w:val="16"/>
          <w:szCs w:val="16"/>
          <w:color w:val="auto"/>
        </w:rPr>
      </w:pPr>
    </w:p>
    <w:p>
      <w:pPr>
        <w:jc w:val="both"/>
        <w:ind w:right="120" w:firstLine="1305"/>
        <w:spacing w:after="0" w:line="283" w:lineRule="auto"/>
        <w:tabs>
          <w:tab w:leader="none" w:pos="2001"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The Issuers </w:t>
      </w:r>
      <w:r>
        <w:rPr>
          <w:rFonts w:ascii="Arial" w:cs="Arial" w:eastAsia="Arial" w:hAnsi="Arial"/>
          <w:sz w:val="28"/>
          <w:szCs w:val="28"/>
          <w:color w:val="auto"/>
          <w:vertAlign w:val="subscript"/>
        </w:rPr>
        <w:t>and the Guarantors</w:t>
      </w:r>
      <w:r>
        <w:rPr>
          <w:rFonts w:ascii="Arial" w:cs="Arial" w:eastAsia="Arial" w:hAnsi="Arial"/>
          <w:sz w:val="15"/>
          <w:szCs w:val="15"/>
          <w:color w:val="auto"/>
        </w:rPr>
        <w:t xml:space="preserve"> may require each Holder of Securities to be sold pursuant to any Shelf Registration Statement to furnish to the Issuers </w:t>
      </w:r>
      <w:r>
        <w:rPr>
          <w:rFonts w:ascii="Arial" w:cs="Arial" w:eastAsia="Arial" w:hAnsi="Arial"/>
          <w:sz w:val="28"/>
          <w:szCs w:val="28"/>
          <w:color w:val="auto"/>
          <w:vertAlign w:val="subscript"/>
        </w:rPr>
        <w:t>and the Guarantors</w:t>
      </w:r>
      <w:r>
        <w:rPr>
          <w:rFonts w:ascii="Arial" w:cs="Arial" w:eastAsia="Arial" w:hAnsi="Arial"/>
          <w:sz w:val="15"/>
          <w:szCs w:val="15"/>
          <w:color w:val="auto"/>
        </w:rPr>
        <w:t xml:space="preserve"> such information regarding the </w:t>
      </w:r>
      <w:r>
        <w:rPr>
          <w:rFonts w:ascii="Arial" w:cs="Arial" w:eastAsia="Arial" w:hAnsi="Arial"/>
          <w:sz w:val="28"/>
          <w:szCs w:val="28"/>
          <w:color w:val="auto"/>
          <w:vertAlign w:val="subscript"/>
        </w:rPr>
        <w:t>H</w:t>
      </w:r>
      <w:r>
        <w:rPr>
          <w:rFonts w:ascii="Arial" w:cs="Arial" w:eastAsia="Arial" w:hAnsi="Arial"/>
          <w:sz w:val="15"/>
          <w:szCs w:val="15"/>
          <w:color w:val="auto"/>
        </w:rPr>
        <w:t xml:space="preserve">older and the distribution of such Securities as the Issuers </w:t>
      </w:r>
      <w:r>
        <w:rPr>
          <w:rFonts w:ascii="Arial" w:cs="Arial" w:eastAsia="Arial" w:hAnsi="Arial"/>
          <w:sz w:val="28"/>
          <w:szCs w:val="28"/>
          <w:color w:val="auto"/>
          <w:vertAlign w:val="subscript"/>
        </w:rPr>
        <w:t>and the Guarantors</w:t>
      </w:r>
      <w:r>
        <w:rPr>
          <w:rFonts w:ascii="Arial" w:cs="Arial" w:eastAsia="Arial" w:hAnsi="Arial"/>
          <w:sz w:val="15"/>
          <w:szCs w:val="15"/>
          <w:color w:val="auto"/>
        </w:rPr>
        <w:t xml:space="preserve"> may from time to time reasonably require for inclusion in such Registration Statement. The Issuers </w:t>
      </w:r>
      <w:r>
        <w:rPr>
          <w:rFonts w:ascii="Arial" w:cs="Arial" w:eastAsia="Arial" w:hAnsi="Arial"/>
          <w:sz w:val="28"/>
          <w:szCs w:val="28"/>
          <w:color w:val="auto"/>
          <w:vertAlign w:val="subscript"/>
        </w:rPr>
        <w:t>and the Guarantors may exclude from such Shelf Registration</w:t>
      </w:r>
      <w:r>
        <w:rPr>
          <w:rFonts w:ascii="Arial" w:cs="Arial" w:eastAsia="Arial" w:hAnsi="Arial"/>
          <w:sz w:val="15"/>
          <w:szCs w:val="15"/>
          <w:color w:val="auto"/>
        </w:rPr>
        <w:t xml:space="preserve"> Statement the </w:t>
      </w:r>
      <w:r>
        <w:rPr>
          <w:rFonts w:ascii="Arial" w:cs="Arial" w:eastAsia="Arial" w:hAnsi="Arial"/>
          <w:sz w:val="28"/>
          <w:szCs w:val="28"/>
          <w:color w:val="auto"/>
          <w:vertAlign w:val="superscript"/>
        </w:rPr>
        <w:t>Securities</w:t>
      </w:r>
      <w:r>
        <w:rPr>
          <w:rFonts w:ascii="Arial" w:cs="Arial" w:eastAsia="Arial" w:hAnsi="Arial"/>
          <w:sz w:val="15"/>
          <w:szCs w:val="15"/>
          <w:color w:val="auto"/>
        </w:rPr>
        <w:t xml:space="preserve"> of any Holder that unreasonably fails to furnish such information within a reasonable time after receiving such request.</w:t>
      </w:r>
    </w:p>
    <w:p>
      <w:pPr>
        <w:spacing w:after="0" w:line="4" w:lineRule="exact"/>
        <w:rPr>
          <w:rFonts w:ascii="Arial" w:cs="Arial" w:eastAsia="Arial" w:hAnsi="Arial"/>
          <w:sz w:val="15"/>
          <w:szCs w:val="15"/>
          <w:color w:val="auto"/>
        </w:rPr>
      </w:pPr>
    </w:p>
    <w:p>
      <w:pPr>
        <w:ind w:right="100" w:firstLine="1305"/>
        <w:spacing w:after="0" w:line="205" w:lineRule="auto"/>
        <w:tabs>
          <w:tab w:leader="none" w:pos="2001" w:val="left"/>
        </w:tabs>
        <w:numPr>
          <w:ilvl w:val="0"/>
          <w:numId w:val="90"/>
        </w:numPr>
        <w:rPr>
          <w:rFonts w:ascii="Arial" w:cs="Arial" w:eastAsia="Arial" w:hAnsi="Arial"/>
          <w:sz w:val="31"/>
          <w:szCs w:val="31"/>
          <w:color w:val="auto"/>
          <w:vertAlign w:val="superscript"/>
        </w:rPr>
      </w:pPr>
      <w:r>
        <w:rPr>
          <w:rFonts w:ascii="Arial" w:cs="Arial" w:eastAsia="Arial" w:hAnsi="Arial"/>
          <w:sz w:val="16"/>
          <w:szCs w:val="16"/>
          <w:color w:val="auto"/>
        </w:rPr>
        <w:t>In the case of any Shelf Registration Statement, t</w:t>
      </w:r>
      <w:r>
        <w:rPr>
          <w:rFonts w:ascii="Arial" w:cs="Arial" w:eastAsia="Arial" w:hAnsi="Arial"/>
          <w:sz w:val="31"/>
          <w:szCs w:val="31"/>
          <w:color w:val="auto"/>
          <w:vertAlign w:val="superscript"/>
        </w:rPr>
        <w:t>he Issuers</w:t>
      </w:r>
      <w:r>
        <w:rPr>
          <w:rFonts w:ascii="Arial" w:cs="Arial" w:eastAsia="Arial" w:hAnsi="Arial"/>
          <w:sz w:val="16"/>
          <w:szCs w:val="16"/>
          <w:color w:val="auto"/>
        </w:rPr>
        <w:t xml:space="preserve"> and the Guarantors </w:t>
      </w:r>
      <w:r>
        <w:rPr>
          <w:rFonts w:ascii="Arial" w:cs="Arial" w:eastAsia="Arial" w:hAnsi="Arial"/>
          <w:sz w:val="31"/>
          <w:szCs w:val="31"/>
          <w:color w:val="auto"/>
          <w:vertAlign w:val="superscript"/>
        </w:rPr>
        <w:t>shall enter into such</w:t>
      </w:r>
      <w:r>
        <w:rPr>
          <w:rFonts w:ascii="Arial" w:cs="Arial" w:eastAsia="Arial" w:hAnsi="Arial"/>
          <w:sz w:val="16"/>
          <w:szCs w:val="16"/>
          <w:color w:val="auto"/>
        </w:rPr>
        <w:t xml:space="preserve"> agreements </w:t>
      </w:r>
      <w:r>
        <w:rPr>
          <w:rFonts w:ascii="Arial" w:cs="Arial" w:eastAsia="Arial" w:hAnsi="Arial"/>
          <w:sz w:val="31"/>
          <w:szCs w:val="31"/>
          <w:color w:val="auto"/>
          <w:vertAlign w:val="superscript"/>
        </w:rPr>
        <w:t>and take all other</w:t>
      </w:r>
      <w:r>
        <w:rPr>
          <w:rFonts w:ascii="Arial" w:cs="Arial" w:eastAsia="Arial" w:hAnsi="Arial"/>
          <w:sz w:val="16"/>
          <w:szCs w:val="16"/>
          <w:color w:val="auto"/>
        </w:rPr>
        <w:t xml:space="preserve"> appropriate actions </w:t>
      </w:r>
      <w:r>
        <w:rPr>
          <w:rFonts w:ascii="Arial" w:cs="Arial" w:eastAsia="Arial" w:hAnsi="Arial"/>
          <w:sz w:val="31"/>
          <w:szCs w:val="31"/>
          <w:color w:val="auto"/>
          <w:vertAlign w:val="subscript"/>
        </w:rPr>
        <w:t>(including, if requested, an underwriting agreement in customary form)</w:t>
      </w:r>
      <w:r>
        <w:rPr>
          <w:rFonts w:ascii="Arial" w:cs="Arial" w:eastAsia="Arial" w:hAnsi="Arial"/>
          <w:sz w:val="16"/>
          <w:szCs w:val="16"/>
          <w:color w:val="auto"/>
        </w:rPr>
        <w:t xml:space="preserve"> in order to expedite or facilitate the registration or the disposition of the Securities, and in connection therewith, if an underwriting agreement is entered into, cause the same to contain indemnification provisions and procedures no less favorable than those set forth in </w:t>
      </w:r>
      <w:r>
        <w:rPr>
          <w:rFonts w:ascii="Arial" w:cs="Arial" w:eastAsia="Arial" w:hAnsi="Arial"/>
          <w:sz w:val="31"/>
          <w:szCs w:val="31"/>
          <w:color w:val="auto"/>
          <w:vertAlign w:val="subscript"/>
        </w:rPr>
        <w:t>Section 7</w:t>
      </w:r>
      <w:r>
        <w:rPr>
          <w:rFonts w:ascii="Arial" w:cs="Arial" w:eastAsia="Arial" w:hAnsi="Arial"/>
          <w:sz w:val="16"/>
          <w:szCs w:val="16"/>
          <w:color w:val="auto"/>
        </w:rPr>
        <w:t xml:space="preserve"> (or such other provisions and procedures </w:t>
      </w:r>
      <w:r>
        <w:rPr>
          <w:rFonts w:ascii="Arial" w:cs="Arial" w:eastAsia="Arial" w:hAnsi="Arial"/>
          <w:sz w:val="31"/>
          <w:szCs w:val="31"/>
          <w:color w:val="auto"/>
          <w:vertAlign w:val="subscript"/>
        </w:rPr>
        <w:t>acceptable to</w:t>
      </w:r>
      <w:r>
        <w:rPr>
          <w:rFonts w:ascii="Arial" w:cs="Arial" w:eastAsia="Arial" w:hAnsi="Arial"/>
          <w:sz w:val="16"/>
          <w:szCs w:val="16"/>
          <w:color w:val="auto"/>
        </w:rPr>
        <w:t xml:space="preserve"> the Majority Holders and the Managing Underwriters, if any, with respect to all parties to be indemnified pursuant to Section 7</w:t>
      </w:r>
      <w:r>
        <w:rPr>
          <w:rFonts w:ascii="Arial" w:cs="Arial" w:eastAsia="Arial" w:hAnsi="Arial"/>
          <w:sz w:val="31"/>
          <w:szCs w:val="31"/>
          <w:color w:val="auto"/>
          <w:vertAlign w:val="subscript"/>
        </w:rPr>
        <w:t>)</w:t>
      </w:r>
      <w:r>
        <w:rPr>
          <w:rFonts w:ascii="Arial" w:cs="Arial" w:eastAsia="Arial" w:hAnsi="Arial"/>
          <w:sz w:val="16"/>
          <w:szCs w:val="16"/>
          <w:color w:val="auto"/>
        </w:rPr>
        <w:t>.</w:t>
      </w:r>
    </w:p>
    <w:p>
      <w:pPr>
        <w:spacing w:after="0" w:line="31" w:lineRule="exact"/>
        <w:rPr>
          <w:rFonts w:ascii="Arial" w:cs="Arial" w:eastAsia="Arial" w:hAnsi="Arial"/>
          <w:sz w:val="31"/>
          <w:szCs w:val="31"/>
          <w:color w:val="auto"/>
          <w:vertAlign w:val="superscript"/>
        </w:rPr>
      </w:pPr>
    </w:p>
    <w:p>
      <w:pPr>
        <w:ind w:left="2000" w:hanging="695"/>
        <w:spacing w:after="0"/>
        <w:tabs>
          <w:tab w:leader="none" w:pos="2000" w:val="left"/>
        </w:tabs>
        <w:numPr>
          <w:ilvl w:val="0"/>
          <w:numId w:val="90"/>
        </w:numPr>
        <w:rPr>
          <w:rFonts w:ascii="Arial" w:cs="Arial" w:eastAsia="Arial" w:hAnsi="Arial"/>
          <w:sz w:val="36"/>
          <w:szCs w:val="36"/>
          <w:color w:val="auto"/>
          <w:vertAlign w:val="subscript"/>
        </w:rPr>
      </w:pPr>
      <w:r>
        <w:rPr>
          <w:rFonts w:ascii="Arial" w:cs="Arial" w:eastAsia="Arial" w:hAnsi="Arial"/>
          <w:sz w:val="18"/>
          <w:szCs w:val="18"/>
          <w:color w:val="auto"/>
        </w:rPr>
        <w:t xml:space="preserve">In the case of any Shelf Registration Statement, 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shall:</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80" w:firstLine="1293"/>
        <w:spacing w:after="0" w:line="300" w:lineRule="auto"/>
        <w:tabs>
          <w:tab w:leader="none" w:pos="2666" w:val="left"/>
        </w:tabs>
        <w:numPr>
          <w:ilvl w:val="0"/>
          <w:numId w:val="91"/>
        </w:numPr>
        <w:rPr>
          <w:rFonts w:ascii="Arial" w:cs="Arial" w:eastAsia="Arial" w:hAnsi="Arial"/>
          <w:sz w:val="16"/>
          <w:szCs w:val="16"/>
          <w:color w:val="auto"/>
        </w:rPr>
      </w:pPr>
      <w:r>
        <w:rPr>
          <w:rFonts w:ascii="Arial" w:cs="Arial" w:eastAsia="Arial" w:hAnsi="Arial"/>
          <w:sz w:val="16"/>
          <w:szCs w:val="16"/>
          <w:color w:val="auto"/>
        </w:rPr>
        <w:t>make reasonably available for inspection by the Holders of Securities to be registered thereunder, any underwriter participating in any disposition pursuant to such Registration Statement, and any attorney, accountant or other agent retained by the Holders or any</w:t>
      </w:r>
    </w:p>
    <w:p>
      <w:pPr>
        <w:ind w:left="660" w:right="200"/>
        <w:spacing w:after="0" w:line="218" w:lineRule="auto"/>
        <w:rPr>
          <w:sz w:val="20"/>
          <w:szCs w:val="20"/>
          <w:color w:val="auto"/>
        </w:rPr>
      </w:pPr>
      <w:r>
        <w:rPr>
          <w:rFonts w:ascii="Arial" w:cs="Arial" w:eastAsia="Arial" w:hAnsi="Arial"/>
          <w:sz w:val="18"/>
          <w:szCs w:val="18"/>
          <w:color w:val="auto"/>
        </w:rPr>
        <w:t xml:space="preserve">such underwriter all relevant financial and other records, pertinent </w:t>
      </w:r>
      <w:r>
        <w:rPr>
          <w:rFonts w:ascii="Arial" w:cs="Arial" w:eastAsia="Arial" w:hAnsi="Arial"/>
          <w:sz w:val="36"/>
          <w:szCs w:val="36"/>
          <w:color w:val="auto"/>
          <w:vertAlign w:val="subscript"/>
        </w:rPr>
        <w:t>partnership, corporate or limited liability company</w:t>
      </w:r>
      <w:r>
        <w:rPr>
          <w:rFonts w:ascii="Arial" w:cs="Arial" w:eastAsia="Arial" w:hAnsi="Arial"/>
          <w:sz w:val="18"/>
          <w:szCs w:val="18"/>
          <w:color w:val="auto"/>
        </w:rPr>
        <w:t xml:space="preserve"> documents and properties of </w:t>
      </w:r>
      <w:r>
        <w:rPr>
          <w:rFonts w:ascii="Arial" w:cs="Arial" w:eastAsia="Arial" w:hAnsi="Arial"/>
          <w:sz w:val="36"/>
          <w:szCs w:val="36"/>
          <w:color w:val="auto"/>
          <w:vertAlign w:val="superscript"/>
        </w:rPr>
        <w:t>the Issuers</w:t>
      </w:r>
      <w:r>
        <w:rPr>
          <w:rFonts w:ascii="Arial" w:cs="Arial" w:eastAsia="Arial" w:hAnsi="Arial"/>
          <w:sz w:val="18"/>
          <w:szCs w:val="18"/>
          <w:color w:val="auto"/>
        </w:rPr>
        <w:t xml:space="preserve"> and the Guarantors </w:t>
      </w:r>
      <w:r>
        <w:rPr>
          <w:rFonts w:ascii="Arial" w:cs="Arial" w:eastAsia="Arial" w:hAnsi="Arial"/>
          <w:sz w:val="36"/>
          <w:szCs w:val="36"/>
          <w:color w:val="auto"/>
          <w:vertAlign w:val="superscript"/>
        </w:rPr>
        <w:t>and the</w:t>
      </w:r>
      <w:r>
        <w:rPr>
          <w:rFonts w:ascii="Arial" w:cs="Arial" w:eastAsia="Arial" w:hAnsi="Arial"/>
          <w:sz w:val="18"/>
          <w:szCs w:val="18"/>
          <w:color w:val="auto"/>
        </w:rPr>
        <w:t>ir respective s</w:t>
      </w:r>
      <w:r>
        <w:rPr>
          <w:rFonts w:ascii="Arial" w:cs="Arial" w:eastAsia="Arial" w:hAnsi="Arial"/>
          <w:sz w:val="36"/>
          <w:szCs w:val="36"/>
          <w:color w:val="auto"/>
          <w:vertAlign w:val="superscript"/>
        </w:rPr>
        <w:t>ubsidiaries;</w:t>
      </w:r>
    </w:p>
    <w:p>
      <w:pPr>
        <w:spacing w:after="0" w:line="2" w:lineRule="exact"/>
        <w:rPr>
          <w:sz w:val="20"/>
          <w:szCs w:val="20"/>
          <w:color w:val="auto"/>
        </w:rPr>
      </w:pPr>
    </w:p>
    <w:p>
      <w:pPr>
        <w:ind w:left="660" w:right="100" w:firstLine="1293"/>
        <w:spacing w:after="0" w:line="246" w:lineRule="auto"/>
        <w:tabs>
          <w:tab w:leader="none" w:pos="2671" w:val="left"/>
        </w:tabs>
        <w:numPr>
          <w:ilvl w:val="0"/>
          <w:numId w:val="92"/>
        </w:numPr>
        <w:rPr>
          <w:rFonts w:ascii="Arial" w:cs="Arial" w:eastAsia="Arial" w:hAnsi="Arial"/>
          <w:sz w:val="15"/>
          <w:szCs w:val="15"/>
          <w:color w:val="auto"/>
        </w:rPr>
      </w:pPr>
      <w:r>
        <w:rPr>
          <w:rFonts w:ascii="Arial" w:cs="Arial" w:eastAsia="Arial" w:hAnsi="Arial"/>
          <w:sz w:val="15"/>
          <w:szCs w:val="15"/>
          <w:color w:val="auto"/>
        </w:rPr>
        <w:t xml:space="preserve">cause the Issuers’ </w:t>
      </w:r>
      <w:r>
        <w:rPr>
          <w:rFonts w:ascii="Arial" w:cs="Arial" w:eastAsia="Arial" w:hAnsi="Arial"/>
          <w:sz w:val="28"/>
          <w:szCs w:val="28"/>
          <w:color w:val="auto"/>
          <w:vertAlign w:val="subscript"/>
        </w:rPr>
        <w:t>and the Guarantors’ respective</w:t>
      </w:r>
      <w:r>
        <w:rPr>
          <w:rFonts w:ascii="Arial" w:cs="Arial" w:eastAsia="Arial" w:hAnsi="Arial"/>
          <w:sz w:val="15"/>
          <w:szCs w:val="15"/>
          <w:color w:val="auto"/>
        </w:rPr>
        <w:t xml:space="preserve"> officers, directors and employees to supply all relevant information reasonably requested by the Holders or any such underwriter, attorney, accountant or agent in connection with any such Registration Statement as is customary for similar due diligence examinations;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information that is designated in writing by the Issuers </w:t>
      </w:r>
      <w:r>
        <w:rPr>
          <w:rFonts w:ascii="Arial" w:cs="Arial" w:eastAsia="Arial" w:hAnsi="Arial"/>
          <w:sz w:val="28"/>
          <w:szCs w:val="28"/>
          <w:color w:val="auto"/>
          <w:vertAlign w:val="subscript"/>
        </w:rPr>
        <w:t>or the</w:t>
      </w:r>
    </w:p>
    <w:p>
      <w:pPr>
        <w:spacing w:after="0" w:line="3" w:lineRule="exact"/>
        <w:rPr>
          <w:sz w:val="20"/>
          <w:szCs w:val="20"/>
          <w:color w:val="auto"/>
        </w:rPr>
      </w:pPr>
    </w:p>
    <w:p>
      <w:pPr>
        <w:ind w:left="660" w:right="720"/>
        <w:spacing w:after="0" w:line="242" w:lineRule="auto"/>
        <w:rPr>
          <w:sz w:val="20"/>
          <w:szCs w:val="20"/>
          <w:color w:val="auto"/>
        </w:rPr>
      </w:pPr>
      <w:r>
        <w:rPr>
          <w:rFonts w:ascii="Arial" w:cs="Arial" w:eastAsia="Arial" w:hAnsi="Arial"/>
          <w:sz w:val="31"/>
          <w:szCs w:val="31"/>
          <w:color w:val="auto"/>
          <w:vertAlign w:val="subscript"/>
        </w:rPr>
        <w:t>Guarantors</w:t>
      </w:r>
      <w:r>
        <w:rPr>
          <w:rFonts w:ascii="Arial" w:cs="Arial" w:eastAsia="Arial" w:hAnsi="Arial"/>
          <w:sz w:val="16"/>
          <w:szCs w:val="16"/>
          <w:color w:val="auto"/>
        </w:rPr>
        <w:t>, in good faith, as confidential at the time of delivery of such information shall be kept confidential by the Holders or any such underwriter, attorney, accountant or agent, unless such disclosure is made in connection with a court proceeding or required by law, or such information becomes available to the public generally or through a third party without an accompanying obligation of confidentiality;</w:t>
      </w:r>
    </w:p>
    <w:p>
      <w:pPr>
        <w:spacing w:after="0" w:line="214" w:lineRule="exact"/>
        <w:rPr>
          <w:sz w:val="20"/>
          <w:szCs w:val="20"/>
          <w:color w:val="auto"/>
        </w:rPr>
      </w:pPr>
    </w:p>
    <w:p>
      <w:pPr>
        <w:ind w:left="660" w:right="80" w:firstLine="1293"/>
        <w:spacing w:after="0" w:line="311" w:lineRule="auto"/>
        <w:tabs>
          <w:tab w:leader="none" w:pos="2677"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such representations and warranties to the Holders of Securities registered thereunder and the underwriters, if any, in form, substance and scope as are customarily made by issuers to underwriters in primary underwritten offerings and covering matters including, but not limited to, those set forth in the Purchase Agreement;</w:t>
      </w:r>
    </w:p>
    <w:p>
      <w:pPr>
        <w:spacing w:after="0" w:line="8" w:lineRule="exact"/>
        <w:rPr>
          <w:rFonts w:ascii="Arial" w:cs="Arial" w:eastAsia="Arial" w:hAnsi="Arial"/>
          <w:sz w:val="18"/>
          <w:szCs w:val="18"/>
          <w:color w:val="auto"/>
        </w:rPr>
      </w:pPr>
    </w:p>
    <w:p>
      <w:pPr>
        <w:ind w:left="660" w:right="40" w:firstLine="1293"/>
        <w:spacing w:after="0" w:line="272" w:lineRule="auto"/>
        <w:tabs>
          <w:tab w:leader="none" w:pos="26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obtain opinions of counsel to 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w:t>
      </w:r>
    </w:p>
    <w:p>
      <w:pPr>
        <w:spacing w:after="0" w:line="15" w:lineRule="exact"/>
        <w:rPr>
          <w:rFonts w:ascii="Arial" w:cs="Arial" w:eastAsia="Arial" w:hAnsi="Arial"/>
          <w:sz w:val="18"/>
          <w:szCs w:val="18"/>
          <w:color w:val="auto"/>
        </w:rPr>
      </w:pPr>
    </w:p>
    <w:p>
      <w:pPr>
        <w:ind w:left="2660" w:hanging="707"/>
        <w:spacing w:after="0"/>
        <w:tabs>
          <w:tab w:leader="none" w:pos="2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obtain “cold comfort” letters and updates thereof from the independent certified public accountants of the Issuers </w:t>
      </w:r>
      <w:r>
        <w:rPr>
          <w:rFonts w:ascii="Arial" w:cs="Arial" w:eastAsia="Arial" w:hAnsi="Arial"/>
          <w:sz w:val="31"/>
          <w:szCs w:val="31"/>
          <w:color w:val="auto"/>
          <w:vertAlign w:val="subscript"/>
        </w:rPr>
        <w:t>and the</w:t>
      </w:r>
    </w:p>
    <w:p>
      <w:pPr>
        <w:spacing w:after="0" w:line="115" w:lineRule="exact"/>
        <w:rPr>
          <w:sz w:val="20"/>
          <w:szCs w:val="20"/>
          <w:color w:val="auto"/>
        </w:rPr>
      </w:pPr>
    </w:p>
    <w:p>
      <w:pPr>
        <w:ind w:left="660" w:right="340"/>
        <w:spacing w:after="0" w:line="229" w:lineRule="auto"/>
        <w:rPr>
          <w:sz w:val="20"/>
          <w:szCs w:val="20"/>
          <w:color w:val="auto"/>
        </w:rPr>
      </w:pPr>
      <w:r>
        <w:rPr>
          <w:rFonts w:ascii="Arial" w:cs="Arial" w:eastAsia="Arial" w:hAnsi="Arial"/>
          <w:sz w:val="30"/>
          <w:szCs w:val="30"/>
          <w:color w:val="auto"/>
          <w:vertAlign w:val="subscript"/>
        </w:rPr>
        <w:t>Guarantors</w:t>
      </w:r>
      <w:r>
        <w:rPr>
          <w:rFonts w:ascii="Arial" w:cs="Arial" w:eastAsia="Arial" w:hAnsi="Arial"/>
          <w:sz w:val="16"/>
          <w:szCs w:val="16"/>
          <w:color w:val="auto"/>
        </w:rPr>
        <w:t xml:space="preserve"> (and, if necessary, any other independent certified public accountants of any subsidiary of the Issuers </w:t>
      </w:r>
      <w:r>
        <w:rPr>
          <w:rFonts w:ascii="Arial" w:cs="Arial" w:eastAsia="Arial" w:hAnsi="Arial"/>
          <w:sz w:val="30"/>
          <w:szCs w:val="30"/>
          <w:color w:val="auto"/>
          <w:vertAlign w:val="subscript"/>
        </w:rPr>
        <w:t>and the Guarantors</w:t>
      </w:r>
      <w:r>
        <w:rPr>
          <w:rFonts w:ascii="Arial" w:cs="Arial" w:eastAsia="Arial" w:hAnsi="Arial"/>
          <w:sz w:val="16"/>
          <w:szCs w:val="16"/>
          <w:color w:val="auto"/>
        </w:rPr>
        <w:t xml:space="preserve"> or of any business acquired by the Issuers </w:t>
      </w:r>
      <w:r>
        <w:rPr>
          <w:rFonts w:ascii="Arial" w:cs="Arial" w:eastAsia="Arial" w:hAnsi="Arial"/>
          <w:sz w:val="30"/>
          <w:szCs w:val="30"/>
          <w:color w:val="auto"/>
          <w:vertAlign w:val="subscript"/>
        </w:rPr>
        <w:t>and the Guarantors</w:t>
      </w:r>
      <w:r>
        <w:rPr>
          <w:rFonts w:ascii="Arial" w:cs="Arial" w:eastAsia="Arial" w:hAnsi="Arial"/>
          <w:sz w:val="16"/>
          <w:szCs w:val="16"/>
          <w:color w:val="auto"/>
        </w:rPr>
        <w:t xml:space="preserve"> for which financial statements and financial data are, or are required to be, included in the Registration Statement), addressed to each selling Holder of Securities registered thereunder and the underwriters, if any, in customary form and covering matters of the type customarily covered in “cold comfort” letters in connection with primary underwritten offerings; and</w:t>
      </w:r>
    </w:p>
    <w:p>
      <w:pPr>
        <w:spacing w:after="0" w:line="219" w:lineRule="exact"/>
        <w:rPr>
          <w:sz w:val="20"/>
          <w:szCs w:val="20"/>
          <w:color w:val="auto"/>
        </w:rPr>
      </w:pPr>
    </w:p>
    <w:p>
      <w:pPr>
        <w:ind w:left="660" w:right="340" w:firstLine="1293"/>
        <w:spacing w:after="0" w:line="300" w:lineRule="auto"/>
        <w:tabs>
          <w:tab w:leader="none" w:pos="2666" w:val="left"/>
        </w:tabs>
        <w:numPr>
          <w:ilvl w:val="0"/>
          <w:numId w:val="94"/>
        </w:numPr>
        <w:rPr>
          <w:rFonts w:ascii="Arial" w:cs="Arial" w:eastAsia="Arial" w:hAnsi="Arial"/>
          <w:sz w:val="16"/>
          <w:szCs w:val="16"/>
          <w:color w:val="auto"/>
        </w:rPr>
      </w:pPr>
      <w:r>
        <w:rPr>
          <w:rFonts w:ascii="Arial" w:cs="Arial" w:eastAsia="Arial" w:hAnsi="Arial"/>
          <w:sz w:val="16"/>
          <w:szCs w:val="16"/>
          <w:color w:val="auto"/>
        </w:rPr>
        <w:t>deliver such documents and certificates as may be reasonably requested by the Majority Holders and the Managing Underwriters, if any, including those to evidence compliance with Section 5(k) and with any customary conditions contained in the underwriting</w:t>
      </w:r>
    </w:p>
    <w:p>
      <w:pPr>
        <w:ind w:left="660"/>
        <w:spacing w:after="0" w:line="182" w:lineRule="auto"/>
        <w:rPr>
          <w:sz w:val="20"/>
          <w:szCs w:val="20"/>
          <w:color w:val="auto"/>
        </w:rPr>
      </w:pPr>
      <w:r>
        <w:rPr>
          <w:rFonts w:ascii="Arial" w:cs="Arial" w:eastAsia="Arial" w:hAnsi="Arial"/>
          <w:sz w:val="17"/>
          <w:szCs w:val="17"/>
          <w:color w:val="auto"/>
        </w:rPr>
        <w:t xml:space="preserve">agreement or other agreement entered into by the Issuers </w:t>
      </w:r>
      <w:r>
        <w:rPr>
          <w:rFonts w:ascii="Arial" w:cs="Arial" w:eastAsia="Arial" w:hAnsi="Arial"/>
          <w:sz w:val="34"/>
          <w:szCs w:val="34"/>
          <w:color w:val="auto"/>
          <w:vertAlign w:val="subscript"/>
        </w:rPr>
        <w:t>or the Guarantors</w:t>
      </w:r>
      <w:r>
        <w:rPr>
          <w:rFonts w:ascii="Arial" w:cs="Arial" w:eastAsia="Arial" w:hAnsi="Arial"/>
          <w:sz w:val="17"/>
          <w:szCs w:val="17"/>
          <w:color w:val="auto"/>
        </w:rPr>
        <w: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761" w:gutter="0" w:footer="0" w:header="0"/>
        </w:sectPr>
      </w:pPr>
    </w:p>
    <w:bookmarkStart w:id="37" w:name="page38"/>
    <w:bookmarkEnd w:id="37"/>
    <w:p>
      <w:pPr>
        <w:spacing w:after="0" w:line="54" w:lineRule="exact"/>
        <w:rPr>
          <w:sz w:val="20"/>
          <w:szCs w:val="20"/>
          <w:color w:val="auto"/>
        </w:rPr>
      </w:pPr>
    </w:p>
    <w:p>
      <w:pPr>
        <w:ind w:right="80"/>
        <w:spacing w:after="0" w:line="215" w:lineRule="auto"/>
        <w:rPr>
          <w:sz w:val="20"/>
          <w:szCs w:val="20"/>
          <w:color w:val="auto"/>
        </w:rPr>
      </w:pPr>
      <w:r>
        <w:rPr>
          <w:rFonts w:ascii="Arial" w:cs="Arial" w:eastAsia="Arial" w:hAnsi="Arial"/>
          <w:sz w:val="17"/>
          <w:szCs w:val="17"/>
          <w:color w:val="auto"/>
        </w:rPr>
        <w:t>The actions set forth in clauses (iii), (iv), (v) and (vi) of this Section shall be performed at (A) the effectiveness of such Registration Statement and each post-effective amendment thereto</w:t>
      </w:r>
      <w:r>
        <w:rPr>
          <w:rFonts w:ascii="Arial" w:cs="Arial" w:eastAsia="Arial" w:hAnsi="Arial"/>
          <w:sz w:val="34"/>
          <w:szCs w:val="34"/>
          <w:color w:val="auto"/>
          <w:vertAlign w:val="subscript"/>
        </w:rPr>
        <w:t>;</w:t>
      </w:r>
      <w:r>
        <w:rPr>
          <w:rFonts w:ascii="Arial" w:cs="Arial" w:eastAsia="Arial" w:hAnsi="Arial"/>
          <w:sz w:val="17"/>
          <w:szCs w:val="17"/>
          <w:color w:val="auto"/>
        </w:rPr>
        <w:t xml:space="preserve"> and (B) each closing under any underwriting or similar agreement as and to the extent required thereunder.</w:t>
      </w:r>
    </w:p>
    <w:p>
      <w:pPr>
        <w:spacing w:after="0" w:line="204" w:lineRule="exact"/>
        <w:rPr>
          <w:sz w:val="20"/>
          <w:szCs w:val="20"/>
          <w:color w:val="auto"/>
        </w:rPr>
      </w:pPr>
    </w:p>
    <w:p>
      <w:pPr>
        <w:ind w:left="2020" w:hanging="715"/>
        <w:spacing w:after="0"/>
        <w:tabs>
          <w:tab w:leader="none" w:pos="2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right="20" w:firstLine="1305"/>
        <w:spacing w:after="0" w:line="291" w:lineRule="auto"/>
        <w:tabs>
          <w:tab w:leader="none" w:pos="2001"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the event that any Broker-Dealer shall underwrite any Securities or participate as a member of an underwriting syndicate or selling group or “assist in the distribution” (within the meaning of the Conduct Rules and the By-Laws of the National Association of Securities Dealers, Inc.)</w:t>
      </w:r>
    </w:p>
    <w:p>
      <w:pPr>
        <w:ind w:right="300"/>
        <w:spacing w:after="0" w:line="193" w:lineRule="auto"/>
        <w:rPr>
          <w:sz w:val="20"/>
          <w:szCs w:val="20"/>
          <w:color w:val="auto"/>
        </w:rPr>
      </w:pPr>
      <w:r>
        <w:rPr>
          <w:rFonts w:ascii="Arial" w:cs="Arial" w:eastAsia="Arial" w:hAnsi="Arial"/>
          <w:sz w:val="18"/>
          <w:szCs w:val="18"/>
          <w:color w:val="auto"/>
        </w:rPr>
        <w:t xml:space="preserve">thereof, whether as a Holder of </w:t>
      </w:r>
      <w:r>
        <w:rPr>
          <w:rFonts w:ascii="Arial" w:cs="Arial" w:eastAsia="Arial" w:hAnsi="Arial"/>
          <w:sz w:val="36"/>
          <w:szCs w:val="36"/>
          <w:color w:val="auto"/>
          <w:vertAlign w:val="superscript"/>
        </w:rPr>
        <w:t>such</w:t>
      </w:r>
      <w:r>
        <w:rPr>
          <w:rFonts w:ascii="Arial" w:cs="Arial" w:eastAsia="Arial" w:hAnsi="Arial"/>
          <w:sz w:val="18"/>
          <w:szCs w:val="18"/>
          <w:color w:val="auto"/>
        </w:rPr>
        <w:t xml:space="preserve"> Securities or as an underwriter, a placement or sales agent or a broker or dealer in respect thereof, or otherwise, assist such Broker-Dealer in complying with the requirements of such Rules and By-Laws, including, without limitation, by:</w:t>
      </w:r>
    </w:p>
    <w:p>
      <w:pPr>
        <w:spacing w:after="0" w:line="202" w:lineRule="exact"/>
        <w:rPr>
          <w:sz w:val="20"/>
          <w:szCs w:val="20"/>
          <w:color w:val="auto"/>
        </w:rPr>
      </w:pPr>
    </w:p>
    <w:p>
      <w:pPr>
        <w:ind w:left="2660" w:hanging="707"/>
        <w:spacing w:after="0"/>
        <w:tabs>
          <w:tab w:leader="none" w:pos="2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such Rules or By-Laws shall so require, engaging a “qualified independent underwriter” (as defined in such Rules) to</w:t>
      </w:r>
    </w:p>
    <w:p>
      <w:pPr>
        <w:spacing w:after="0" w:line="46" w:lineRule="exact"/>
        <w:rPr>
          <w:sz w:val="20"/>
          <w:szCs w:val="20"/>
          <w:color w:val="auto"/>
        </w:rPr>
      </w:pPr>
    </w:p>
    <w:p>
      <w:pPr>
        <w:ind w:left="660" w:right="20"/>
        <w:spacing w:after="0" w:line="207" w:lineRule="auto"/>
        <w:rPr>
          <w:sz w:val="20"/>
          <w:szCs w:val="20"/>
          <w:color w:val="auto"/>
        </w:rPr>
      </w:pPr>
      <w:r>
        <w:rPr>
          <w:rFonts w:ascii="Arial" w:cs="Arial" w:eastAsia="Arial" w:hAnsi="Arial"/>
          <w:sz w:val="18"/>
          <w:szCs w:val="18"/>
          <w:color w:val="auto"/>
        </w:rPr>
        <w:t xml:space="preserve">participate in the preparation of the Registration Statement, to exercise usual standards of due diligence </w:t>
      </w:r>
      <w:r>
        <w:rPr>
          <w:rFonts w:ascii="Arial" w:cs="Arial" w:eastAsia="Arial" w:hAnsi="Arial"/>
          <w:sz w:val="36"/>
          <w:szCs w:val="36"/>
          <w:color w:val="auto"/>
          <w:vertAlign w:val="superscript"/>
        </w:rPr>
        <w:t>with</w:t>
      </w:r>
      <w:r>
        <w:rPr>
          <w:rFonts w:ascii="Arial" w:cs="Arial" w:eastAsia="Arial" w:hAnsi="Arial"/>
          <w:sz w:val="18"/>
          <w:szCs w:val="18"/>
          <w:color w:val="auto"/>
        </w:rPr>
        <w:t xml:space="preserve"> respect thereto and, if any portion of the offering contemplated by such Registration Statement is an underwritten offering or is made through a placement or sales agent, to recommend the yield of such Securities;</w:t>
      </w:r>
    </w:p>
    <w:p>
      <w:pPr>
        <w:spacing w:after="0" w:line="147" w:lineRule="exact"/>
        <w:rPr>
          <w:sz w:val="20"/>
          <w:szCs w:val="20"/>
          <w:color w:val="auto"/>
        </w:rPr>
      </w:pPr>
    </w:p>
    <w:p>
      <w:pPr>
        <w:ind w:left="2660" w:hanging="707"/>
        <w:spacing w:after="0"/>
        <w:tabs>
          <w:tab w:leader="none" w:pos="2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indemnifying any such </w:t>
      </w:r>
      <w:r>
        <w:rPr>
          <w:rFonts w:ascii="Arial" w:cs="Arial" w:eastAsia="Arial" w:hAnsi="Arial"/>
          <w:sz w:val="31"/>
          <w:szCs w:val="31"/>
          <w:color w:val="auto"/>
          <w:vertAlign w:val="superscript"/>
        </w:rPr>
        <w:t>qualified</w:t>
      </w:r>
      <w:r>
        <w:rPr>
          <w:rFonts w:ascii="Arial" w:cs="Arial" w:eastAsia="Arial" w:hAnsi="Arial"/>
          <w:sz w:val="16"/>
          <w:szCs w:val="16"/>
          <w:color w:val="auto"/>
        </w:rPr>
        <w:t xml:space="preserve"> independent underwriter to the extent of the indemnification of underwriters provided in</w:t>
      </w:r>
    </w:p>
    <w:p>
      <w:pPr>
        <w:ind w:left="660"/>
        <w:spacing w:after="0"/>
        <w:rPr>
          <w:rFonts w:ascii="Arial" w:cs="Arial" w:eastAsia="Arial" w:hAnsi="Arial"/>
          <w:sz w:val="16"/>
          <w:szCs w:val="16"/>
          <w:color w:val="auto"/>
        </w:rPr>
      </w:pPr>
      <w:r>
        <w:rPr>
          <w:rFonts w:ascii="Arial" w:cs="Arial" w:eastAsia="Arial" w:hAnsi="Arial"/>
          <w:sz w:val="18"/>
          <w:szCs w:val="18"/>
          <w:color w:val="auto"/>
        </w:rPr>
        <w:t>Section 7 hereof; and</w:t>
      </w:r>
    </w:p>
    <w:p>
      <w:pPr>
        <w:spacing w:after="0" w:line="152" w:lineRule="exact"/>
        <w:rPr>
          <w:rFonts w:ascii="Arial" w:cs="Arial" w:eastAsia="Arial" w:hAnsi="Arial"/>
          <w:sz w:val="16"/>
          <w:szCs w:val="16"/>
          <w:color w:val="auto"/>
        </w:rPr>
      </w:pPr>
    </w:p>
    <w:p>
      <w:pPr>
        <w:ind w:left="2680" w:hanging="727"/>
        <w:spacing w:after="0"/>
        <w:tabs>
          <w:tab w:leader="none" w:pos="2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providing such information to </w:t>
      </w:r>
      <w:r>
        <w:rPr>
          <w:rFonts w:ascii="Arial" w:cs="Arial" w:eastAsia="Arial" w:hAnsi="Arial"/>
          <w:sz w:val="31"/>
          <w:szCs w:val="31"/>
          <w:color w:val="auto"/>
          <w:vertAlign w:val="superscript"/>
        </w:rPr>
        <w:t>such</w:t>
      </w:r>
      <w:r>
        <w:rPr>
          <w:rFonts w:ascii="Arial" w:cs="Arial" w:eastAsia="Arial" w:hAnsi="Arial"/>
          <w:sz w:val="16"/>
          <w:szCs w:val="16"/>
          <w:color w:val="auto"/>
        </w:rPr>
        <w:t xml:space="preserve"> Broker-Dealer as may be required in order for such Broker-Dealer to comply with the</w:t>
      </w:r>
    </w:p>
    <w:p>
      <w:pPr>
        <w:ind w:left="660"/>
        <w:spacing w:after="0"/>
        <w:rPr>
          <w:rFonts w:ascii="Arial" w:cs="Arial" w:eastAsia="Arial" w:hAnsi="Arial"/>
          <w:sz w:val="16"/>
          <w:szCs w:val="16"/>
          <w:color w:val="auto"/>
        </w:rPr>
      </w:pPr>
      <w:r>
        <w:rPr>
          <w:rFonts w:ascii="Arial" w:cs="Arial" w:eastAsia="Arial" w:hAnsi="Arial"/>
          <w:sz w:val="18"/>
          <w:szCs w:val="18"/>
          <w:color w:val="auto"/>
        </w:rPr>
        <w:t>requirements of such Rules.</w:t>
      </w:r>
    </w:p>
    <w:p>
      <w:pPr>
        <w:spacing w:after="0" w:line="209" w:lineRule="exact"/>
        <w:rPr>
          <w:rFonts w:ascii="Arial" w:cs="Arial" w:eastAsia="Arial" w:hAnsi="Arial"/>
          <w:sz w:val="16"/>
          <w:szCs w:val="16"/>
          <w:color w:val="auto"/>
        </w:rPr>
      </w:pPr>
    </w:p>
    <w:p>
      <w:pPr>
        <w:ind w:left="660" w:right="600" w:firstLine="1293"/>
        <w:spacing w:after="0" w:line="210" w:lineRule="auto"/>
        <w:tabs>
          <w:tab w:leader="none" w:pos="2666"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The Issuers and the Guarantors shall use their reasonable best </w:t>
      </w:r>
      <w:r>
        <w:rPr>
          <w:rFonts w:ascii="Arial" w:cs="Arial" w:eastAsia="Arial" w:hAnsi="Arial"/>
          <w:sz w:val="34"/>
          <w:szCs w:val="34"/>
          <w:color w:val="auto"/>
          <w:vertAlign w:val="superscript"/>
        </w:rPr>
        <w:t>efforts</w:t>
      </w:r>
      <w:r>
        <w:rPr>
          <w:rFonts w:ascii="Arial" w:cs="Arial" w:eastAsia="Arial" w:hAnsi="Arial"/>
          <w:sz w:val="17"/>
          <w:szCs w:val="17"/>
          <w:color w:val="auto"/>
        </w:rPr>
        <w:t xml:space="preserve"> to take all other steps necessary to effect the registration of the Securities or the New Securities, as the case may be, covered by a Registration Statement.</w:t>
      </w:r>
    </w:p>
    <w:p>
      <w:pPr>
        <w:spacing w:after="0" w:line="30" w:lineRule="exact"/>
        <w:rPr>
          <w:sz w:val="20"/>
          <w:szCs w:val="20"/>
          <w:color w:val="auto"/>
        </w:rPr>
      </w:pPr>
    </w:p>
    <w:p>
      <w:pPr>
        <w:jc w:val="both"/>
        <w:ind w:right="340" w:firstLine="1305"/>
        <w:spacing w:after="0" w:line="269" w:lineRule="auto"/>
        <w:tabs>
          <w:tab w:leader="none" w:pos="2017" w:val="left"/>
        </w:tabs>
        <w:numPr>
          <w:ilvl w:val="0"/>
          <w:numId w:val="98"/>
        </w:numPr>
        <w:rPr>
          <w:rFonts w:ascii="Arial" w:cs="Arial" w:eastAsia="Arial" w:hAnsi="Arial"/>
          <w:sz w:val="31"/>
          <w:szCs w:val="31"/>
          <w:color w:val="auto"/>
          <w:vertAlign w:val="subscript"/>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bear all expenses incurred in connection with the performance of their obligations under Sections 2, 3 and 5 hereof and, in the event of any Shelf Registration Statement, will reimburse the Holders for the reasonable fees and disbursements of one firm or counsel designated by the Majority Holders to act as counsel for the Holders in connection therewith, and, in the case of any Exchange Offer Registration Statement, will reimburse the Initial Purchaser</w:t>
      </w:r>
      <w:r>
        <w:rPr>
          <w:rFonts w:ascii="Arial" w:cs="Arial" w:eastAsia="Arial" w:hAnsi="Arial"/>
          <w:sz w:val="31"/>
          <w:szCs w:val="31"/>
          <w:color w:val="auto"/>
          <w:vertAlign w:val="subscript"/>
        </w:rPr>
        <w:t>s</w:t>
      </w:r>
      <w:r>
        <w:rPr>
          <w:rFonts w:ascii="Arial" w:cs="Arial" w:eastAsia="Arial" w:hAnsi="Arial"/>
          <w:sz w:val="16"/>
          <w:szCs w:val="16"/>
          <w:color w:val="auto"/>
        </w:rPr>
        <w:t xml:space="preserve"> for the reasonable fees and disbursements of counsel acting in connection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therewith.</w:t>
      </w:r>
    </w:p>
    <w:p>
      <w:pPr>
        <w:spacing w:after="0" w:line="51" w:lineRule="exact"/>
        <w:rPr>
          <w:sz w:val="20"/>
          <w:szCs w:val="20"/>
          <w:color w:val="auto"/>
        </w:rPr>
      </w:pPr>
    </w:p>
    <w:p>
      <w:pPr>
        <w:ind w:right="80" w:firstLine="1305"/>
        <w:spacing w:after="0" w:line="225" w:lineRule="auto"/>
        <w:tabs>
          <w:tab w:leader="none" w:pos="2017" w:val="left"/>
        </w:tabs>
        <w:numPr>
          <w:ilvl w:val="0"/>
          <w:numId w:val="99"/>
        </w:numPr>
        <w:rPr>
          <w:rFonts w:ascii="Arial" w:cs="Arial" w:eastAsia="Arial" w:hAnsi="Arial"/>
          <w:sz w:val="36"/>
          <w:szCs w:val="36"/>
          <w:color w:val="auto"/>
          <w:vertAlign w:val="subscript"/>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 xml:space="preserve">. </w:t>
      </w:r>
      <w:r>
        <w:rPr>
          <w:rFonts w:ascii="Arial" w:cs="Arial" w:eastAsia="Arial" w:hAnsi="Arial"/>
          <w:sz w:val="36"/>
          <w:szCs w:val="36"/>
          <w:color w:val="auto"/>
          <w:vertAlign w:val="subscript"/>
        </w:rPr>
        <w:t>(a)</w:t>
      </w:r>
      <w:r>
        <w:rPr>
          <w:rFonts w:ascii="Arial" w:cs="Arial" w:eastAsia="Arial" w:hAnsi="Arial"/>
          <w:sz w:val="18"/>
          <w:szCs w:val="18"/>
          <w:color w:val="auto"/>
        </w:rPr>
        <w:t xml:space="preserve"> The Issuers </w:t>
      </w:r>
      <w:r>
        <w:rPr>
          <w:rFonts w:ascii="Arial" w:cs="Arial" w:eastAsia="Arial" w:hAnsi="Arial"/>
          <w:sz w:val="36"/>
          <w:szCs w:val="36"/>
          <w:color w:val="auto"/>
          <w:vertAlign w:val="subscript"/>
        </w:rPr>
        <w:t>and each Guarantor</w:t>
      </w:r>
      <w:r>
        <w:rPr>
          <w:rFonts w:ascii="Arial" w:cs="Arial" w:eastAsia="Arial" w:hAnsi="Arial"/>
          <w:sz w:val="18"/>
          <w:szCs w:val="18"/>
          <w:color w:val="auto"/>
        </w:rPr>
        <w:t xml:space="preserve"> agree to indemnify and hold harmless each Holder of Securities </w:t>
      </w:r>
      <w:r>
        <w:rPr>
          <w:rFonts w:ascii="Arial" w:cs="Arial" w:eastAsia="Arial" w:hAnsi="Arial"/>
          <w:sz w:val="36"/>
          <w:szCs w:val="36"/>
          <w:color w:val="auto"/>
          <w:vertAlign w:val="subscript"/>
        </w:rPr>
        <w:t>or New Securities, as the case may be,</w:t>
      </w:r>
      <w:r>
        <w:rPr>
          <w:rFonts w:ascii="Arial" w:cs="Arial" w:eastAsia="Arial" w:hAnsi="Arial"/>
          <w:sz w:val="18"/>
          <w:szCs w:val="18"/>
          <w:color w:val="auto"/>
        </w:rPr>
        <w:t xml:space="preserve"> covered by </w:t>
      </w:r>
      <w:r>
        <w:rPr>
          <w:rFonts w:ascii="Arial" w:cs="Arial" w:eastAsia="Arial" w:hAnsi="Arial"/>
          <w:sz w:val="36"/>
          <w:szCs w:val="36"/>
          <w:color w:val="auto"/>
          <w:vertAlign w:val="subscript"/>
        </w:rPr>
        <w:t>any Registration Statement</w:t>
      </w:r>
      <w:r>
        <w:rPr>
          <w:rFonts w:ascii="Arial" w:cs="Arial" w:eastAsia="Arial" w:hAnsi="Arial"/>
          <w:sz w:val="18"/>
          <w:szCs w:val="18"/>
          <w:color w:val="auto"/>
        </w:rPr>
        <w:t xml:space="preserve"> (including each Initial Purchaser and, with respect to any Prospectus delivery as contemplated in Section 5(h) hereof, each Exchanging</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 xml:space="preserve">Dealer), the directors, officers, employees and agents of each such Holder and each Person who controls any such Holder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w:t>
      </w:r>
      <w:r>
        <w:rPr>
          <w:rFonts w:ascii="Arial" w:cs="Arial" w:eastAsia="Arial" w:hAnsi="Arial"/>
          <w:sz w:val="31"/>
          <w:szCs w:val="31"/>
          <w:color w:val="auto"/>
          <w:vertAlign w:val="subscript"/>
        </w:rPr>
        <w:t>the</w:t>
      </w:r>
      <w:r>
        <w:rPr>
          <w:rFonts w:ascii="Arial" w:cs="Arial" w:eastAsia="Arial" w:hAnsi="Arial"/>
          <w:sz w:val="16"/>
          <w:szCs w:val="16"/>
          <w:color w:val="auto"/>
        </w:rPr>
        <w:t xml:space="preserve"> Prospectus, or in any amendment thereof or supplement</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16"/>
          <w:szCs w:val="16"/>
          <w:color w:val="auto"/>
        </w:rPr>
        <w:t xml:space="preserve">thereto, or arise out of or are based upon the omission or alleged omission to state therein a material fact required to be stated therein or necessary to make the statements therein not misleading, and agree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29"/>
          <w:szCs w:val="29"/>
          <w:color w:val="auto"/>
          <w:vertAlign w:val="subscript"/>
        </w:rPr>
        <w:t>(i)</w:t>
      </w:r>
      <w:r>
        <w:rPr>
          <w:rFonts w:ascii="Arial" w:cs="Arial" w:eastAsia="Arial" w:hAnsi="Arial"/>
          <w:sz w:val="16"/>
          <w:szCs w:val="16"/>
          <w:color w:val="auto"/>
        </w:rPr>
        <w:t xml:space="preserve"> the Issuers </w:t>
      </w:r>
      <w:r>
        <w:rPr>
          <w:rFonts w:ascii="Arial" w:cs="Arial" w:eastAsia="Arial" w:hAnsi="Arial"/>
          <w:sz w:val="29"/>
          <w:szCs w:val="29"/>
          <w:color w:val="auto"/>
          <w:vertAlign w:val="subscript"/>
        </w:rPr>
        <w:t>and the Guarantors</w:t>
      </w:r>
      <w:r>
        <w:rPr>
          <w:rFonts w:ascii="Arial" w:cs="Arial" w:eastAsia="Arial" w:hAnsi="Arial"/>
          <w:sz w:val="16"/>
          <w:szCs w:val="16"/>
          <w:color w:val="auto"/>
        </w:rPr>
        <w:t xml:space="preserve"> will not be liable in any case to the extent that any such loss, claim, damage or liability arises out of or is based upon any such untrue statement or alleged untrue statement or omission or alleged omission made therein in reliance upon and in conformity with written information furnished to the Issuers </w:t>
      </w:r>
      <w:r>
        <w:rPr>
          <w:rFonts w:ascii="Arial" w:cs="Arial" w:eastAsia="Arial" w:hAnsi="Arial"/>
          <w:sz w:val="29"/>
          <w:szCs w:val="29"/>
          <w:color w:val="auto"/>
          <w:vertAlign w:val="subscript"/>
        </w:rPr>
        <w:t>or the</w:t>
      </w:r>
    </w:p>
    <w:p>
      <w:pPr>
        <w:spacing w:after="0" w:line="2" w:lineRule="exact"/>
        <w:rPr>
          <w:sz w:val="20"/>
          <w:szCs w:val="20"/>
          <w:color w:val="auto"/>
        </w:rPr>
      </w:pPr>
    </w:p>
    <w:p>
      <w:pPr>
        <w:ind w:right="480"/>
        <w:spacing w:after="0" w:line="184" w:lineRule="auto"/>
        <w:rPr>
          <w:sz w:val="20"/>
          <w:szCs w:val="20"/>
          <w:color w:val="auto"/>
        </w:rPr>
      </w:pPr>
      <w:r>
        <w:rPr>
          <w:rFonts w:ascii="Arial" w:cs="Arial" w:eastAsia="Arial" w:hAnsi="Arial"/>
          <w:sz w:val="32"/>
          <w:szCs w:val="32"/>
          <w:color w:val="auto"/>
          <w:vertAlign w:val="subscript"/>
        </w:rPr>
        <w:t>Guarantors</w:t>
      </w:r>
      <w:r>
        <w:rPr>
          <w:rFonts w:ascii="Arial" w:cs="Arial" w:eastAsia="Arial" w:hAnsi="Arial"/>
          <w:sz w:val="17"/>
          <w:szCs w:val="17"/>
          <w:color w:val="auto"/>
        </w:rPr>
        <w:t xml:space="preserve"> by or on behalf of any such Holder specifically for inclusion therein. This indemnity agreement will be in addition to any liability which the Issuers </w:t>
      </w:r>
      <w:r>
        <w:rPr>
          <w:rFonts w:ascii="Arial" w:cs="Arial" w:eastAsia="Arial" w:hAnsi="Arial"/>
          <w:sz w:val="32"/>
          <w:szCs w:val="32"/>
          <w:color w:val="auto"/>
          <w:vertAlign w:val="subscript"/>
        </w:rPr>
        <w:t>or the Guarantors</w:t>
      </w:r>
      <w:r>
        <w:rPr>
          <w:rFonts w:ascii="Arial" w:cs="Arial" w:eastAsia="Arial" w:hAnsi="Arial"/>
          <w:sz w:val="17"/>
          <w:szCs w:val="17"/>
          <w:color w:val="auto"/>
        </w:rPr>
        <w:t xml:space="preserve"> may otherwise have.</w:t>
      </w:r>
    </w:p>
    <w:p>
      <w:pPr>
        <w:spacing w:after="0" w:line="32" w:lineRule="exact"/>
        <w:rPr>
          <w:sz w:val="20"/>
          <w:szCs w:val="20"/>
          <w:color w:val="auto"/>
        </w:rPr>
      </w:pPr>
    </w:p>
    <w:p>
      <w:pPr>
        <w:ind w:right="80" w:firstLine="1297"/>
        <w:spacing w:after="0" w:line="257" w:lineRule="auto"/>
        <w:rPr>
          <w:sz w:val="20"/>
          <w:szCs w:val="20"/>
          <w:color w:val="auto"/>
        </w:rPr>
      </w:pPr>
      <w:r>
        <w:rPr>
          <w:rFonts w:ascii="Arial" w:cs="Arial" w:eastAsia="Arial" w:hAnsi="Arial"/>
          <w:sz w:val="15"/>
          <w:szCs w:val="15"/>
          <w:color w:val="auto"/>
        </w:rPr>
        <w:t xml:space="preserve">The Issuers </w:t>
      </w:r>
      <w:r>
        <w:rPr>
          <w:rFonts w:ascii="Arial" w:cs="Arial" w:eastAsia="Arial" w:hAnsi="Arial"/>
          <w:sz w:val="28"/>
          <w:szCs w:val="28"/>
          <w:color w:val="auto"/>
          <w:vertAlign w:val="subscript"/>
        </w:rPr>
        <w:t>and each Guarantor</w:t>
      </w:r>
      <w:r>
        <w:rPr>
          <w:rFonts w:ascii="Arial" w:cs="Arial" w:eastAsia="Arial" w:hAnsi="Arial"/>
          <w:sz w:val="15"/>
          <w:szCs w:val="15"/>
          <w:color w:val="auto"/>
        </w:rPr>
        <w:t xml:space="preserve"> also agree to indemnify or contribute as provided in Section 7(d) to Losses of any underwriter of Securities </w:t>
      </w:r>
      <w:r>
        <w:rPr>
          <w:rFonts w:ascii="Arial" w:cs="Arial" w:eastAsia="Arial" w:hAnsi="Arial"/>
          <w:sz w:val="28"/>
          <w:szCs w:val="28"/>
          <w:color w:val="auto"/>
          <w:vertAlign w:val="subscript"/>
        </w:rPr>
        <w:t>or New Securities, as the case may be,</w:t>
      </w:r>
      <w:r>
        <w:rPr>
          <w:rFonts w:ascii="Arial" w:cs="Arial" w:eastAsia="Arial" w:hAnsi="Arial"/>
          <w:sz w:val="15"/>
          <w:szCs w:val="15"/>
          <w:color w:val="auto"/>
        </w:rPr>
        <w:t xml:space="preserve"> registered under a Shelf Registration Statement, their </w:t>
      </w:r>
      <w:r>
        <w:rPr>
          <w:rFonts w:ascii="Arial" w:cs="Arial" w:eastAsia="Arial" w:hAnsi="Arial"/>
          <w:sz w:val="28"/>
          <w:szCs w:val="28"/>
          <w:color w:val="auto"/>
          <w:vertAlign w:val="subscript"/>
        </w:rPr>
        <w:t>directors,</w:t>
      </w:r>
      <w:r>
        <w:rPr>
          <w:rFonts w:ascii="Arial" w:cs="Arial" w:eastAsia="Arial" w:hAnsi="Arial"/>
          <w:sz w:val="15"/>
          <w:szCs w:val="15"/>
          <w:color w:val="auto"/>
        </w:rPr>
        <w:t xml:space="preserve"> officers</w:t>
      </w:r>
      <w:r>
        <w:rPr>
          <w:rFonts w:ascii="Arial" w:cs="Arial" w:eastAsia="Arial" w:hAnsi="Arial"/>
          <w:sz w:val="28"/>
          <w:szCs w:val="28"/>
          <w:color w:val="auto"/>
          <w:vertAlign w:val="subscript"/>
        </w:rPr>
        <w:t>, employees or agents</w:t>
      </w:r>
      <w:r>
        <w:rPr>
          <w:rFonts w:ascii="Arial" w:cs="Arial" w:eastAsia="Arial" w:hAnsi="Arial"/>
          <w:sz w:val="15"/>
          <w:szCs w:val="15"/>
          <w:color w:val="auto"/>
        </w:rPr>
        <w:t xml:space="preserve"> and each Person who controls such underwriter on substantially the same basis as that of the indemnification of the Initial Purchaser</w:t>
      </w:r>
      <w:r>
        <w:rPr>
          <w:rFonts w:ascii="Arial" w:cs="Arial" w:eastAsia="Arial" w:hAnsi="Arial"/>
          <w:sz w:val="28"/>
          <w:szCs w:val="28"/>
          <w:color w:val="auto"/>
          <w:vertAlign w:val="subscript"/>
        </w:rPr>
        <w:t>s</w:t>
      </w:r>
      <w:r>
        <w:rPr>
          <w:rFonts w:ascii="Arial" w:cs="Arial" w:eastAsia="Arial" w:hAnsi="Arial"/>
          <w:sz w:val="15"/>
          <w:szCs w:val="15"/>
          <w:color w:val="auto"/>
        </w:rPr>
        <w:t xml:space="preserve"> and the selling Holders provided in this</w:t>
      </w:r>
    </w:p>
    <w:p>
      <w:pPr>
        <w:spacing w:after="0" w:line="4" w:lineRule="exact"/>
        <w:rPr>
          <w:sz w:val="20"/>
          <w:szCs w:val="20"/>
          <w:color w:val="auto"/>
        </w:rPr>
      </w:pPr>
    </w:p>
    <w:p>
      <w:pPr>
        <w:spacing w:after="0" w:line="193" w:lineRule="auto"/>
        <w:rPr>
          <w:sz w:val="20"/>
          <w:szCs w:val="20"/>
          <w:color w:val="auto"/>
        </w:rPr>
      </w:pPr>
      <w:r>
        <w:rPr>
          <w:rFonts w:ascii="Arial" w:cs="Arial" w:eastAsia="Arial" w:hAnsi="Arial"/>
          <w:sz w:val="18"/>
          <w:szCs w:val="18"/>
          <w:color w:val="auto"/>
        </w:rPr>
        <w:t>Section 7(a)</w:t>
      </w:r>
      <w:r>
        <w:rPr>
          <w:rFonts w:ascii="Arial" w:cs="Arial" w:eastAsia="Arial" w:hAnsi="Arial"/>
          <w:sz w:val="36"/>
          <w:szCs w:val="36"/>
          <w:color w:val="auto"/>
          <w:vertAlign w:val="subscript"/>
        </w:rPr>
        <w:t>.</w:t>
      </w:r>
      <w:r>
        <w:rPr>
          <w:rFonts w:ascii="Arial" w:cs="Arial" w:eastAsia="Arial" w:hAnsi="Arial"/>
          <w:sz w:val="18"/>
          <w:szCs w:val="18"/>
          <w:color w:val="auto"/>
        </w:rPr>
        <w:t xml:space="preserve"> The Issuers </w:t>
      </w:r>
      <w:r>
        <w:rPr>
          <w:rFonts w:ascii="Arial" w:cs="Arial" w:eastAsia="Arial" w:hAnsi="Arial"/>
          <w:sz w:val="36"/>
          <w:szCs w:val="36"/>
          <w:color w:val="auto"/>
          <w:vertAlign w:val="subscript"/>
        </w:rPr>
        <w:t>and each Guarantor</w:t>
      </w:r>
      <w:r>
        <w:rPr>
          <w:rFonts w:ascii="Arial" w:cs="Arial" w:eastAsia="Arial" w:hAnsi="Arial"/>
          <w:sz w:val="18"/>
          <w:szCs w:val="18"/>
          <w:color w:val="auto"/>
        </w:rPr>
        <w:t xml:space="preserve"> shall, if requested by any Holder, enter into an underwriting agreement reflecting such agreement, as provided in Section 5(p) hereof.</w:t>
      </w:r>
    </w:p>
    <w:p>
      <w:pPr>
        <w:spacing w:after="0" w:line="216" w:lineRule="exact"/>
        <w:rPr>
          <w:sz w:val="20"/>
          <w:szCs w:val="20"/>
          <w:color w:val="auto"/>
        </w:rPr>
      </w:pPr>
    </w:p>
    <w:p>
      <w:pPr>
        <w:ind w:right="200" w:firstLine="1305"/>
        <w:spacing w:after="0" w:line="209" w:lineRule="auto"/>
        <w:tabs>
          <w:tab w:leader="none" w:pos="200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Each Holder of securities covered by a Registration Statement (including each Initial Purchaser and, with respect to any Prospectus delivery as contemplated in Section 5(h) hereof, each Exchanging Dealer) severally </w:t>
      </w:r>
      <w:r>
        <w:rPr>
          <w:rFonts w:ascii="Arial" w:cs="Arial" w:eastAsia="Arial" w:hAnsi="Arial"/>
          <w:sz w:val="31"/>
          <w:szCs w:val="31"/>
          <w:color w:val="auto"/>
          <w:vertAlign w:val="subscript"/>
        </w:rPr>
        <w:t>and not jointly</w:t>
      </w:r>
      <w:r>
        <w:rPr>
          <w:rFonts w:ascii="Arial" w:cs="Arial" w:eastAsia="Arial" w:hAnsi="Arial"/>
          <w:sz w:val="16"/>
          <w:szCs w:val="16"/>
          <w:color w:val="auto"/>
        </w:rPr>
        <w:t xml:space="preserve"> agrees to indemnify and hold harmless the </w:t>
      </w:r>
      <w:r>
        <w:rPr>
          <w:rFonts w:ascii="Arial" w:cs="Arial" w:eastAsia="Arial" w:hAnsi="Arial"/>
          <w:sz w:val="31"/>
          <w:szCs w:val="31"/>
          <w:color w:val="auto"/>
          <w:vertAlign w:val="subscript"/>
        </w:rPr>
        <w:t>Issuers, the Guarantors,</w:t>
      </w:r>
      <w:r>
        <w:rPr>
          <w:rFonts w:ascii="Arial" w:cs="Arial" w:eastAsia="Arial" w:hAnsi="Arial"/>
          <w:sz w:val="16"/>
          <w:szCs w:val="16"/>
          <w:color w:val="auto"/>
        </w:rPr>
        <w:t xml:space="preserve"> the director</w:t>
      </w:r>
      <w:r>
        <w:rPr>
          <w:rFonts w:ascii="Arial" w:cs="Arial" w:eastAsia="Arial" w:hAnsi="Arial"/>
          <w:sz w:val="31"/>
          <w:szCs w:val="31"/>
          <w:color w:val="auto"/>
          <w:vertAlign w:val="subscript"/>
        </w:rPr>
        <w:t>s</w:t>
      </w:r>
      <w:r>
        <w:rPr>
          <w:rFonts w:ascii="Arial" w:cs="Arial" w:eastAsia="Arial" w:hAnsi="Arial"/>
          <w:sz w:val="16"/>
          <w:szCs w:val="16"/>
          <w:color w:val="auto"/>
        </w:rPr>
        <w:t xml:space="preserve"> of the Issuers and the Guarantors</w:t>
      </w:r>
      <w:r>
        <w:rPr>
          <w:rFonts w:ascii="Arial" w:cs="Arial" w:eastAsia="Arial" w:hAnsi="Arial"/>
          <w:sz w:val="31"/>
          <w:szCs w:val="31"/>
          <w:color w:val="auto"/>
          <w:vertAlign w:val="subscript"/>
        </w:rPr>
        <w:t>,</w:t>
      </w:r>
      <w:r>
        <w:rPr>
          <w:rFonts w:ascii="Arial" w:cs="Arial" w:eastAsia="Arial" w:hAnsi="Arial"/>
          <w:sz w:val="16"/>
          <w:szCs w:val="16"/>
          <w:color w:val="auto"/>
        </w:rPr>
        <w:t xml:space="preserve"> the officers of the Issuers and the Guarantors who sign such Registration Statement and each Person who controls the Issuers </w:t>
      </w:r>
      <w:r>
        <w:rPr>
          <w:rFonts w:ascii="Arial" w:cs="Arial" w:eastAsia="Arial" w:hAnsi="Arial"/>
          <w:sz w:val="31"/>
          <w:szCs w:val="31"/>
          <w:color w:val="auto"/>
          <w:vertAlign w:val="subscript"/>
        </w:rPr>
        <w:t>or the Guarantors</w:t>
      </w:r>
      <w:r>
        <w:rPr>
          <w:rFonts w:ascii="Arial" w:cs="Arial" w:eastAsia="Arial" w:hAnsi="Arial"/>
          <w:sz w:val="16"/>
          <w:szCs w:val="16"/>
          <w:color w:val="auto"/>
        </w:rPr>
        <w:t xml:space="preserve"> within the meaning of either the Act or the Exchange Act</w:t>
      </w:r>
      <w:r>
        <w:rPr>
          <w:rFonts w:ascii="Arial" w:cs="Arial" w:eastAsia="Arial" w:hAnsi="Arial"/>
          <w:sz w:val="31"/>
          <w:szCs w:val="31"/>
          <w:color w:val="auto"/>
          <w:vertAlign w:val="subscript"/>
        </w:rPr>
        <w:t>,</w:t>
      </w:r>
      <w:r>
        <w:rPr>
          <w:rFonts w:ascii="Arial" w:cs="Arial" w:eastAsia="Arial" w:hAnsi="Arial"/>
          <w:sz w:val="16"/>
          <w:szCs w:val="16"/>
          <w:color w:val="auto"/>
        </w:rPr>
        <w:t xml:space="preserve"> to the same extent as the foregoing indemnity from 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to each such Holder, but only with reference to written information relating to such Holder furnished to 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by or on behalf of such Holder specifically for inclusion in the documents referred to in the foregoing indemnity. This indemnity agreement will be in addition to any liability which any such Holder may otherwise have.</w:t>
      </w:r>
    </w:p>
    <w:p>
      <w:pPr>
        <w:sectPr>
          <w:pgSz w:w="11900" w:h="16892" w:orient="portrait"/>
          <w:cols w:equalWidth="0" w:num="1">
            <w:col w:w="11420"/>
          </w:cols>
          <w:pgMar w:left="240" w:top="125" w:right="239" w:bottom="0" w:gutter="0" w:footer="0" w:header="0"/>
        </w:sectPr>
      </w:pPr>
    </w:p>
    <w:bookmarkStart w:id="38" w:name="page39"/>
    <w:bookmarkEnd w:id="38"/>
    <w:p>
      <w:pPr>
        <w:ind w:right="180" w:firstLine="1305"/>
        <w:spacing w:after="0" w:line="300" w:lineRule="auto"/>
        <w:tabs>
          <w:tab w:leader="none" w:pos="199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7 or notice of the commencement of any action, such indemnified party will, if a claim in respect thereof is to be made against the indemnifying party under this Section, notify the indemnifying party in writing</w:t>
      </w:r>
    </w:p>
    <w:p>
      <w:pPr>
        <w:ind w:right="40"/>
        <w:spacing w:after="0" w:line="184" w:lineRule="auto"/>
        <w:rPr>
          <w:sz w:val="20"/>
          <w:szCs w:val="20"/>
          <w:color w:val="auto"/>
        </w:rPr>
      </w:pPr>
      <w:r>
        <w:rPr>
          <w:rFonts w:ascii="Arial" w:cs="Arial" w:eastAsia="Arial" w:hAnsi="Arial"/>
          <w:sz w:val="18"/>
          <w:szCs w:val="18"/>
          <w:color w:val="auto"/>
        </w:rPr>
        <w:t xml:space="preserve">of the commencement thereof; but the failure so to notify the indemnifying party (i) will not relieve it from liability under </w:t>
      </w:r>
      <w:r>
        <w:rPr>
          <w:rFonts w:ascii="Arial" w:cs="Arial" w:eastAsia="Arial" w:hAnsi="Arial"/>
          <w:sz w:val="36"/>
          <w:szCs w:val="36"/>
          <w:color w:val="auto"/>
          <w:vertAlign w:val="subscript"/>
        </w:rPr>
        <w:t>paragraph</w:t>
      </w:r>
      <w:r>
        <w:rPr>
          <w:rFonts w:ascii="Arial" w:cs="Arial" w:eastAsia="Arial" w:hAnsi="Arial"/>
          <w:sz w:val="18"/>
          <w:szCs w:val="18"/>
          <w:color w:val="auto"/>
        </w:rPr>
        <w:t xml:space="preserve"> (a) or (b) above unless and to the extent it did not otherwise learn of such action and such failure results in the forfeiture by the indemnifying party of substantial rights and defenses</w:t>
      </w:r>
      <w:r>
        <w:rPr>
          <w:rFonts w:ascii="Arial" w:cs="Arial" w:eastAsia="Arial" w:hAnsi="Arial"/>
          <w:sz w:val="36"/>
          <w:szCs w:val="36"/>
          <w:color w:val="auto"/>
          <w:vertAlign w:val="subscript"/>
        </w:rPr>
        <w:t>;</w:t>
      </w:r>
      <w:r>
        <w:rPr>
          <w:rFonts w:ascii="Arial" w:cs="Arial" w:eastAsia="Arial" w:hAnsi="Arial"/>
          <w:sz w:val="18"/>
          <w:szCs w:val="18"/>
          <w:color w:val="auto"/>
        </w:rPr>
        <w:t xml:space="preserve"> and (ii) will not, in any event, relieve the indemnifying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party from any obligations to any indemnified party other than the indemnification obligation provided in </w:t>
      </w:r>
      <w:r>
        <w:rPr>
          <w:rFonts w:ascii="Arial" w:cs="Arial" w:eastAsia="Arial" w:hAnsi="Arial"/>
          <w:sz w:val="31"/>
          <w:szCs w:val="31"/>
          <w:color w:val="auto"/>
          <w:vertAlign w:val="subscript"/>
        </w:rPr>
        <w:t>paragraph</w:t>
      </w:r>
      <w:r>
        <w:rPr>
          <w:rFonts w:ascii="Arial" w:cs="Arial" w:eastAsia="Arial" w:hAnsi="Arial"/>
          <w:sz w:val="16"/>
          <w:szCs w:val="16"/>
          <w:color w:val="auto"/>
        </w:rPr>
        <w:t xml:space="preserve">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w:t>
      </w:r>
    </w:p>
    <w:p>
      <w:pPr>
        <w:spacing w:after="0" w:line="3" w:lineRule="exact"/>
        <w:rPr>
          <w:sz w:val="20"/>
          <w:szCs w:val="20"/>
          <w:color w:val="auto"/>
        </w:rPr>
      </w:pPr>
    </w:p>
    <w:p>
      <w:pPr>
        <w:ind w:firstLine="8"/>
        <w:spacing w:after="0" w:line="260" w:lineRule="auto"/>
        <w:tabs>
          <w:tab w:leader="none" w:pos="26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w:t>
      </w:r>
      <w:r>
        <w:rPr>
          <w:rFonts w:ascii="Arial" w:cs="Arial" w:eastAsia="Arial" w:hAnsi="Arial"/>
          <w:sz w:val="31"/>
          <w:szCs w:val="31"/>
          <w:color w:val="auto"/>
          <w:vertAlign w:val="subscript"/>
        </w:rPr>
        <w:t>;</w:t>
      </w:r>
      <w:r>
        <w:rPr>
          <w:rFonts w:ascii="Arial" w:cs="Arial" w:eastAsia="Arial" w:hAnsi="Arial"/>
          <w:sz w:val="16"/>
          <w:szCs w:val="16"/>
          <w:color w:val="auto"/>
        </w:rPr>
        <w:t xml:space="preserve"> or (iv) the indemnifying party shall authorize the indemnified party to</w:t>
      </w:r>
    </w:p>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21" w:lineRule="exact"/>
        <w:rPr>
          <w:sz w:val="20"/>
          <w:szCs w:val="20"/>
          <w:color w:val="auto"/>
        </w:rPr>
      </w:pPr>
    </w:p>
    <w:p>
      <w:pPr>
        <w:ind w:right="40" w:firstLine="1305"/>
        <w:spacing w:after="0" w:line="300" w:lineRule="auto"/>
        <w:tabs>
          <w:tab w:leader="none" w:pos="200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w:t>
      </w:r>
      <w:r>
        <w:rPr>
          <w:rFonts w:ascii="Arial" w:cs="Arial" w:eastAsia="Arial" w:hAnsi="Arial"/>
          <w:sz w:val="31"/>
          <w:szCs w:val="31"/>
          <w:color w:val="auto"/>
          <w:vertAlign w:val="subscript"/>
        </w:rPr>
        <w:t>paragraph</w:t>
      </w:r>
      <w:r>
        <w:rPr>
          <w:rFonts w:ascii="Arial" w:cs="Arial" w:eastAsia="Arial" w:hAnsi="Arial"/>
          <w:sz w:val="16"/>
          <w:szCs w:val="16"/>
          <w:color w:val="auto"/>
        </w:rPr>
        <w:t xml:space="preserve"> (a) or (b) of this Section </w:t>
      </w:r>
      <w:r>
        <w:rPr>
          <w:rFonts w:ascii="Arial" w:cs="Arial" w:eastAsia="Arial" w:hAnsi="Arial"/>
          <w:sz w:val="31"/>
          <w:szCs w:val="31"/>
          <w:color w:val="auto"/>
          <w:vertAlign w:val="subscript"/>
        </w:rPr>
        <w:t>7</w:t>
      </w:r>
      <w:r>
        <w:rPr>
          <w:rFonts w:ascii="Arial" w:cs="Arial" w:eastAsia="Arial" w:hAnsi="Arial"/>
          <w:sz w:val="16"/>
          <w:szCs w:val="16"/>
          <w:color w:val="auto"/>
        </w:rPr>
        <w:t xml:space="preserve">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same) (collectively “Losses”) to which such indemnified party may be subject in such proportion as is appropriate to reflect the relative benefits received by such indemnifying party, on the one hand, and such indemnified party, on the other hand, from the Initial Placement and the Registration Statement which resulted in such Losses;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any Initial Purchaser or any subsequent Holder of any Security or New Security be responsible, in the aggregate, for any amount in excess of the purchase discount or commission applicable to such Security, or in the case of a New Security, applicable to the Security that was exchangeable into such New Security, as set forth on the cover page of the Final Memorandum, nor shall any underwriter be responsible for any amount in excess of the underwriting discount or commission applicable to the securities purchased by such underwriter under the Registration Statement which resulted in such Losses.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w:t>
      </w:r>
    </w:p>
    <w:p>
      <w:pPr>
        <w:spacing w:after="0" w:line="181" w:lineRule="auto"/>
        <w:rPr>
          <w:sz w:val="20"/>
          <w:szCs w:val="20"/>
          <w:color w:val="auto"/>
        </w:rPr>
      </w:pPr>
      <w:r>
        <w:rPr>
          <w:rFonts w:ascii="Arial" w:cs="Arial" w:eastAsia="Arial" w:hAnsi="Arial"/>
          <w:sz w:val="18"/>
          <w:szCs w:val="18"/>
          <w:color w:val="auto"/>
        </w:rPr>
        <w:t xml:space="preserve">any other relevant equitable considerations. Benefits received by the Issuers </w:t>
      </w:r>
      <w:r>
        <w:rPr>
          <w:rFonts w:ascii="Arial" w:cs="Arial" w:eastAsia="Arial" w:hAnsi="Arial"/>
          <w:sz w:val="35"/>
          <w:szCs w:val="35"/>
          <w:color w:val="auto"/>
          <w:vertAlign w:val="subscript"/>
        </w:rPr>
        <w:t>or the Guarantors</w:t>
      </w:r>
      <w:r>
        <w:rPr>
          <w:rFonts w:ascii="Arial" w:cs="Arial" w:eastAsia="Arial" w:hAnsi="Arial"/>
          <w:sz w:val="18"/>
          <w:szCs w:val="18"/>
          <w:color w:val="auto"/>
        </w:rPr>
        <w:t xml:space="preserve"> shall be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217" w:lineRule="auto"/>
        <w:rPr>
          <w:sz w:val="20"/>
          <w:szCs w:val="20"/>
          <w:color w:val="auto"/>
        </w:rPr>
      </w:pPr>
      <w:r>
        <w:rPr>
          <w:rFonts w:ascii="Arial" w:cs="Arial" w:eastAsia="Arial" w:hAnsi="Arial"/>
          <w:sz w:val="16"/>
          <w:szCs w:val="16"/>
          <w:color w:val="auto"/>
        </w:rPr>
        <w:t xml:space="preserve">deemed to be equal to the sum of (x) the total net proceeds from the Initial Placement (before deducting expenses) as set forth on the cover page of the Final Memorandum and (y) the total amount of additional interest which 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were not required to pay as a result of registering the securities covered by the Registration Statement which resulted in such Losses. Benefits received by the Initial Purchaser</w:t>
      </w:r>
      <w:r>
        <w:rPr>
          <w:rFonts w:ascii="Arial" w:cs="Arial" w:eastAsia="Arial" w:hAnsi="Arial"/>
          <w:sz w:val="31"/>
          <w:szCs w:val="31"/>
          <w:color w:val="auto"/>
          <w:vertAlign w:val="subscript"/>
        </w:rPr>
        <w:t>s</w:t>
      </w:r>
      <w:r>
        <w:rPr>
          <w:rFonts w:ascii="Arial" w:cs="Arial" w:eastAsia="Arial" w:hAnsi="Arial"/>
          <w:sz w:val="16"/>
          <w:szCs w:val="16"/>
          <w:color w:val="auto"/>
        </w:rPr>
        <w:t xml:space="preserve"> shall be deemed to be equal to the</w:t>
      </w:r>
    </w:p>
    <w:p>
      <w:pPr>
        <w:ind w:right="60"/>
        <w:spacing w:after="0" w:line="249" w:lineRule="auto"/>
        <w:rPr>
          <w:sz w:val="20"/>
          <w:szCs w:val="20"/>
          <w:color w:val="auto"/>
        </w:rPr>
      </w:pPr>
      <w:r>
        <w:rPr>
          <w:rFonts w:ascii="Arial" w:cs="Arial" w:eastAsia="Arial" w:hAnsi="Arial"/>
          <w:sz w:val="15"/>
          <w:szCs w:val="15"/>
          <w:color w:val="auto"/>
        </w:rPr>
        <w:t>total purchase discounts and commissions as set forth on the cover page of the Final Memorandum, and benefits received by any other Holders shall be deemed to be equal to the value of receiving Securities or New Securities, as applicable, registered under the Act. Benefits received by any underwriter shall be deemed to be equal to the total underwriting discounts and commissions, as set forth on the cover page of the Prospectus forming a part of the Registration Statement which resulted in such Losses. Relative fault shall be determined by reference to, among other things, whether any alleged untrue statement or omission relates to information provided by the indemnifying party, on the one hand, or by the indemnified party, on the other hand</w:t>
      </w:r>
      <w:r>
        <w:rPr>
          <w:rFonts w:ascii="Arial" w:cs="Arial" w:eastAsia="Arial" w:hAnsi="Arial"/>
          <w:sz w:val="28"/>
          <w:szCs w:val="28"/>
          <w:color w:val="auto"/>
          <w:vertAlign w:val="subscript"/>
        </w:rPr>
        <w:t>, the intent of the parties</w:t>
      </w:r>
      <w:r>
        <w:rPr>
          <w:rFonts w:ascii="Arial" w:cs="Arial" w:eastAsia="Arial" w:hAnsi="Arial"/>
          <w:sz w:val="15"/>
          <w:szCs w:val="15"/>
          <w:color w:val="auto"/>
        </w:rPr>
        <w:t xml:space="preserve"> and their relative knowledge, access to information and opportunity to correct or prevent such untrue statement or omission</w:t>
      </w:r>
      <w:r>
        <w:rPr>
          <w:rFonts w:ascii="Arial" w:cs="Arial" w:eastAsia="Arial" w:hAnsi="Arial"/>
          <w:sz w:val="28"/>
          <w:szCs w:val="28"/>
          <w:color w:val="auto"/>
          <w:vertAlign w:val="superscript"/>
        </w:rPr>
        <w:t>. The parties agree that it would</w:t>
      </w:r>
      <w:r>
        <w:rPr>
          <w:rFonts w:ascii="Arial" w:cs="Arial" w:eastAsia="Arial" w:hAnsi="Arial"/>
          <w:sz w:val="15"/>
          <w:szCs w:val="15"/>
          <w:color w:val="auto"/>
        </w:rPr>
        <w:t xml:space="preserve"> not be just and equitable if contribution were determined by pro rata allocation </w:t>
      </w:r>
      <w:r>
        <w:rPr>
          <w:rFonts w:ascii="Arial" w:cs="Arial" w:eastAsia="Arial" w:hAnsi="Arial"/>
          <w:sz w:val="28"/>
          <w:szCs w:val="28"/>
          <w:color w:val="auto"/>
          <w:vertAlign w:val="subscript"/>
        </w:rPr>
        <w:t>(even if the Holders were treated as one entity for such purpose)</w:t>
      </w:r>
      <w:r>
        <w:rPr>
          <w:rFonts w:ascii="Arial" w:cs="Arial" w:eastAsia="Arial" w:hAnsi="Arial"/>
          <w:sz w:val="15"/>
          <w:szCs w:val="15"/>
          <w:color w:val="auto"/>
        </w:rPr>
        <w:t xml:space="preserve"> or any other method of allocation which does not take account of the equitable considerations referred to above. Notwithstanding the provisions of this </w:t>
      </w:r>
      <w:r>
        <w:rPr>
          <w:rFonts w:ascii="Arial" w:cs="Arial" w:eastAsia="Arial" w:hAnsi="Arial"/>
          <w:sz w:val="28"/>
          <w:szCs w:val="28"/>
          <w:color w:val="auto"/>
          <w:vertAlign w:val="subscript"/>
        </w:rPr>
        <w:t>paragraph</w:t>
      </w:r>
      <w:r>
        <w:rPr>
          <w:rFonts w:ascii="Arial" w:cs="Arial" w:eastAsia="Arial" w:hAnsi="Arial"/>
          <w:sz w:val="15"/>
          <w:szCs w:val="15"/>
          <w:color w:val="auto"/>
        </w:rPr>
        <w:t xml:space="preserve"> (d), no Person guilty of fraudulent misrepresentation (within the meaning of Section 11(f) of the Act) shall be entitled to contribution from any Person who was not guilty of such fraudulent misrepresentation. For purposes of this Section </w:t>
      </w:r>
      <w:r>
        <w:rPr>
          <w:rFonts w:ascii="Arial" w:cs="Arial" w:eastAsia="Arial" w:hAnsi="Arial"/>
          <w:sz w:val="28"/>
          <w:szCs w:val="28"/>
          <w:color w:val="auto"/>
          <w:vertAlign w:val="subscript"/>
        </w:rPr>
        <w:t>7</w:t>
      </w:r>
      <w:r>
        <w:rPr>
          <w:rFonts w:ascii="Arial" w:cs="Arial" w:eastAsia="Arial" w:hAnsi="Arial"/>
          <w:sz w:val="15"/>
          <w:szCs w:val="15"/>
          <w:color w:val="auto"/>
        </w:rPr>
        <w:t>, each Person who controls a Holder within the meaning of either the Act or the</w:t>
      </w:r>
    </w:p>
    <w:p>
      <w:pPr>
        <w:spacing w:after="0" w:line="1" w:lineRule="exact"/>
        <w:rPr>
          <w:sz w:val="20"/>
          <w:szCs w:val="20"/>
          <w:color w:val="auto"/>
        </w:rPr>
      </w:pPr>
    </w:p>
    <w:p>
      <w:pPr>
        <w:ind w:right="180"/>
        <w:spacing w:after="0" w:line="194" w:lineRule="auto"/>
        <w:rPr>
          <w:sz w:val="20"/>
          <w:szCs w:val="20"/>
          <w:color w:val="auto"/>
        </w:rPr>
      </w:pPr>
      <w:r>
        <w:rPr>
          <w:rFonts w:ascii="Arial" w:cs="Arial" w:eastAsia="Arial" w:hAnsi="Arial"/>
          <w:sz w:val="17"/>
          <w:szCs w:val="17"/>
          <w:color w:val="auto"/>
        </w:rPr>
        <w:t xml:space="preserve">Exchange Act and each director, officer, employee and agent of such Holder shall have the same rights to contribution as such Holder, and each Person who controls the Issuers </w:t>
      </w:r>
      <w:r>
        <w:rPr>
          <w:rFonts w:ascii="Arial" w:cs="Arial" w:eastAsia="Arial" w:hAnsi="Arial"/>
          <w:sz w:val="33"/>
          <w:szCs w:val="33"/>
          <w:color w:val="auto"/>
          <w:vertAlign w:val="subscript"/>
        </w:rPr>
        <w:t>and the Guarantors</w:t>
      </w:r>
      <w:r>
        <w:rPr>
          <w:rFonts w:ascii="Arial" w:cs="Arial" w:eastAsia="Arial" w:hAnsi="Arial"/>
          <w:sz w:val="17"/>
          <w:szCs w:val="17"/>
          <w:color w:val="auto"/>
        </w:rPr>
        <w:t xml:space="preserve"> within the meaning of either the Act or the Exchange Act, each officer of the Issuers </w:t>
      </w:r>
      <w:r>
        <w:rPr>
          <w:rFonts w:ascii="Arial" w:cs="Arial" w:eastAsia="Arial" w:hAnsi="Arial"/>
          <w:sz w:val="33"/>
          <w:szCs w:val="33"/>
          <w:color w:val="auto"/>
          <w:vertAlign w:val="subscript"/>
        </w:rPr>
        <w:t>and the Guarantors</w:t>
      </w:r>
      <w:r>
        <w:rPr>
          <w:rFonts w:ascii="Arial" w:cs="Arial" w:eastAsia="Arial" w:hAnsi="Arial"/>
          <w:sz w:val="17"/>
          <w:szCs w:val="17"/>
          <w:color w:val="auto"/>
        </w:rPr>
        <w:t xml:space="preserve"> who shall have signed the Registration Statement and each director of the Issuers </w:t>
      </w:r>
      <w:r>
        <w:rPr>
          <w:rFonts w:ascii="Arial" w:cs="Arial" w:eastAsia="Arial" w:hAnsi="Arial"/>
          <w:sz w:val="33"/>
          <w:szCs w:val="33"/>
          <w:color w:val="auto"/>
          <w:vertAlign w:val="subscript"/>
        </w:rPr>
        <w:t>and the Guarantors</w:t>
      </w:r>
      <w:r>
        <w:rPr>
          <w:rFonts w:ascii="Arial" w:cs="Arial" w:eastAsia="Arial" w:hAnsi="Arial"/>
          <w:sz w:val="17"/>
          <w:szCs w:val="17"/>
          <w:color w:val="auto"/>
        </w:rPr>
        <w:t xml:space="preserve"> shall have the same rights to contribution as the Issuers </w:t>
      </w:r>
      <w:r>
        <w:rPr>
          <w:rFonts w:ascii="Arial" w:cs="Arial" w:eastAsia="Arial" w:hAnsi="Arial"/>
          <w:sz w:val="33"/>
          <w:szCs w:val="33"/>
          <w:color w:val="auto"/>
          <w:vertAlign w:val="subscript"/>
        </w:rPr>
        <w:t>and the</w:t>
      </w:r>
      <w:r>
        <w:rPr>
          <w:rFonts w:ascii="Arial" w:cs="Arial" w:eastAsia="Arial" w:hAnsi="Arial"/>
          <w:sz w:val="17"/>
          <w:szCs w:val="17"/>
          <w:color w:val="auto"/>
        </w:rPr>
        <w:t xml:space="preserve"> </w:t>
      </w:r>
      <w:r>
        <w:rPr>
          <w:rFonts w:ascii="Arial" w:cs="Arial" w:eastAsia="Arial" w:hAnsi="Arial"/>
          <w:sz w:val="33"/>
          <w:szCs w:val="33"/>
          <w:color w:val="auto"/>
          <w:vertAlign w:val="subscript"/>
        </w:rPr>
        <w:t>Guarantors</w:t>
      </w:r>
      <w:r>
        <w:rPr>
          <w:rFonts w:ascii="Arial" w:cs="Arial" w:eastAsia="Arial" w:hAnsi="Arial"/>
          <w:sz w:val="17"/>
          <w:szCs w:val="17"/>
          <w:color w:val="auto"/>
        </w:rPr>
        <w:t>, subject in each case to the applicable terms and conditions of this paragraph (d).</w:t>
      </w:r>
    </w:p>
    <w:p>
      <w:pPr>
        <w:spacing w:after="0" w:line="31" w:lineRule="exact"/>
        <w:rPr>
          <w:sz w:val="20"/>
          <w:szCs w:val="20"/>
          <w:color w:val="auto"/>
        </w:rPr>
      </w:pPr>
    </w:p>
    <w:p>
      <w:pPr>
        <w:ind w:left="2000" w:hanging="695"/>
        <w:spacing w:after="0"/>
        <w:tabs>
          <w:tab w:leader="none" w:pos="2000" w:val="left"/>
        </w:tabs>
        <w:numPr>
          <w:ilvl w:val="0"/>
          <w:numId w:val="104"/>
        </w:numPr>
        <w:rPr>
          <w:rFonts w:ascii="Arial" w:cs="Arial" w:eastAsia="Arial" w:hAnsi="Arial"/>
          <w:sz w:val="31"/>
          <w:szCs w:val="31"/>
          <w:color w:val="auto"/>
          <w:vertAlign w:val="subscript"/>
        </w:rPr>
      </w:pPr>
      <w:r>
        <w:rPr>
          <w:rFonts w:ascii="Arial" w:cs="Arial" w:eastAsia="Arial" w:hAnsi="Arial"/>
          <w:sz w:val="16"/>
          <w:szCs w:val="16"/>
          <w:color w:val="auto"/>
        </w:rPr>
        <w:t xml:space="preserve">The provisions of this Section </w:t>
      </w:r>
      <w:r>
        <w:rPr>
          <w:rFonts w:ascii="Arial" w:cs="Arial" w:eastAsia="Arial" w:hAnsi="Arial"/>
          <w:sz w:val="31"/>
          <w:szCs w:val="31"/>
          <w:color w:val="auto"/>
          <w:vertAlign w:val="subscript"/>
        </w:rPr>
        <w:t>7</w:t>
      </w:r>
      <w:r>
        <w:rPr>
          <w:rFonts w:ascii="Arial" w:cs="Arial" w:eastAsia="Arial" w:hAnsi="Arial"/>
          <w:sz w:val="16"/>
          <w:szCs w:val="16"/>
          <w:color w:val="auto"/>
        </w:rPr>
        <w:t xml:space="preserve"> will remain in full force and effect, regardless of any investigation made by or on behalf of any</w:t>
      </w:r>
    </w:p>
    <w:p>
      <w:pPr>
        <w:spacing w:after="0" w:line="115" w:lineRule="exact"/>
        <w:rPr>
          <w:sz w:val="20"/>
          <w:szCs w:val="20"/>
          <w:color w:val="auto"/>
        </w:rPr>
      </w:pPr>
    </w:p>
    <w:p>
      <w:pPr>
        <w:ind w:right="20"/>
        <w:spacing w:after="0" w:line="193" w:lineRule="auto"/>
        <w:rPr>
          <w:sz w:val="20"/>
          <w:szCs w:val="20"/>
          <w:color w:val="auto"/>
        </w:rPr>
      </w:pPr>
      <w:r>
        <w:rPr>
          <w:rFonts w:ascii="Arial" w:cs="Arial" w:eastAsia="Arial" w:hAnsi="Arial"/>
          <w:sz w:val="18"/>
          <w:szCs w:val="18"/>
          <w:color w:val="auto"/>
        </w:rPr>
        <w:t xml:space="preserve">Holder or the Issuers </w:t>
      </w:r>
      <w:r>
        <w:rPr>
          <w:rFonts w:ascii="Arial" w:cs="Arial" w:eastAsia="Arial" w:hAnsi="Arial"/>
          <w:sz w:val="36"/>
          <w:szCs w:val="36"/>
          <w:color w:val="auto"/>
          <w:vertAlign w:val="subscript"/>
        </w:rPr>
        <w:t>and the Guarantors</w:t>
      </w:r>
      <w:r>
        <w:rPr>
          <w:rFonts w:ascii="Arial" w:cs="Arial" w:eastAsia="Arial" w:hAnsi="Arial"/>
          <w:sz w:val="18"/>
          <w:szCs w:val="18"/>
          <w:color w:val="auto"/>
        </w:rPr>
        <w:t xml:space="preserve"> or any of the officers, directors or controlling Persons referred to in </w:t>
      </w:r>
      <w:r>
        <w:rPr>
          <w:rFonts w:ascii="Arial" w:cs="Arial" w:eastAsia="Arial" w:hAnsi="Arial"/>
          <w:sz w:val="36"/>
          <w:szCs w:val="36"/>
          <w:color w:val="auto"/>
          <w:vertAlign w:val="subscript"/>
        </w:rPr>
        <w:t>this</w:t>
      </w:r>
      <w:r>
        <w:rPr>
          <w:rFonts w:ascii="Arial" w:cs="Arial" w:eastAsia="Arial" w:hAnsi="Arial"/>
          <w:sz w:val="18"/>
          <w:szCs w:val="18"/>
          <w:color w:val="auto"/>
        </w:rPr>
        <w:t xml:space="preserve"> Section hereof, and will survive the sale by a Holder of securities covered by a Registration Statement.</w:t>
      </w:r>
    </w:p>
    <w:p>
      <w:pPr>
        <w:sectPr>
          <w:pgSz w:w="11900" w:h="16838" w:orient="portrait"/>
          <w:cols w:equalWidth="0" w:num="1">
            <w:col w:w="11420"/>
          </w:cols>
          <w:pgMar w:left="240" w:top="341" w:right="239" w:bottom="0" w:gutter="0" w:footer="0" w:header="0"/>
        </w:sectPr>
      </w:pPr>
    </w:p>
    <w:bookmarkStart w:id="39" w:name="page40"/>
    <w:bookmarkEnd w:id="39"/>
    <w:p>
      <w:pPr>
        <w:ind w:firstLine="1305"/>
        <w:spacing w:after="0" w:line="211" w:lineRule="auto"/>
        <w:tabs>
          <w:tab w:leader="none" w:pos="201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Underwritten Registrations</w:t>
      </w:r>
      <w:r>
        <w:rPr>
          <w:rFonts w:ascii="Arial" w:cs="Arial" w:eastAsia="Arial" w:hAnsi="Arial"/>
          <w:sz w:val="36"/>
          <w:szCs w:val="36"/>
          <w:color w:val="auto"/>
          <w:vertAlign w:val="superscript"/>
        </w:rPr>
        <w:t>.</w:t>
      </w:r>
      <w:r>
        <w:rPr>
          <w:rFonts w:ascii="Arial" w:cs="Arial" w:eastAsia="Arial" w:hAnsi="Arial"/>
          <w:sz w:val="18"/>
          <w:szCs w:val="18"/>
          <w:color w:val="auto"/>
        </w:rPr>
        <w:t xml:space="preserve"> (a) If any of the Securities or New Securities, as the case may be, covered by any Shelf Registration Statement are to be sold in an underwritten offering, the Managing Underwriters shall be selected by the Majority Holders and shall be reasonably satisfactory to the Partnership.</w:t>
      </w:r>
    </w:p>
    <w:p>
      <w:pPr>
        <w:spacing w:after="0" w:line="204" w:lineRule="exact"/>
        <w:rPr>
          <w:sz w:val="20"/>
          <w:szCs w:val="20"/>
          <w:color w:val="auto"/>
        </w:rPr>
      </w:pPr>
    </w:p>
    <w:p>
      <w:pPr>
        <w:ind w:right="60" w:firstLine="1305"/>
        <w:spacing w:after="0" w:line="232" w:lineRule="auto"/>
        <w:tabs>
          <w:tab w:leader="none" w:pos="20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No Person may participate in any underwritten offering pursuant to any Shelf Registration Statement, unless such Person (i) </w:t>
      </w:r>
      <w:r>
        <w:rPr>
          <w:rFonts w:ascii="Arial" w:cs="Arial" w:eastAsia="Arial" w:hAnsi="Arial"/>
          <w:sz w:val="34"/>
          <w:szCs w:val="34"/>
          <w:color w:val="auto"/>
          <w:vertAlign w:val="superscript"/>
        </w:rPr>
        <w:t>agrees</w:t>
      </w:r>
      <w:r>
        <w:rPr>
          <w:rFonts w:ascii="Arial" w:cs="Arial" w:eastAsia="Arial" w:hAnsi="Arial"/>
          <w:sz w:val="17"/>
          <w:szCs w:val="17"/>
          <w:color w:val="auto"/>
        </w:rPr>
        <w:t xml:space="preserve"> to sell such Person’s Securities or New Securities, as the case may be,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right="300" w:firstLine="1305"/>
        <w:spacing w:after="0" w:line="212" w:lineRule="auto"/>
        <w:tabs>
          <w:tab w:leader="none" w:pos="2017" w:val="left"/>
        </w:tabs>
        <w:numPr>
          <w:ilvl w:val="0"/>
          <w:numId w:val="107"/>
        </w:numPr>
        <w:rPr>
          <w:rFonts w:ascii="Arial" w:cs="Arial" w:eastAsia="Arial" w:hAnsi="Arial"/>
          <w:sz w:val="36"/>
          <w:szCs w:val="36"/>
          <w:color w:val="auto"/>
          <w:vertAlign w:val="subscript"/>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xml:space="preserve">. </w:t>
      </w:r>
      <w:r>
        <w:rPr>
          <w:rFonts w:ascii="Arial" w:cs="Arial" w:eastAsia="Arial" w:hAnsi="Arial"/>
          <w:sz w:val="36"/>
          <w:szCs w:val="36"/>
          <w:color w:val="auto"/>
          <w:vertAlign w:val="subscript"/>
        </w:rPr>
        <w:t>The</w:t>
      </w:r>
      <w:r>
        <w:rPr>
          <w:rFonts w:ascii="Arial" w:cs="Arial" w:eastAsia="Arial" w:hAnsi="Arial"/>
          <w:sz w:val="18"/>
          <w:szCs w:val="18"/>
          <w:color w:val="auto"/>
        </w:rPr>
        <w:t xml:space="preserve"> Issuers and </w:t>
      </w:r>
      <w:r>
        <w:rPr>
          <w:rFonts w:ascii="Arial" w:cs="Arial" w:eastAsia="Arial" w:hAnsi="Arial"/>
          <w:sz w:val="36"/>
          <w:szCs w:val="36"/>
          <w:color w:val="auto"/>
          <w:vertAlign w:val="subscript"/>
        </w:rPr>
        <w:t>the Guarantors</w:t>
      </w:r>
      <w:r>
        <w:rPr>
          <w:rFonts w:ascii="Arial" w:cs="Arial" w:eastAsia="Arial" w:hAnsi="Arial"/>
          <w:sz w:val="18"/>
          <w:szCs w:val="18"/>
          <w:color w:val="auto"/>
        </w:rPr>
        <w:t xml:space="preserve"> have </w:t>
      </w:r>
      <w:r>
        <w:rPr>
          <w:rFonts w:ascii="Arial" w:cs="Arial" w:eastAsia="Arial" w:hAnsi="Arial"/>
          <w:sz w:val="36"/>
          <w:szCs w:val="36"/>
          <w:color w:val="auto"/>
          <w:vertAlign w:val="subscript"/>
        </w:rPr>
        <w:t>not</w:t>
      </w:r>
      <w:r>
        <w:rPr>
          <w:rFonts w:ascii="Arial" w:cs="Arial" w:eastAsia="Arial" w:hAnsi="Arial"/>
          <w:sz w:val="18"/>
          <w:szCs w:val="18"/>
          <w:color w:val="auto"/>
        </w:rPr>
        <w:t xml:space="preserve">, as of the date hereof, entered into, nor shall </w:t>
      </w:r>
      <w:r>
        <w:rPr>
          <w:rFonts w:ascii="Arial" w:cs="Arial" w:eastAsia="Arial" w:hAnsi="Arial"/>
          <w:sz w:val="36"/>
          <w:szCs w:val="36"/>
          <w:color w:val="auto"/>
          <w:vertAlign w:val="subscript"/>
        </w:rPr>
        <w:t>they</w:t>
      </w:r>
      <w:r>
        <w:rPr>
          <w:rFonts w:ascii="Arial" w:cs="Arial" w:eastAsia="Arial" w:hAnsi="Arial"/>
          <w:sz w:val="18"/>
          <w:szCs w:val="18"/>
          <w:color w:val="auto"/>
        </w:rPr>
        <w:t>, on or after the date hereof, enter into, any agreement with respect to their securities that is inconsistent with the rights granted to the Holders herein or otherwise conflicts with the provisions hereof.</w:t>
      </w:r>
    </w:p>
    <w:p>
      <w:pPr>
        <w:spacing w:after="0" w:line="217" w:lineRule="exact"/>
        <w:rPr>
          <w:rFonts w:ascii="Arial" w:cs="Arial" w:eastAsia="Arial" w:hAnsi="Arial"/>
          <w:sz w:val="36"/>
          <w:szCs w:val="36"/>
          <w:color w:val="auto"/>
          <w:vertAlign w:val="subscript"/>
        </w:rPr>
      </w:pPr>
    </w:p>
    <w:p>
      <w:pPr>
        <w:ind w:right="360" w:firstLine="1305"/>
        <w:spacing w:after="0" w:line="195" w:lineRule="auto"/>
        <w:tabs>
          <w:tab w:leader="none" w:pos="2017" w:val="left"/>
        </w:tabs>
        <w:numPr>
          <w:ilvl w:val="0"/>
          <w:numId w:val="107"/>
        </w:numPr>
        <w:rPr>
          <w:rFonts w:ascii="Arial" w:cs="Arial" w:eastAsia="Arial" w:hAnsi="Arial"/>
          <w:sz w:val="31"/>
          <w:szCs w:val="31"/>
          <w:color w:val="auto"/>
          <w:vertAlign w:val="subscript"/>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qualified, modified or supplemented, and waivers or consents to departures from the provisions hereof may not be given, unless the Issuers </w:t>
      </w:r>
      <w:r>
        <w:rPr>
          <w:rFonts w:ascii="Arial" w:cs="Arial" w:eastAsia="Arial" w:hAnsi="Arial"/>
          <w:sz w:val="31"/>
          <w:szCs w:val="31"/>
          <w:color w:val="auto"/>
          <w:vertAlign w:val="subscript"/>
        </w:rPr>
        <w:t>and the</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31"/>
          <w:szCs w:val="31"/>
          <w:color w:val="auto"/>
          <w:vertAlign w:val="subscript"/>
        </w:rPr>
        <w:t>Guarantors</w:t>
      </w:r>
      <w:r>
        <w:rPr>
          <w:rFonts w:ascii="Arial" w:cs="Arial" w:eastAsia="Arial" w:hAnsi="Arial"/>
          <w:sz w:val="16"/>
          <w:szCs w:val="16"/>
          <w:color w:val="auto"/>
        </w:rPr>
        <w:t xml:space="preserve"> have obtained the written consent of the </w:t>
      </w:r>
      <w:r>
        <w:rPr>
          <w:rFonts w:ascii="Arial" w:cs="Arial" w:eastAsia="Arial" w:hAnsi="Arial"/>
          <w:sz w:val="31"/>
          <w:szCs w:val="31"/>
          <w:color w:val="auto"/>
          <w:vertAlign w:val="subscript"/>
        </w:rPr>
        <w:t>Majority</w:t>
      </w:r>
      <w:r>
        <w:rPr>
          <w:rFonts w:ascii="Arial" w:cs="Arial" w:eastAsia="Arial" w:hAnsi="Arial"/>
          <w:sz w:val="16"/>
          <w:szCs w:val="16"/>
          <w:color w:val="auto"/>
        </w:rPr>
        <w:t xml:space="preserve"> Holders (or, after the consummation of any </w:t>
      </w:r>
      <w:r>
        <w:rPr>
          <w:rFonts w:ascii="Arial" w:cs="Arial" w:eastAsia="Arial" w:hAnsi="Arial"/>
          <w:sz w:val="31"/>
          <w:szCs w:val="31"/>
          <w:color w:val="auto"/>
          <w:vertAlign w:val="subscript"/>
        </w:rPr>
        <w:t>Registered</w:t>
      </w:r>
      <w:r>
        <w:rPr>
          <w:rFonts w:ascii="Arial" w:cs="Arial" w:eastAsia="Arial" w:hAnsi="Arial"/>
          <w:sz w:val="16"/>
          <w:szCs w:val="16"/>
          <w:color w:val="auto"/>
        </w:rPr>
        <w:t xml:space="preserve"> Exchange Offer in accordance with Section 2 hereof, of New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matter that directly or indirectly affects the rights of any Initial Purchaser hereunder, the Issuers </w:t>
      </w:r>
      <w:r>
        <w:rPr>
          <w:rFonts w:ascii="Arial" w:cs="Arial" w:eastAsia="Arial" w:hAnsi="Arial"/>
          <w:sz w:val="31"/>
          <w:szCs w:val="31"/>
          <w:color w:val="auto"/>
          <w:vertAlign w:val="subscript"/>
        </w:rPr>
        <w:t>and the Guarantors</w:t>
      </w:r>
      <w:r>
        <w:rPr>
          <w:rFonts w:ascii="Arial" w:cs="Arial" w:eastAsia="Arial" w:hAnsi="Arial"/>
          <w:sz w:val="16"/>
          <w:szCs w:val="16"/>
          <w:color w:val="auto"/>
        </w:rPr>
        <w:t xml:space="preserve"> shall obtain the written consent of each such Initial Purchaser against which such amendment, qualification, supplement, waiver or consent is to be effective. Notwithstanding the foregoing (except the foregoing proviso), a waiver or consent to departure from the provisions hereof with respect to a matter that relates exclusively to the rights of Holders whose Securities </w:t>
      </w:r>
      <w:r>
        <w:rPr>
          <w:rFonts w:ascii="Arial" w:cs="Arial" w:eastAsia="Arial" w:hAnsi="Arial"/>
          <w:sz w:val="31"/>
          <w:szCs w:val="31"/>
          <w:color w:val="auto"/>
          <w:vertAlign w:val="subscript"/>
        </w:rPr>
        <w:t>or New Securities, as the case may be,</w:t>
      </w:r>
      <w:r>
        <w:rPr>
          <w:rFonts w:ascii="Arial" w:cs="Arial" w:eastAsia="Arial" w:hAnsi="Arial"/>
          <w:sz w:val="16"/>
          <w:szCs w:val="16"/>
          <w:color w:val="auto"/>
        </w:rPr>
        <w:t xml:space="preserve"> are being sold pursuant to a Registration Statement and that does not directly or indirectly affect the rights of other Holders may be given by the Majority Holders, determined on the basis of </w:t>
      </w:r>
      <w:r>
        <w:rPr>
          <w:rFonts w:ascii="Arial" w:cs="Arial" w:eastAsia="Arial" w:hAnsi="Arial"/>
          <w:sz w:val="31"/>
          <w:szCs w:val="31"/>
          <w:color w:val="auto"/>
          <w:vertAlign w:val="subscript"/>
        </w:rPr>
        <w:t>S</w:t>
      </w:r>
      <w:r>
        <w:rPr>
          <w:rFonts w:ascii="Arial" w:cs="Arial" w:eastAsia="Arial" w:hAnsi="Arial"/>
          <w:sz w:val="16"/>
          <w:szCs w:val="16"/>
          <w:color w:val="auto"/>
        </w:rPr>
        <w:t xml:space="preserve">ecurities </w:t>
      </w:r>
      <w:r>
        <w:rPr>
          <w:rFonts w:ascii="Arial" w:cs="Arial" w:eastAsia="Arial" w:hAnsi="Arial"/>
          <w:sz w:val="31"/>
          <w:szCs w:val="31"/>
          <w:color w:val="auto"/>
          <w:vertAlign w:val="subscript"/>
        </w:rPr>
        <w:t>or New Securities, as the case may be,</w:t>
      </w:r>
      <w:r>
        <w:rPr>
          <w:rFonts w:ascii="Arial" w:cs="Arial" w:eastAsia="Arial" w:hAnsi="Arial"/>
          <w:sz w:val="16"/>
          <w:szCs w:val="16"/>
          <w:color w:val="auto"/>
        </w:rPr>
        <w:t xml:space="preserve"> being sold rather than registered under such Registration Statement.</w:t>
      </w:r>
    </w:p>
    <w:p>
      <w:pPr>
        <w:spacing w:after="0" w:line="204" w:lineRule="exact"/>
        <w:rPr>
          <w:sz w:val="20"/>
          <w:szCs w:val="20"/>
          <w:color w:val="auto"/>
        </w:rPr>
      </w:pPr>
    </w:p>
    <w:p>
      <w:pPr>
        <w:ind w:right="300" w:firstLine="1305"/>
        <w:spacing w:after="0" w:line="198" w:lineRule="auto"/>
        <w:tabs>
          <w:tab w:leader="none" w:pos="2010" w:val="left"/>
        </w:tabs>
        <w:numPr>
          <w:ilvl w:val="0"/>
          <w:numId w:val="108"/>
        </w:numPr>
        <w:rPr>
          <w:rFonts w:ascii="Arial" w:cs="Arial" w:eastAsia="Arial" w:hAnsi="Arial"/>
          <w:sz w:val="36"/>
          <w:szCs w:val="36"/>
          <w:color w:val="auto"/>
          <w:vertAlign w:val="subscript"/>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first-class mail, telex, telecopier or air courier guaranteeing overnight delivery:</w:t>
      </w:r>
    </w:p>
    <w:p>
      <w:pPr>
        <w:spacing w:after="0" w:line="44" w:lineRule="exact"/>
        <w:rPr>
          <w:sz w:val="20"/>
          <w:szCs w:val="20"/>
          <w:color w:val="auto"/>
        </w:rPr>
      </w:pPr>
    </w:p>
    <w:p>
      <w:pPr>
        <w:ind w:right="40" w:firstLine="1305"/>
        <w:spacing w:after="0" w:line="275" w:lineRule="auto"/>
        <w:tabs>
          <w:tab w:leader="none" w:pos="199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if to a Holder, at the most current address given by such </w:t>
      </w:r>
      <w:r>
        <w:rPr>
          <w:rFonts w:ascii="Arial" w:cs="Arial" w:eastAsia="Arial" w:hAnsi="Arial"/>
          <w:sz w:val="36"/>
          <w:szCs w:val="36"/>
          <w:color w:val="auto"/>
          <w:vertAlign w:val="subscript"/>
        </w:rPr>
        <w:t>H</w:t>
      </w:r>
      <w:r>
        <w:rPr>
          <w:rFonts w:ascii="Arial" w:cs="Arial" w:eastAsia="Arial" w:hAnsi="Arial"/>
          <w:sz w:val="18"/>
          <w:szCs w:val="18"/>
          <w:color w:val="auto"/>
        </w:rPr>
        <w:t xml:space="preserve">older to the Issuers in accordance with the provisions of this Section, which address initially is, with respect to each Holder, the address of such Holder maintained by the Registrar under the Indenture, with a copy in like manner </w:t>
      </w:r>
      <w:r>
        <w:rPr>
          <w:rFonts w:ascii="Arial" w:cs="Arial" w:eastAsia="Arial" w:hAnsi="Arial"/>
          <w:sz w:val="36"/>
          <w:szCs w:val="36"/>
          <w:color w:val="auto"/>
          <w:vertAlign w:val="superscript"/>
        </w:rPr>
        <w:t>to</w:t>
      </w:r>
      <w:r>
        <w:rPr>
          <w:rFonts w:ascii="Arial" w:cs="Arial" w:eastAsia="Arial" w:hAnsi="Arial"/>
          <w:sz w:val="18"/>
          <w:szCs w:val="18"/>
          <w:color w:val="auto"/>
        </w:rPr>
        <w:t xml:space="preserve"> Citigroup Global Markets Inc.</w:t>
      </w:r>
      <w:r>
        <w:rPr>
          <w:rFonts w:ascii="Arial" w:cs="Arial" w:eastAsia="Arial" w:hAnsi="Arial"/>
          <w:sz w:val="36"/>
          <w:szCs w:val="36"/>
          <w:color w:val="auto"/>
          <w:vertAlign w:val="superscript"/>
        </w:rPr>
        <w:t>;</w:t>
      </w:r>
    </w:p>
    <w:p>
      <w:pPr>
        <w:ind w:left="2000" w:hanging="695"/>
        <w:spacing w:after="0"/>
        <w:tabs>
          <w:tab w:leader="none" w:pos="2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to you, initially at the respective addresses set forth in the Purchase Agreement;</w:t>
      </w:r>
    </w:p>
    <w:p>
      <w:pPr>
        <w:spacing w:after="0" w:line="292" w:lineRule="exact"/>
        <w:rPr>
          <w:rFonts w:ascii="Arial" w:cs="Arial" w:eastAsia="Arial" w:hAnsi="Arial"/>
          <w:sz w:val="18"/>
          <w:szCs w:val="18"/>
          <w:color w:val="auto"/>
        </w:rPr>
      </w:pPr>
    </w:p>
    <w:p>
      <w:pPr>
        <w:ind w:left="2000" w:hanging="695"/>
        <w:spacing w:after="0"/>
        <w:tabs>
          <w:tab w:leader="none" w:pos="2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to the Issuers, initially at the address set forth in the Purchase Agreement; and</w:t>
      </w:r>
    </w:p>
    <w:p>
      <w:pPr>
        <w:spacing w:after="0" w:line="292" w:lineRule="exact"/>
        <w:rPr>
          <w:rFonts w:ascii="Arial" w:cs="Arial" w:eastAsia="Arial" w:hAnsi="Arial"/>
          <w:sz w:val="18"/>
          <w:szCs w:val="18"/>
          <w:color w:val="auto"/>
        </w:rPr>
      </w:pPr>
    </w:p>
    <w:p>
      <w:pPr>
        <w:ind w:left="2000" w:hanging="695"/>
        <w:spacing w:after="0"/>
        <w:tabs>
          <w:tab w:leader="none" w:pos="2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to the Guarantors, initially at 333 Clay Street, Suite 1600, Houston, Texas 77002.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such notices and communications shall be deemed to have been duly given when received.</w:t>
      </w:r>
    </w:p>
    <w:p>
      <w:pPr>
        <w:spacing w:after="0" w:line="52" w:lineRule="exact"/>
        <w:rPr>
          <w:sz w:val="20"/>
          <w:szCs w:val="20"/>
          <w:color w:val="auto"/>
        </w:rPr>
      </w:pPr>
    </w:p>
    <w:p>
      <w:pPr>
        <w:ind w:right="580" w:firstLine="1297"/>
        <w:spacing w:after="0" w:line="281" w:lineRule="auto"/>
        <w:rPr>
          <w:sz w:val="20"/>
          <w:szCs w:val="20"/>
          <w:color w:val="auto"/>
        </w:rPr>
      </w:pPr>
      <w:r>
        <w:rPr>
          <w:rFonts w:ascii="Arial" w:cs="Arial" w:eastAsia="Arial" w:hAnsi="Arial"/>
          <w:sz w:val="18"/>
          <w:szCs w:val="18"/>
          <w:color w:val="auto"/>
        </w:rPr>
        <w:t>The Initial Purchaser</w:t>
      </w:r>
      <w:r>
        <w:rPr>
          <w:rFonts w:ascii="Arial" w:cs="Arial" w:eastAsia="Arial" w:hAnsi="Arial"/>
          <w:sz w:val="36"/>
          <w:szCs w:val="36"/>
          <w:color w:val="auto"/>
          <w:vertAlign w:val="subscript"/>
        </w:rPr>
        <w:t>s</w:t>
      </w:r>
      <w:r>
        <w:rPr>
          <w:rFonts w:ascii="Arial" w:cs="Arial" w:eastAsia="Arial" w:hAnsi="Arial"/>
          <w:sz w:val="18"/>
          <w:szCs w:val="18"/>
          <w:color w:val="auto"/>
        </w:rPr>
        <w:t xml:space="preserve">, the Issuers </w:t>
      </w:r>
      <w:r>
        <w:rPr>
          <w:rFonts w:ascii="Arial" w:cs="Arial" w:eastAsia="Arial" w:hAnsi="Arial"/>
          <w:sz w:val="36"/>
          <w:szCs w:val="36"/>
          <w:color w:val="auto"/>
          <w:vertAlign w:val="subscript"/>
        </w:rPr>
        <w:t>or the Guarantors</w:t>
      </w:r>
      <w:r>
        <w:rPr>
          <w:rFonts w:ascii="Arial" w:cs="Arial" w:eastAsia="Arial" w:hAnsi="Arial"/>
          <w:sz w:val="18"/>
          <w:szCs w:val="18"/>
          <w:color w:val="auto"/>
        </w:rPr>
        <w:t xml:space="preserve"> by notice to the other </w:t>
      </w:r>
      <w:r>
        <w:rPr>
          <w:rFonts w:ascii="Arial" w:cs="Arial" w:eastAsia="Arial" w:hAnsi="Arial"/>
          <w:sz w:val="36"/>
          <w:szCs w:val="36"/>
          <w:color w:val="auto"/>
          <w:vertAlign w:val="subscript"/>
        </w:rPr>
        <w:t>parties</w:t>
      </w:r>
      <w:r>
        <w:rPr>
          <w:rFonts w:ascii="Arial" w:cs="Arial" w:eastAsia="Arial" w:hAnsi="Arial"/>
          <w:sz w:val="18"/>
          <w:szCs w:val="18"/>
          <w:color w:val="auto"/>
        </w:rPr>
        <w:t xml:space="preserve"> may designate additional or different addresses for subsequent notices or communications.</w:t>
      </w:r>
    </w:p>
    <w:p>
      <w:pPr>
        <w:spacing w:after="0" w:line="2" w:lineRule="exact"/>
        <w:rPr>
          <w:sz w:val="20"/>
          <w:szCs w:val="20"/>
          <w:color w:val="auto"/>
        </w:rPr>
      </w:pPr>
    </w:p>
    <w:p>
      <w:pPr>
        <w:ind w:right="220" w:firstLine="1305"/>
        <w:spacing w:after="0" w:line="384" w:lineRule="auto"/>
        <w:tabs>
          <w:tab w:leader="none" w:pos="2017" w:val="left"/>
        </w:tabs>
        <w:numPr>
          <w:ilvl w:val="0"/>
          <w:numId w:val="110"/>
        </w:numPr>
        <w:rPr>
          <w:rFonts w:ascii="Arial" w:cs="Arial" w:eastAsia="Arial" w:hAnsi="Arial"/>
          <w:sz w:val="32"/>
          <w:szCs w:val="32"/>
          <w:color w:val="auto"/>
          <w:vertAlign w:val="subscript"/>
        </w:rPr>
      </w:pPr>
      <w:r>
        <w:rPr>
          <w:rFonts w:ascii="Arial" w:cs="Arial" w:eastAsia="Arial" w:hAnsi="Arial"/>
          <w:sz w:val="17"/>
          <w:szCs w:val="17"/>
          <w:u w:val="single" w:color="auto"/>
          <w:color w:val="auto"/>
        </w:rPr>
        <w:t>Successors</w:t>
      </w:r>
      <w:r>
        <w:rPr>
          <w:rFonts w:ascii="Arial" w:cs="Arial" w:eastAsia="Arial" w:hAnsi="Arial"/>
          <w:sz w:val="17"/>
          <w:szCs w:val="17"/>
          <w:color w:val="auto"/>
        </w:rPr>
        <w:t xml:space="preserve"> </w:t>
      </w:r>
      <w:r>
        <w:rPr>
          <w:rFonts w:ascii="Arial" w:cs="Arial" w:eastAsia="Arial" w:hAnsi="Arial"/>
          <w:sz w:val="32"/>
          <w:szCs w:val="32"/>
          <w:color w:val="auto"/>
          <w:vertAlign w:val="subscript"/>
        </w:rPr>
        <w:t>and Assigns.</w:t>
      </w:r>
      <w:r>
        <w:rPr>
          <w:rFonts w:ascii="Arial" w:cs="Arial" w:eastAsia="Arial" w:hAnsi="Arial"/>
          <w:sz w:val="17"/>
          <w:szCs w:val="17"/>
          <w:color w:val="auto"/>
        </w:rPr>
        <w:t xml:space="preserve"> This Agreement shall inure to the benefit of and be binding upon the successors and assigns of each of the parties, including, without the need for an express assignment or any consent by the Issuers or the Guarantors thereto, subsequent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-298450</wp:posOffset>
            </wp:positionV>
            <wp:extent cx="5842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40"/>
        <w:spacing w:after="0" w:line="234" w:lineRule="auto"/>
        <w:rPr>
          <w:sz w:val="20"/>
          <w:szCs w:val="20"/>
          <w:color w:val="auto"/>
        </w:rPr>
      </w:pPr>
      <w:r>
        <w:rPr>
          <w:rFonts w:ascii="Arial" w:cs="Arial" w:eastAsia="Arial" w:hAnsi="Arial"/>
          <w:sz w:val="16"/>
          <w:szCs w:val="16"/>
          <w:color w:val="auto"/>
        </w:rPr>
        <w:t xml:space="preserve">Holders of Securities and the New Securities. The Issuers and the Guarantors hereby agree to extend the benefits of this Agreement to any Holder of Securities and </w:t>
      </w:r>
      <w:r>
        <w:rPr>
          <w:rFonts w:ascii="Arial" w:cs="Arial" w:eastAsia="Arial" w:hAnsi="Arial"/>
          <w:sz w:val="31"/>
          <w:szCs w:val="31"/>
          <w:color w:val="auto"/>
          <w:vertAlign w:val="subscript"/>
        </w:rPr>
        <w:t>the</w:t>
      </w:r>
      <w:r>
        <w:rPr>
          <w:rFonts w:ascii="Arial" w:cs="Arial" w:eastAsia="Arial" w:hAnsi="Arial"/>
          <w:sz w:val="16"/>
          <w:szCs w:val="16"/>
          <w:color w:val="auto"/>
        </w:rPr>
        <w:t xml:space="preserve"> New Securities</w:t>
      </w:r>
      <w:r>
        <w:rPr>
          <w:rFonts w:ascii="Arial" w:cs="Arial" w:eastAsia="Arial" w:hAnsi="Arial"/>
          <w:sz w:val="31"/>
          <w:szCs w:val="31"/>
          <w:color w:val="auto"/>
          <w:vertAlign w:val="subscript"/>
        </w:rPr>
        <w:t>,</w:t>
      </w:r>
      <w:r>
        <w:rPr>
          <w:rFonts w:ascii="Arial" w:cs="Arial" w:eastAsia="Arial" w:hAnsi="Arial"/>
          <w:sz w:val="16"/>
          <w:szCs w:val="16"/>
          <w:color w:val="auto"/>
        </w:rPr>
        <w:t xml:space="preserve"> and any such Holder may specifically enforce the provisions of this Agreement as if an original party hereto.</w:t>
      </w:r>
    </w:p>
    <w:p>
      <w:pPr>
        <w:spacing w:after="0" w:line="29" w:lineRule="exact"/>
        <w:rPr>
          <w:sz w:val="20"/>
          <w:szCs w:val="20"/>
          <w:color w:val="auto"/>
        </w:rPr>
      </w:pPr>
    </w:p>
    <w:p>
      <w:pPr>
        <w:ind w:right="160" w:firstLine="1305"/>
        <w:spacing w:after="0" w:line="281" w:lineRule="auto"/>
        <w:tabs>
          <w:tab w:leader="none" w:pos="2017" w:val="left"/>
        </w:tabs>
        <w:numPr>
          <w:ilvl w:val="0"/>
          <w:numId w:val="111"/>
        </w:numPr>
        <w:rPr>
          <w:rFonts w:ascii="Arial" w:cs="Arial" w:eastAsia="Arial" w:hAnsi="Arial"/>
          <w:sz w:val="36"/>
          <w:szCs w:val="36"/>
          <w:color w:val="auto"/>
          <w:vertAlign w:val="subscript"/>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in </w:t>
      </w:r>
      <w:r>
        <w:rPr>
          <w:rFonts w:ascii="Arial" w:cs="Arial" w:eastAsia="Arial" w:hAnsi="Arial"/>
          <w:sz w:val="36"/>
          <w:szCs w:val="36"/>
          <w:color w:val="auto"/>
          <w:vertAlign w:val="subscript"/>
        </w:rPr>
        <w:t>signed</w:t>
      </w:r>
      <w:r>
        <w:rPr>
          <w:rFonts w:ascii="Arial" w:cs="Arial" w:eastAsia="Arial" w:hAnsi="Arial"/>
          <w:sz w:val="18"/>
          <w:szCs w:val="18"/>
          <w:color w:val="auto"/>
        </w:rPr>
        <w:t xml:space="preserve"> counterparts, each of which shall </w:t>
      </w:r>
      <w:r>
        <w:rPr>
          <w:rFonts w:ascii="Arial" w:cs="Arial" w:eastAsia="Arial" w:hAnsi="Arial"/>
          <w:sz w:val="36"/>
          <w:szCs w:val="36"/>
          <w:color w:val="auto"/>
          <w:vertAlign w:val="subscript"/>
        </w:rPr>
        <w:t>constitute</w:t>
      </w:r>
      <w:r>
        <w:rPr>
          <w:rFonts w:ascii="Arial" w:cs="Arial" w:eastAsia="Arial" w:hAnsi="Arial"/>
          <w:sz w:val="18"/>
          <w:szCs w:val="18"/>
          <w:color w:val="auto"/>
        </w:rPr>
        <w:t xml:space="preserve"> an original and all of which together shall constitute one and the same agreement.</w:t>
      </w:r>
    </w:p>
    <w:p>
      <w:pPr>
        <w:spacing w:after="0" w:line="2" w:lineRule="exact"/>
        <w:rPr>
          <w:rFonts w:ascii="Arial" w:cs="Arial" w:eastAsia="Arial" w:hAnsi="Arial"/>
          <w:sz w:val="36"/>
          <w:szCs w:val="36"/>
          <w:color w:val="auto"/>
          <w:vertAlign w:val="subscript"/>
        </w:rPr>
      </w:pPr>
    </w:p>
    <w:p>
      <w:pPr>
        <w:ind w:right="100" w:firstLine="1305"/>
        <w:spacing w:after="0" w:line="251" w:lineRule="auto"/>
        <w:tabs>
          <w:tab w:leader="none" w:pos="2017"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Purchases and Sales of Securities</w:t>
      </w:r>
      <w:r>
        <w:rPr>
          <w:rFonts w:ascii="Arial" w:cs="Arial" w:eastAsia="Arial" w:hAnsi="Arial"/>
          <w:sz w:val="17"/>
          <w:szCs w:val="17"/>
          <w:color w:val="auto"/>
        </w:rPr>
        <w:t>. The Issuer</w:t>
      </w:r>
      <w:r>
        <w:rPr>
          <w:rFonts w:ascii="Arial" w:cs="Arial" w:eastAsia="Arial" w:hAnsi="Arial"/>
          <w:sz w:val="34"/>
          <w:szCs w:val="34"/>
          <w:color w:val="auto"/>
          <w:vertAlign w:val="subscript"/>
        </w:rPr>
        <w:t>s</w:t>
      </w:r>
      <w:r>
        <w:rPr>
          <w:rFonts w:ascii="Arial" w:cs="Arial" w:eastAsia="Arial" w:hAnsi="Arial"/>
          <w:sz w:val="17"/>
          <w:szCs w:val="17"/>
          <w:color w:val="auto"/>
        </w:rPr>
        <w:t xml:space="preserve"> and the Guarantor</w:t>
      </w:r>
      <w:r>
        <w:rPr>
          <w:rFonts w:ascii="Arial" w:cs="Arial" w:eastAsia="Arial" w:hAnsi="Arial"/>
          <w:sz w:val="34"/>
          <w:szCs w:val="34"/>
          <w:color w:val="auto"/>
          <w:vertAlign w:val="subscript"/>
        </w:rPr>
        <w:t>s</w:t>
      </w:r>
      <w:r>
        <w:rPr>
          <w:rFonts w:ascii="Arial" w:cs="Arial" w:eastAsia="Arial" w:hAnsi="Arial"/>
          <w:sz w:val="17"/>
          <w:szCs w:val="17"/>
          <w:color w:val="auto"/>
        </w:rPr>
        <w:t xml:space="preserve"> shall not, and shall use their best efforts to cause their affiliates (as defined in Rule 405 under the Act) not to, purchase and then resell or otherwise transfer any Securities </w:t>
      </w:r>
      <w:r>
        <w:rPr>
          <w:rFonts w:ascii="Arial" w:cs="Arial" w:eastAsia="Arial" w:hAnsi="Arial"/>
          <w:sz w:val="34"/>
          <w:szCs w:val="34"/>
          <w:color w:val="auto"/>
          <w:vertAlign w:val="subscript"/>
        </w:rPr>
        <w:t>for two (2) years, or if a Shelf Registration</w:t>
      </w:r>
      <w:r>
        <w:rPr>
          <w:rFonts w:ascii="Arial" w:cs="Arial" w:eastAsia="Arial" w:hAnsi="Arial"/>
          <w:sz w:val="17"/>
          <w:szCs w:val="17"/>
          <w:color w:val="auto"/>
        </w:rPr>
        <w:t xml:space="preserve"> Statement shall become effective during such two (2) year period, for the period of such effectiveness</w:t>
      </w:r>
      <w:r>
        <w:rPr>
          <w:rFonts w:ascii="Arial" w:cs="Arial" w:eastAsia="Arial" w:hAnsi="Arial"/>
          <w:sz w:val="34"/>
          <w:szCs w:val="34"/>
          <w:color w:val="auto"/>
          <w:vertAlign w:val="superscript"/>
        </w:rPr>
        <w:t>.</w:t>
      </w:r>
    </w:p>
    <w:p>
      <w:pPr>
        <w:spacing w:after="0" w:line="13" w:lineRule="exact"/>
        <w:rPr>
          <w:rFonts w:ascii="Arial" w:cs="Arial" w:eastAsia="Arial" w:hAnsi="Arial"/>
          <w:sz w:val="17"/>
          <w:szCs w:val="17"/>
          <w:color w:val="auto"/>
        </w:rPr>
      </w:pPr>
    </w:p>
    <w:p>
      <w:pPr>
        <w:ind w:right="100" w:firstLine="1305"/>
        <w:spacing w:after="0" w:line="228" w:lineRule="auto"/>
        <w:tabs>
          <w:tab w:leader="none" w:pos="2017"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Each Holder shall be a third party beneficiary to the agreements made hereunder between the Issuers and the Guarantor</w:t>
      </w:r>
      <w:r>
        <w:rPr>
          <w:rFonts w:ascii="Arial" w:cs="Arial" w:eastAsia="Arial" w:hAnsi="Arial"/>
          <w:sz w:val="34"/>
          <w:szCs w:val="34"/>
          <w:color w:val="auto"/>
          <w:vertAlign w:val="subscript"/>
        </w:rPr>
        <w:t>s</w:t>
      </w:r>
      <w:r>
        <w:rPr>
          <w:rFonts w:ascii="Arial" w:cs="Arial" w:eastAsia="Arial" w:hAnsi="Arial"/>
          <w:sz w:val="17"/>
          <w:szCs w:val="17"/>
          <w:color w:val="auto"/>
        </w:rPr>
        <w:t>, on the one hand, and the Initial Purchaser</w:t>
      </w:r>
      <w:r>
        <w:rPr>
          <w:rFonts w:ascii="Arial" w:cs="Arial" w:eastAsia="Arial" w:hAnsi="Arial"/>
          <w:sz w:val="34"/>
          <w:szCs w:val="34"/>
          <w:color w:val="auto"/>
          <w:vertAlign w:val="subscript"/>
        </w:rPr>
        <w:t>s</w:t>
      </w:r>
      <w:r>
        <w:rPr>
          <w:rFonts w:ascii="Arial" w:cs="Arial" w:eastAsia="Arial" w:hAnsi="Arial"/>
          <w:sz w:val="17"/>
          <w:szCs w:val="17"/>
          <w:color w:val="auto"/>
        </w:rPr>
        <w:t>, on the other hand, and shall have the right to enforce such agreements directly to the extent it deems such enforcement necessary or advisable to protect its rights or the rights of other Holders hereunder.</w:t>
      </w:r>
    </w:p>
    <w:p>
      <w:pPr>
        <w:spacing w:after="0" w:line="42" w:lineRule="exact"/>
        <w:rPr>
          <w:rFonts w:ascii="Arial" w:cs="Arial" w:eastAsia="Arial" w:hAnsi="Arial"/>
          <w:sz w:val="17"/>
          <w:szCs w:val="17"/>
          <w:color w:val="auto"/>
        </w:rPr>
      </w:pPr>
    </w:p>
    <w:p>
      <w:pPr>
        <w:ind w:left="2020" w:hanging="715"/>
        <w:spacing w:after="0"/>
        <w:tabs>
          <w:tab w:leader="none" w:pos="2020" w:val="left"/>
        </w:tabs>
        <w:numPr>
          <w:ilvl w:val="0"/>
          <w:numId w:val="111"/>
        </w:numPr>
        <w:rPr>
          <w:rFonts w:ascii="Arial" w:cs="Arial" w:eastAsia="Arial" w:hAnsi="Arial"/>
          <w:sz w:val="36"/>
          <w:szCs w:val="36"/>
          <w:color w:val="auto"/>
          <w:vertAlign w:val="subscript"/>
        </w:rPr>
      </w:pP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w:t>
      </w:r>
      <w:r>
        <w:rPr>
          <w:rFonts w:ascii="Arial" w:cs="Arial" w:eastAsia="Arial" w:hAnsi="Arial"/>
          <w:sz w:val="36"/>
          <w:szCs w:val="36"/>
          <w:color w:val="auto"/>
          <w:vertAlign w:val="subscript"/>
        </w:rPr>
        <w:t>used herein</w:t>
      </w:r>
      <w:r>
        <w:rPr>
          <w:rFonts w:ascii="Arial" w:cs="Arial" w:eastAsia="Arial" w:hAnsi="Arial"/>
          <w:sz w:val="18"/>
          <w:szCs w:val="18"/>
          <w:color w:val="auto"/>
        </w:rPr>
        <w:t xml:space="preserve"> are for convenience only and shall not affect the </w:t>
      </w:r>
      <w:r>
        <w:rPr>
          <w:rFonts w:ascii="Arial" w:cs="Arial" w:eastAsia="Arial" w:hAnsi="Arial"/>
          <w:sz w:val="36"/>
          <w:szCs w:val="36"/>
          <w:color w:val="auto"/>
          <w:vertAlign w:val="subscript"/>
        </w:rPr>
        <w:t>construction</w:t>
      </w:r>
      <w:r>
        <w:rPr>
          <w:rFonts w:ascii="Arial" w:cs="Arial" w:eastAsia="Arial" w:hAnsi="Arial"/>
          <w:sz w:val="18"/>
          <w:szCs w:val="18"/>
          <w:color w:val="auto"/>
        </w:rPr>
        <w:t xml:space="preserve"> hereof.</w:t>
      </w:r>
    </w:p>
    <w:p>
      <w:pPr>
        <w:sectPr>
          <w:pgSz w:w="11900" w:h="16838" w:orient="portrait"/>
          <w:cols w:equalWidth="0" w:num="1">
            <w:col w:w="11420"/>
          </w:cols>
          <w:pgMar w:left="240" w:top="125" w:right="239" w:bottom="0" w:gutter="0" w:footer="0" w:header="0"/>
        </w:sectPr>
      </w:pPr>
    </w:p>
    <w:bookmarkStart w:id="40" w:name="page41"/>
    <w:bookmarkEnd w:id="40"/>
    <w:p>
      <w:pPr>
        <w:spacing w:after="0" w:line="26" w:lineRule="exact"/>
        <w:rPr>
          <w:sz w:val="20"/>
          <w:szCs w:val="20"/>
          <w:color w:val="auto"/>
        </w:rPr>
      </w:pPr>
    </w:p>
    <w:p>
      <w:pPr>
        <w:ind w:right="540" w:firstLine="1305"/>
        <w:spacing w:after="0" w:line="205" w:lineRule="auto"/>
        <w:tabs>
          <w:tab w:leader="none" w:pos="2017" w:val="left"/>
        </w:tabs>
        <w:numPr>
          <w:ilvl w:val="0"/>
          <w:numId w:val="112"/>
        </w:numPr>
        <w:rPr>
          <w:rFonts w:ascii="Arial" w:cs="Arial" w:eastAsia="Arial" w:hAnsi="Arial"/>
          <w:sz w:val="36"/>
          <w:szCs w:val="36"/>
          <w:color w:val="auto"/>
          <w:vertAlign w:val="subscript"/>
        </w:rPr>
      </w:pPr>
      <w:r>
        <w:rPr>
          <w:rFonts w:ascii="Arial" w:cs="Arial" w:eastAsia="Arial" w:hAnsi="Arial"/>
          <w:sz w:val="36"/>
          <w:szCs w:val="36"/>
          <w:u w:val="single" w:color="auto"/>
          <w:color w:val="auto"/>
          <w:vertAlign w:val="subscript"/>
        </w:rPr>
        <w:t>Applicable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w:t>
      </w:r>
      <w:r>
        <w:rPr>
          <w:rFonts w:ascii="Arial" w:cs="Arial" w:eastAsia="Arial" w:hAnsi="Arial"/>
          <w:sz w:val="18"/>
          <w:szCs w:val="18"/>
          <w:color w:val="auto"/>
        </w:rPr>
        <w:t xml:space="preserve">. This Agreement shall be governed by and construed in accordance with the laws of the State of New York applicable to </w:t>
      </w:r>
      <w:r>
        <w:rPr>
          <w:rFonts w:ascii="Arial" w:cs="Arial" w:eastAsia="Arial" w:hAnsi="Arial"/>
          <w:sz w:val="36"/>
          <w:szCs w:val="36"/>
          <w:color w:val="auto"/>
          <w:vertAlign w:val="subscript"/>
        </w:rPr>
        <w:t>contracts</w:t>
      </w:r>
      <w:r>
        <w:rPr>
          <w:rFonts w:ascii="Arial" w:cs="Arial" w:eastAsia="Arial" w:hAnsi="Arial"/>
          <w:sz w:val="18"/>
          <w:szCs w:val="18"/>
          <w:color w:val="auto"/>
        </w:rPr>
        <w:t xml:space="preserve"> made and to be performed in the State </w:t>
      </w:r>
      <w:r>
        <w:rPr>
          <w:rFonts w:ascii="Arial" w:cs="Arial" w:eastAsia="Arial" w:hAnsi="Arial"/>
          <w:sz w:val="36"/>
          <w:szCs w:val="36"/>
          <w:color w:val="auto"/>
          <w:vertAlign w:val="subscript"/>
        </w:rPr>
        <w:t>of New York</w:t>
      </w:r>
      <w:r>
        <w:rPr>
          <w:rFonts w:ascii="Arial" w:cs="Arial" w:eastAsia="Arial" w:hAnsi="Arial"/>
          <w:sz w:val="18"/>
          <w:szCs w:val="18"/>
          <w:color w:val="auto"/>
        </w:rPr>
        <w:t>.</w:t>
      </w:r>
    </w:p>
    <w:p>
      <w:pPr>
        <w:spacing w:after="0" w:line="75" w:lineRule="exact"/>
        <w:rPr>
          <w:rFonts w:ascii="Arial" w:cs="Arial" w:eastAsia="Arial" w:hAnsi="Arial"/>
          <w:sz w:val="36"/>
          <w:szCs w:val="36"/>
          <w:color w:val="auto"/>
          <w:vertAlign w:val="subscript"/>
        </w:rPr>
      </w:pPr>
    </w:p>
    <w:p>
      <w:pPr>
        <w:ind w:left="2020" w:hanging="715"/>
        <w:spacing w:after="0"/>
        <w:tabs>
          <w:tab w:leader="none" w:pos="2020" w:val="left"/>
        </w:tabs>
        <w:numPr>
          <w:ilvl w:val="0"/>
          <w:numId w:val="112"/>
        </w:numPr>
        <w:rPr>
          <w:rFonts w:ascii="Arial" w:cs="Arial" w:eastAsia="Arial" w:hAnsi="Arial"/>
          <w:sz w:val="31"/>
          <w:szCs w:val="31"/>
          <w:color w:val="auto"/>
          <w:vertAlign w:val="subscript"/>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of more of the provisions contained herein, or the application thereof in any circumstances,</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pacing w:after="0" w:line="16" w:lineRule="exact"/>
        <w:rPr>
          <w:sz w:val="20"/>
          <w:szCs w:val="20"/>
          <w:color w:val="auto"/>
        </w:rPr>
      </w:pPr>
    </w:p>
    <w:p>
      <w:pPr>
        <w:ind w:right="40" w:firstLine="1305"/>
        <w:spacing w:after="0" w:line="254" w:lineRule="auto"/>
        <w:tabs>
          <w:tab w:leader="none" w:pos="2017" w:val="left"/>
        </w:tabs>
        <w:numPr>
          <w:ilvl w:val="0"/>
          <w:numId w:val="113"/>
        </w:numPr>
        <w:rPr>
          <w:rFonts w:ascii="Arial" w:cs="Arial" w:eastAsia="Arial" w:hAnsi="Arial"/>
          <w:sz w:val="31"/>
          <w:szCs w:val="31"/>
          <w:color w:val="auto"/>
          <w:vertAlign w:val="subscript"/>
        </w:rPr>
      </w:pPr>
      <w:r>
        <w:rPr>
          <w:rFonts w:ascii="Arial" w:cs="Arial" w:eastAsia="Arial" w:hAnsi="Arial"/>
          <w:sz w:val="16"/>
          <w:szCs w:val="16"/>
          <w:u w:val="single" w:color="auto"/>
          <w:color w:val="auto"/>
        </w:rPr>
        <w:t>Securities Held by the Issuers</w:t>
      </w:r>
      <w:r>
        <w:rPr>
          <w:rFonts w:ascii="Arial" w:cs="Arial" w:eastAsia="Arial" w:hAnsi="Arial"/>
          <w:sz w:val="31"/>
          <w:szCs w:val="31"/>
          <w:u w:val="single" w:color="auto"/>
          <w:color w:val="auto"/>
          <w:vertAlign w:val="subscript"/>
        </w:rPr>
        <w:t>, the Guarantors</w:t>
      </w:r>
      <w:r>
        <w:rPr>
          <w:rFonts w:ascii="Arial" w:cs="Arial" w:eastAsia="Arial" w:hAnsi="Arial"/>
          <w:sz w:val="16"/>
          <w:szCs w:val="16"/>
          <w:u w:val="single" w:color="auto"/>
          <w:color w:val="auto"/>
        </w:rPr>
        <w:t>, etc</w:t>
      </w:r>
      <w:r>
        <w:rPr>
          <w:rFonts w:ascii="Arial" w:cs="Arial" w:eastAsia="Arial" w:hAnsi="Arial"/>
          <w:sz w:val="16"/>
          <w:szCs w:val="16"/>
          <w:color w:val="auto"/>
        </w:rPr>
        <w:t xml:space="preserve">. Whenever the consent or approval of Holders of a specified percentage of principal amount of Securities or New Securities is required hereunder, Securities or New Securities, as applicable, held by the Issuers, the Guarantors or </w:t>
      </w:r>
      <w:r>
        <w:rPr>
          <w:rFonts w:ascii="Arial" w:cs="Arial" w:eastAsia="Arial" w:hAnsi="Arial"/>
          <w:sz w:val="31"/>
          <w:szCs w:val="31"/>
          <w:color w:val="auto"/>
          <w:vertAlign w:val="subscript"/>
        </w:rPr>
        <w:t>their</w:t>
      </w:r>
    </w:p>
    <w:p>
      <w:pPr>
        <w:ind w:right="420"/>
        <w:spacing w:after="0" w:line="271" w:lineRule="auto"/>
        <w:rPr>
          <w:sz w:val="20"/>
          <w:szCs w:val="20"/>
          <w:color w:val="auto"/>
        </w:rPr>
      </w:pPr>
      <w:r>
        <w:rPr>
          <w:rFonts w:ascii="Arial" w:cs="Arial" w:eastAsia="Arial" w:hAnsi="Arial"/>
          <w:sz w:val="18"/>
          <w:szCs w:val="18"/>
          <w:color w:val="auto"/>
        </w:rPr>
        <w:t>Affiliates (other than subsequent Holders of Securities or New Securities if such subsequent Holders are deemed to be Affiliates solely by reason of their holdings of such Securities or New Securities) shall not be counted in determining whether such consent or approval was given by the Holders of such required percentage.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80" w:firstLine="1297"/>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building agreement among the Issuers, the Guarantors and the several Initial Purchasers.</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ind w:left="5620"/>
              <w:spacing w:after="0"/>
              <w:rPr>
                <w:sz w:val="20"/>
                <w:szCs w:val="20"/>
                <w:color w:val="auto"/>
              </w:rPr>
            </w:pPr>
            <w:r>
              <w:rPr>
                <w:rFonts w:ascii="Arial" w:cs="Arial" w:eastAsia="Arial" w:hAnsi="Arial"/>
                <w:sz w:val="18"/>
                <w:szCs w:val="18"/>
                <w:color w:val="auto"/>
              </w:rPr>
              <w:t>By:</w:t>
            </w:r>
          </w:p>
        </w:tc>
        <w:tc>
          <w:tcPr>
            <w:tcW w:w="5400" w:type="dxa"/>
            <w:vAlign w:val="bottom"/>
            <w:gridSpan w:val="3"/>
          </w:tcPr>
          <w:p>
            <w:pPr>
              <w:ind w:left="140"/>
              <w:spacing w:after="0"/>
              <w:rPr>
                <w:sz w:val="20"/>
                <w:szCs w:val="20"/>
                <w:color w:val="auto"/>
              </w:rPr>
            </w:pPr>
            <w:r>
              <w:rPr>
                <w:rFonts w:ascii="Arial" w:cs="Arial" w:eastAsia="Arial" w:hAnsi="Arial"/>
                <w:sz w:val="18"/>
                <w:szCs w:val="18"/>
                <w:color w:val="auto"/>
              </w:rPr>
              <w:t>PLAINS AAP, L.P.</w:t>
            </w:r>
          </w:p>
        </w:tc>
        <w:tc>
          <w:tcPr>
            <w:tcW w:w="2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w w:val="88"/>
              </w:rPr>
              <w:t>its General Partner</w:t>
            </w:r>
          </w:p>
        </w:tc>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6020" w:type="dxa"/>
            <w:vAlign w:val="bottom"/>
          </w:tcPr>
          <w:p>
            <w:pPr>
              <w:ind w:left="5620"/>
              <w:spacing w:after="0"/>
              <w:rPr>
                <w:sz w:val="20"/>
                <w:szCs w:val="20"/>
                <w:color w:val="auto"/>
              </w:rPr>
            </w:pPr>
            <w:r>
              <w:rPr>
                <w:rFonts w:ascii="Arial" w:cs="Arial" w:eastAsia="Arial" w:hAnsi="Arial"/>
                <w:sz w:val="18"/>
                <w:szCs w:val="18"/>
                <w:color w:val="auto"/>
              </w:rPr>
              <w:t>By:</w:t>
            </w:r>
          </w:p>
        </w:tc>
        <w:tc>
          <w:tcPr>
            <w:tcW w:w="5400" w:type="dxa"/>
            <w:vAlign w:val="bottom"/>
            <w:gridSpan w:val="3"/>
          </w:tcPr>
          <w:p>
            <w:pPr>
              <w:ind w:left="140"/>
              <w:spacing w:after="0"/>
              <w:rPr>
                <w:sz w:val="20"/>
                <w:szCs w:val="20"/>
                <w:color w:val="auto"/>
              </w:rPr>
            </w:pPr>
            <w:r>
              <w:rPr>
                <w:rFonts w:ascii="Arial" w:cs="Arial" w:eastAsia="Arial" w:hAnsi="Arial"/>
                <w:sz w:val="18"/>
                <w:szCs w:val="18"/>
                <w:color w:val="auto"/>
              </w:rPr>
              <w:t>PLAINS ALL AMERICAN GP LLC</w:t>
            </w:r>
          </w:p>
        </w:tc>
        <w:tc>
          <w:tcPr>
            <w:tcW w:w="20" w:type="dxa"/>
            <w:vAlign w:val="bottom"/>
          </w:tcPr>
          <w:p>
            <w:pPr>
              <w:spacing w:after="0"/>
              <w:rPr>
                <w:sz w:val="24"/>
                <w:szCs w:val="24"/>
                <w:color w:val="auto"/>
              </w:rPr>
            </w:pPr>
          </w:p>
        </w:tc>
      </w:tr>
      <w:tr>
        <w:trPr>
          <w:trHeight w:val="230"/>
        </w:trPr>
        <w:tc>
          <w:tcPr>
            <w:tcW w:w="60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w w:val="88"/>
              </w:rPr>
              <w:t>its General Partner</w:t>
            </w:r>
          </w:p>
        </w:tc>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0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c>
          <w:tcPr>
            <w:tcW w:w="20" w:type="dxa"/>
            <w:vAlign w:val="bottom"/>
          </w:tcPr>
          <w:p>
            <w:pPr>
              <w:spacing w:after="0"/>
              <w:rPr>
                <w:sz w:val="24"/>
                <w:szCs w:val="24"/>
                <w:color w:val="auto"/>
              </w:rPr>
            </w:pPr>
          </w:p>
        </w:tc>
      </w:tr>
      <w:tr>
        <w:trPr>
          <w:trHeight w:val="195"/>
        </w:trPr>
        <w:tc>
          <w:tcPr>
            <w:tcW w:w="6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20"/>
              <w:spacing w:after="0" w:line="195" w:lineRule="exact"/>
              <w:rPr>
                <w:sz w:val="20"/>
                <w:szCs w:val="20"/>
                <w:color w:val="auto"/>
              </w:rPr>
            </w:pPr>
            <w:r>
              <w:rPr>
                <w:rFonts w:ascii="Arial" w:cs="Arial" w:eastAsia="Arial" w:hAnsi="Arial"/>
                <w:sz w:val="18"/>
                <w:szCs w:val="18"/>
                <w:color w:val="auto"/>
              </w:rPr>
              <w:t>Phil Kramer</w:t>
            </w:r>
          </w:p>
        </w:tc>
        <w:tc>
          <w:tcPr>
            <w:tcW w:w="2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
              <w:spacing w:after="0"/>
              <w:rPr>
                <w:sz w:val="20"/>
                <w:szCs w:val="20"/>
                <w:color w:val="auto"/>
              </w:rPr>
            </w:pPr>
            <w:r>
              <w:rPr>
                <w:rFonts w:ascii="Arial" w:cs="Arial" w:eastAsia="Arial" w:hAnsi="Arial"/>
                <w:sz w:val="18"/>
                <w:szCs w:val="18"/>
                <w:color w:val="auto"/>
              </w:rPr>
              <w:t>Executive Vice President and Chief</w:t>
            </w:r>
          </w:p>
        </w:tc>
        <w:tc>
          <w:tcPr>
            <w:tcW w:w="2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20" w:type="dxa"/>
            <w:vAlign w:val="bottom"/>
          </w:tcPr>
          <w:p>
            <w:pPr>
              <w:spacing w:after="0"/>
              <w:rPr>
                <w:sz w:val="20"/>
                <w:szCs w:val="20"/>
                <w:color w:val="auto"/>
              </w:rPr>
            </w:pPr>
          </w:p>
        </w:tc>
      </w:tr>
      <w:tr>
        <w:trPr>
          <w:trHeight w:val="432"/>
        </w:trPr>
        <w:tc>
          <w:tcPr>
            <w:tcW w:w="7520" w:type="dxa"/>
            <w:vAlign w:val="bottom"/>
            <w:gridSpan w:val="3"/>
          </w:tcPr>
          <w:p>
            <w:pPr>
              <w:ind w:left="5620"/>
              <w:spacing w:after="0"/>
              <w:rPr>
                <w:sz w:val="20"/>
                <w:szCs w:val="20"/>
                <w:color w:val="auto"/>
              </w:rPr>
            </w:pPr>
            <w:r>
              <w:rPr>
                <w:rFonts w:ascii="Arial" w:cs="Arial" w:eastAsia="Arial" w:hAnsi="Arial"/>
                <w:sz w:val="18"/>
                <w:szCs w:val="18"/>
                <w:color w:val="auto"/>
              </w:rPr>
              <w:t>PAA FINANCE CORP.</w:t>
            </w: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60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c>
          <w:tcPr>
            <w:tcW w:w="20" w:type="dxa"/>
            <w:vAlign w:val="bottom"/>
          </w:tcPr>
          <w:p>
            <w:pPr>
              <w:spacing w:after="0"/>
              <w:rPr>
                <w:sz w:val="24"/>
                <w:szCs w:val="24"/>
                <w:color w:val="auto"/>
              </w:rPr>
            </w:pPr>
          </w:p>
        </w:tc>
      </w:tr>
      <w:tr>
        <w:trPr>
          <w:trHeight w:val="195"/>
        </w:trPr>
        <w:tc>
          <w:tcPr>
            <w:tcW w:w="6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20"/>
              <w:spacing w:after="0" w:line="195" w:lineRule="exact"/>
              <w:rPr>
                <w:sz w:val="20"/>
                <w:szCs w:val="20"/>
                <w:color w:val="auto"/>
              </w:rPr>
            </w:pPr>
            <w:r>
              <w:rPr>
                <w:rFonts w:ascii="Arial" w:cs="Arial" w:eastAsia="Arial" w:hAnsi="Arial"/>
                <w:sz w:val="18"/>
                <w:szCs w:val="18"/>
                <w:color w:val="auto"/>
              </w:rPr>
              <w:t>Phil Kramer</w:t>
            </w:r>
          </w:p>
        </w:tc>
        <w:tc>
          <w:tcPr>
            <w:tcW w:w="2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
              <w:spacing w:after="0"/>
              <w:rPr>
                <w:sz w:val="20"/>
                <w:szCs w:val="20"/>
                <w:color w:val="auto"/>
              </w:rPr>
            </w:pPr>
            <w:r>
              <w:rPr>
                <w:rFonts w:ascii="Arial" w:cs="Arial" w:eastAsia="Arial" w:hAnsi="Arial"/>
                <w:sz w:val="18"/>
                <w:szCs w:val="18"/>
                <w:color w:val="auto"/>
              </w:rPr>
              <w:t>Executive Vice President and Chief</w:t>
            </w:r>
          </w:p>
        </w:tc>
        <w:tc>
          <w:tcPr>
            <w:tcW w:w="2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20" w:type="dxa"/>
            <w:vAlign w:val="bottom"/>
          </w:tcPr>
          <w:p>
            <w:pPr>
              <w:spacing w:after="0"/>
              <w:rPr>
                <w:sz w:val="20"/>
                <w:szCs w:val="20"/>
                <w:color w:val="auto"/>
              </w:rPr>
            </w:pPr>
          </w:p>
        </w:tc>
      </w:tr>
      <w:tr>
        <w:trPr>
          <w:trHeight w:val="432"/>
        </w:trPr>
        <w:tc>
          <w:tcPr>
            <w:tcW w:w="11420" w:type="dxa"/>
            <w:vAlign w:val="bottom"/>
            <w:gridSpan w:val="4"/>
          </w:tcPr>
          <w:p>
            <w:pPr>
              <w:ind w:left="5620"/>
              <w:spacing w:after="0"/>
              <w:rPr>
                <w:sz w:val="20"/>
                <w:szCs w:val="20"/>
                <w:color w:val="auto"/>
              </w:rPr>
            </w:pPr>
            <w:r>
              <w:rPr>
                <w:rFonts w:ascii="Arial" w:cs="Arial" w:eastAsia="Arial" w:hAnsi="Arial"/>
                <w:sz w:val="18"/>
                <w:szCs w:val="18"/>
                <w:color w:val="auto"/>
              </w:rPr>
              <w:t>PLAINS MARKETING, L.P.</w:t>
            </w:r>
          </w:p>
        </w:tc>
        <w:tc>
          <w:tcPr>
            <w:tcW w:w="20" w:type="dxa"/>
            <w:vAlign w:val="bottom"/>
          </w:tcPr>
          <w:p>
            <w:pPr>
              <w:spacing w:after="0"/>
              <w:rPr>
                <w:sz w:val="24"/>
                <w:szCs w:val="24"/>
                <w:color w:val="auto"/>
              </w:rPr>
            </w:pPr>
          </w:p>
        </w:tc>
      </w:tr>
      <w:tr>
        <w:trPr>
          <w:trHeight w:val="418"/>
        </w:trPr>
        <w:tc>
          <w:tcPr>
            <w:tcW w:w="6020" w:type="dxa"/>
            <w:vAlign w:val="bottom"/>
          </w:tcPr>
          <w:p>
            <w:pPr>
              <w:ind w:left="5620"/>
              <w:spacing w:after="0"/>
              <w:rPr>
                <w:sz w:val="20"/>
                <w:szCs w:val="20"/>
                <w:color w:val="auto"/>
              </w:rPr>
            </w:pPr>
            <w:r>
              <w:rPr>
                <w:rFonts w:ascii="Arial" w:cs="Arial" w:eastAsia="Arial" w:hAnsi="Arial"/>
                <w:sz w:val="18"/>
                <w:szCs w:val="18"/>
                <w:color w:val="auto"/>
              </w:rPr>
              <w:t>By:</w:t>
            </w:r>
          </w:p>
        </w:tc>
        <w:tc>
          <w:tcPr>
            <w:tcW w:w="5400" w:type="dxa"/>
            <w:vAlign w:val="bottom"/>
            <w:gridSpan w:val="3"/>
          </w:tcPr>
          <w:p>
            <w:pPr>
              <w:ind w:left="140"/>
              <w:spacing w:after="0"/>
              <w:rPr>
                <w:sz w:val="20"/>
                <w:szCs w:val="20"/>
                <w:color w:val="auto"/>
              </w:rPr>
            </w:pPr>
            <w:r>
              <w:rPr>
                <w:rFonts w:ascii="Arial" w:cs="Arial" w:eastAsia="Arial" w:hAnsi="Arial"/>
                <w:sz w:val="18"/>
                <w:szCs w:val="18"/>
                <w:color w:val="auto"/>
              </w:rPr>
              <w:t>PLAINS MARKETING GP INC.</w:t>
            </w:r>
          </w:p>
        </w:tc>
        <w:tc>
          <w:tcPr>
            <w:tcW w:w="20" w:type="dxa"/>
            <w:vAlign w:val="bottom"/>
          </w:tcPr>
          <w:p>
            <w:pPr>
              <w:spacing w:after="0"/>
              <w:rPr>
                <w:sz w:val="24"/>
                <w:szCs w:val="24"/>
                <w:color w:val="auto"/>
              </w:rPr>
            </w:pPr>
          </w:p>
        </w:tc>
      </w:tr>
      <w:tr>
        <w:trPr>
          <w:trHeight w:val="230"/>
        </w:trPr>
        <w:tc>
          <w:tcPr>
            <w:tcW w:w="60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w w:val="88"/>
              </w:rPr>
              <w:t>its General Partner</w:t>
            </w:r>
          </w:p>
        </w:tc>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60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c>
          <w:tcPr>
            <w:tcW w:w="20" w:type="dxa"/>
            <w:vAlign w:val="bottom"/>
          </w:tcPr>
          <w:p>
            <w:pPr>
              <w:spacing w:after="0"/>
              <w:rPr>
                <w:sz w:val="24"/>
                <w:szCs w:val="24"/>
                <w:color w:val="auto"/>
              </w:rPr>
            </w:pPr>
          </w:p>
        </w:tc>
      </w:tr>
      <w:tr>
        <w:trPr>
          <w:trHeight w:val="195"/>
        </w:trPr>
        <w:tc>
          <w:tcPr>
            <w:tcW w:w="6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20"/>
              <w:spacing w:after="0" w:line="195" w:lineRule="exact"/>
              <w:rPr>
                <w:sz w:val="20"/>
                <w:szCs w:val="20"/>
                <w:color w:val="auto"/>
              </w:rPr>
            </w:pPr>
            <w:r>
              <w:rPr>
                <w:rFonts w:ascii="Arial" w:cs="Arial" w:eastAsia="Arial" w:hAnsi="Arial"/>
                <w:sz w:val="18"/>
                <w:szCs w:val="18"/>
                <w:color w:val="auto"/>
              </w:rPr>
              <w:t>Phil Kramer</w:t>
            </w:r>
          </w:p>
        </w:tc>
        <w:tc>
          <w:tcPr>
            <w:tcW w:w="2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
              <w:spacing w:after="0"/>
              <w:rPr>
                <w:sz w:val="20"/>
                <w:szCs w:val="20"/>
                <w:color w:val="auto"/>
              </w:rPr>
            </w:pPr>
            <w:r>
              <w:rPr>
                <w:rFonts w:ascii="Arial" w:cs="Arial" w:eastAsia="Arial" w:hAnsi="Arial"/>
                <w:sz w:val="18"/>
                <w:szCs w:val="18"/>
                <w:color w:val="auto"/>
              </w:rPr>
              <w:t>Executive Vice President and Chief</w:t>
            </w:r>
          </w:p>
        </w:tc>
        <w:tc>
          <w:tcPr>
            <w:tcW w:w="2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20" w:type="dxa"/>
            <w:vAlign w:val="bottom"/>
          </w:tcPr>
          <w:p>
            <w:pPr>
              <w:spacing w:after="0"/>
              <w:rPr>
                <w:sz w:val="20"/>
                <w:szCs w:val="20"/>
                <w:color w:val="auto"/>
              </w:rPr>
            </w:pPr>
          </w:p>
        </w:tc>
      </w:tr>
      <w:tr>
        <w:trPr>
          <w:trHeight w:val="432"/>
        </w:trPr>
        <w:tc>
          <w:tcPr>
            <w:tcW w:w="6020" w:type="dxa"/>
            <w:vAlign w:val="bottom"/>
          </w:tcPr>
          <w:p>
            <w:pPr>
              <w:ind w:left="562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7520" w:type="dxa"/>
            <w:vAlign w:val="bottom"/>
            <w:tcBorders>
              <w:bottom w:val="single" w:sz="8" w:color="808080"/>
            </w:tcBorders>
            <w:gridSpan w:val="3"/>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80"/>
        </w:trPr>
        <w:tc>
          <w:tcPr>
            <w:tcW w:w="7520" w:type="dxa"/>
            <w:vAlign w:val="bottom"/>
            <w:gridSpan w:val="3"/>
          </w:tcPr>
          <w:p>
            <w:pPr>
              <w:ind w:left="5620"/>
              <w:spacing w:after="0"/>
              <w:rPr>
                <w:sz w:val="20"/>
                <w:szCs w:val="20"/>
                <w:color w:val="auto"/>
              </w:rPr>
            </w:pPr>
            <w:r>
              <w:rPr>
                <w:rFonts w:ascii="Arial" w:cs="Arial" w:eastAsia="Arial" w:hAnsi="Arial"/>
                <w:sz w:val="18"/>
                <w:szCs w:val="18"/>
                <w:color w:val="auto"/>
                <w:w w:val="97"/>
              </w:rPr>
              <w:t>PLAINS PIPELINE, L.P.</w:t>
            </w: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6020" w:type="dxa"/>
            <w:vAlign w:val="bottom"/>
          </w:tcPr>
          <w:p>
            <w:pPr>
              <w:ind w:left="5620"/>
              <w:spacing w:after="0"/>
              <w:rPr>
                <w:sz w:val="20"/>
                <w:szCs w:val="20"/>
                <w:color w:val="auto"/>
              </w:rPr>
            </w:pPr>
            <w:r>
              <w:rPr>
                <w:rFonts w:ascii="Arial" w:cs="Arial" w:eastAsia="Arial" w:hAnsi="Arial"/>
                <w:sz w:val="18"/>
                <w:szCs w:val="18"/>
                <w:color w:val="auto"/>
              </w:rPr>
              <w:t>By:</w:t>
            </w:r>
          </w:p>
        </w:tc>
        <w:tc>
          <w:tcPr>
            <w:tcW w:w="5400" w:type="dxa"/>
            <w:vAlign w:val="bottom"/>
            <w:gridSpan w:val="3"/>
          </w:tcPr>
          <w:p>
            <w:pPr>
              <w:ind w:left="140"/>
              <w:spacing w:after="0"/>
              <w:rPr>
                <w:sz w:val="20"/>
                <w:szCs w:val="20"/>
                <w:color w:val="auto"/>
              </w:rPr>
            </w:pPr>
            <w:r>
              <w:rPr>
                <w:rFonts w:ascii="Arial" w:cs="Arial" w:eastAsia="Arial" w:hAnsi="Arial"/>
                <w:sz w:val="18"/>
                <w:szCs w:val="18"/>
                <w:color w:val="auto"/>
              </w:rPr>
              <w:t>PLAINS MARKETING GP INC.</w:t>
            </w:r>
          </w:p>
        </w:tc>
        <w:tc>
          <w:tcPr>
            <w:tcW w:w="20" w:type="dxa"/>
            <w:vAlign w:val="bottom"/>
          </w:tcPr>
          <w:p>
            <w:pPr>
              <w:spacing w:after="0"/>
              <w:rPr>
                <w:sz w:val="24"/>
                <w:szCs w:val="24"/>
                <w:color w:val="auto"/>
              </w:rPr>
            </w:pPr>
          </w:p>
        </w:tc>
      </w:tr>
      <w:tr>
        <w:trPr>
          <w:trHeight w:val="230"/>
        </w:trPr>
        <w:tc>
          <w:tcPr>
            <w:tcW w:w="60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w w:val="88"/>
              </w:rPr>
              <w:t>its General Partner</w:t>
            </w:r>
          </w:p>
        </w:tc>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60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c>
          <w:tcPr>
            <w:tcW w:w="20" w:type="dxa"/>
            <w:vAlign w:val="bottom"/>
          </w:tcPr>
          <w:p>
            <w:pPr>
              <w:spacing w:after="0"/>
              <w:rPr>
                <w:sz w:val="24"/>
                <w:szCs w:val="24"/>
                <w:color w:val="auto"/>
              </w:rPr>
            </w:pPr>
          </w:p>
        </w:tc>
      </w:tr>
      <w:tr>
        <w:trPr>
          <w:trHeight w:val="195"/>
        </w:trPr>
        <w:tc>
          <w:tcPr>
            <w:tcW w:w="6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20"/>
              <w:spacing w:after="0" w:line="195" w:lineRule="exact"/>
              <w:rPr>
                <w:sz w:val="20"/>
                <w:szCs w:val="20"/>
                <w:color w:val="auto"/>
              </w:rPr>
            </w:pPr>
            <w:r>
              <w:rPr>
                <w:rFonts w:ascii="Arial" w:cs="Arial" w:eastAsia="Arial" w:hAnsi="Arial"/>
                <w:sz w:val="18"/>
                <w:szCs w:val="18"/>
                <w:color w:val="auto"/>
              </w:rPr>
              <w:t>Phil Kramer</w:t>
            </w:r>
          </w:p>
        </w:tc>
        <w:tc>
          <w:tcPr>
            <w:tcW w:w="2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
              <w:spacing w:after="0"/>
              <w:rPr>
                <w:sz w:val="20"/>
                <w:szCs w:val="20"/>
                <w:color w:val="auto"/>
              </w:rPr>
            </w:pPr>
            <w:r>
              <w:rPr>
                <w:rFonts w:ascii="Arial" w:cs="Arial" w:eastAsia="Arial" w:hAnsi="Arial"/>
                <w:sz w:val="18"/>
                <w:szCs w:val="18"/>
                <w:color w:val="auto"/>
              </w:rPr>
              <w:t>Executive Vice President and Chief</w:t>
            </w:r>
          </w:p>
        </w:tc>
        <w:tc>
          <w:tcPr>
            <w:tcW w:w="2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-1753235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-1753235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MARKETING GP INC.</w:t>
      </w:r>
    </w:p>
    <w:p>
      <w:pPr>
        <w:sectPr>
          <w:pgSz w:w="11900" w:h="16865" w:orient="portrait"/>
          <w:cols w:equalWidth="0" w:num="1">
            <w:col w:w="11440"/>
          </w:cols>
          <w:pgMar w:left="240" w:top="0" w:right="21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6160"/>
        <w:spacing w:after="0"/>
        <w:tabs>
          <w:tab w:leader="none" w:pos="6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Phil Kramer</w:t>
      </w:r>
    </w:p>
    <w:p>
      <w:pPr>
        <w:sectPr>
          <w:pgSz w:w="11900" w:h="16865" w:orient="portrait"/>
          <w:cols w:equalWidth="0" w:num="1">
            <w:col w:w="11440"/>
          </w:cols>
          <w:pgMar w:left="240" w:top="0" w:right="219" w:bottom="0" w:gutter="0" w:footer="0" w:header="0"/>
          <w:type w:val="continuous"/>
        </w:sectPr>
      </w:pPr>
    </w:p>
    <w:bookmarkStart w:id="41" w:name="page42"/>
    <w:bookmarkEnd w:id="41"/>
    <w:tbl>
      <w:tblPr>
        <w:tblLayout w:type="fixed"/>
        <w:tblInd w:w="6700" w:type="dxa"/>
        <w:tblCellMar>
          <w:top w:w="0" w:type="dxa"/>
          <w:left w:w="0" w:type="dxa"/>
          <w:bottom w:w="0" w:type="dxa"/>
          <w:right w:w="0" w:type="dxa"/>
        </w:tblCellMar>
      </w:tblPr>
      <w:tr>
        <w:trPr>
          <w:trHeight w:val="215"/>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Phil Kramer</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18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60" w:type="dxa"/>
            <w:vAlign w:val="bottom"/>
          </w:tcPr>
          <w:p>
            <w:pPr>
              <w:spacing w:after="0"/>
              <w:rPr>
                <w:sz w:val="20"/>
                <w:szCs w:val="20"/>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MARKETING CANADA LLC</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61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c>
          <w:tcPr>
            <w:tcW w:w="20" w:type="dxa"/>
            <w:vAlign w:val="bottom"/>
          </w:tcPr>
          <w:p>
            <w:pPr>
              <w:spacing w:after="0"/>
              <w:rPr>
                <w:sz w:val="20"/>
                <w:szCs w:val="20"/>
                <w:color w:val="auto"/>
              </w:rPr>
            </w:pPr>
          </w:p>
        </w:tc>
      </w:tr>
      <w:tr>
        <w:trPr>
          <w:trHeight w:val="195"/>
        </w:trPr>
        <w:tc>
          <w:tcPr>
            <w:tcW w:w="67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60" w:type="dxa"/>
            <w:vAlign w:val="bottom"/>
          </w:tcPr>
          <w:p>
            <w:pPr>
              <w:ind w:left="180"/>
              <w:spacing w:after="0" w:line="195" w:lineRule="exact"/>
              <w:rPr>
                <w:sz w:val="20"/>
                <w:szCs w:val="20"/>
                <w:color w:val="auto"/>
              </w:rPr>
            </w:pPr>
            <w:r>
              <w:rPr>
                <w:rFonts w:ascii="Arial" w:cs="Arial" w:eastAsia="Arial" w:hAnsi="Arial"/>
                <w:sz w:val="18"/>
                <w:szCs w:val="18"/>
                <w:color w:val="auto"/>
              </w:rPr>
              <w:t>Phil Kramer</w:t>
            </w:r>
          </w:p>
        </w:tc>
        <w:tc>
          <w:tcPr>
            <w:tcW w:w="20" w:type="dxa"/>
            <w:vAlign w:val="bottom"/>
          </w:tcPr>
          <w:p>
            <w:pPr>
              <w:spacing w:after="0"/>
              <w:rPr>
                <w:sz w:val="16"/>
                <w:szCs w:val="16"/>
                <w:color w:val="auto"/>
              </w:rPr>
            </w:pPr>
          </w:p>
        </w:tc>
      </w:tr>
      <w:tr>
        <w:trPr>
          <w:trHeight w:val="216"/>
        </w:trPr>
        <w:tc>
          <w:tcPr>
            <w:tcW w:w="67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180"/>
              <w:spacing w:after="0"/>
              <w:rPr>
                <w:sz w:val="20"/>
                <w:szCs w:val="20"/>
                <w:color w:val="auto"/>
              </w:rPr>
            </w:pPr>
            <w:r>
              <w:rPr>
                <w:rFonts w:ascii="Arial" w:cs="Arial" w:eastAsia="Arial" w:hAnsi="Arial"/>
                <w:sz w:val="18"/>
                <w:szCs w:val="18"/>
                <w:color w:val="auto"/>
              </w:rPr>
              <w:t>Executive Vice President and Chief</w:t>
            </w:r>
          </w:p>
        </w:tc>
        <w:tc>
          <w:tcPr>
            <w:tcW w:w="20" w:type="dxa"/>
            <w:vAlign w:val="bottom"/>
          </w:tcPr>
          <w:p>
            <w:pPr>
              <w:spacing w:after="0"/>
              <w:rPr>
                <w:sz w:val="18"/>
                <w:szCs w:val="18"/>
                <w:color w:val="auto"/>
              </w:rPr>
            </w:pPr>
          </w:p>
        </w:tc>
      </w:tr>
      <w:tr>
        <w:trPr>
          <w:trHeight w:val="230"/>
        </w:trPr>
        <w:tc>
          <w:tcPr>
            <w:tcW w:w="6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Financial Officer</w:t>
            </w:r>
          </w:p>
        </w:tc>
        <w:tc>
          <w:tcPr>
            <w:tcW w:w="20" w:type="dxa"/>
            <w:vAlign w:val="bottom"/>
          </w:tcPr>
          <w:p>
            <w:pPr>
              <w:spacing w:after="0"/>
              <w:rPr>
                <w:sz w:val="20"/>
                <w:szCs w:val="20"/>
                <w:color w:val="auto"/>
              </w:rPr>
            </w:pPr>
          </w:p>
        </w:tc>
      </w:tr>
      <w:tr>
        <w:trPr>
          <w:trHeight w:val="432"/>
        </w:trPr>
        <w:tc>
          <w:tcPr>
            <w:tcW w:w="11420" w:type="dxa"/>
            <w:vAlign w:val="bottom"/>
            <w:gridSpan w:val="3"/>
          </w:tcPr>
          <w:p>
            <w:pPr>
              <w:ind w:left="5620"/>
              <w:spacing w:after="0"/>
              <w:rPr>
                <w:sz w:val="20"/>
                <w:szCs w:val="20"/>
                <w:color w:val="auto"/>
              </w:rPr>
            </w:pPr>
            <w:r>
              <w:rPr>
                <w:rFonts w:ascii="Arial" w:cs="Arial" w:eastAsia="Arial" w:hAnsi="Arial"/>
                <w:sz w:val="18"/>
                <w:szCs w:val="18"/>
                <w:color w:val="auto"/>
              </w:rPr>
              <w:t>PMC (NOVA SCOTIA) COMPANY</w:t>
            </w:r>
          </w:p>
        </w:tc>
        <w:tc>
          <w:tcPr>
            <w:tcW w:w="20" w:type="dxa"/>
            <w:vAlign w:val="bottom"/>
          </w:tcPr>
          <w:p>
            <w:pPr>
              <w:spacing w:after="0"/>
              <w:rPr>
                <w:sz w:val="24"/>
                <w:szCs w:val="24"/>
                <w:color w:val="auto"/>
              </w:rPr>
            </w:pPr>
          </w:p>
        </w:tc>
      </w:tr>
      <w:tr>
        <w:trPr>
          <w:trHeight w:val="648"/>
        </w:trPr>
        <w:tc>
          <w:tcPr>
            <w:tcW w:w="6700" w:type="dxa"/>
            <w:vAlign w:val="bottom"/>
          </w:tcPr>
          <w:p>
            <w:pPr>
              <w:ind w:left="61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c>
          <w:tcPr>
            <w:tcW w:w="20" w:type="dxa"/>
            <w:vAlign w:val="bottom"/>
          </w:tcPr>
          <w:p>
            <w:pPr>
              <w:spacing w:after="0"/>
              <w:rPr>
                <w:sz w:val="24"/>
                <w:szCs w:val="24"/>
                <w:color w:val="auto"/>
              </w:rPr>
            </w:pPr>
          </w:p>
        </w:tc>
      </w:tr>
      <w:tr>
        <w:trPr>
          <w:trHeight w:val="195"/>
        </w:trPr>
        <w:tc>
          <w:tcPr>
            <w:tcW w:w="67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60" w:type="dxa"/>
            <w:vAlign w:val="bottom"/>
          </w:tcPr>
          <w:p>
            <w:pPr>
              <w:ind w:left="180"/>
              <w:spacing w:after="0" w:line="195" w:lineRule="exact"/>
              <w:rPr>
                <w:sz w:val="20"/>
                <w:szCs w:val="20"/>
                <w:color w:val="auto"/>
              </w:rPr>
            </w:pPr>
            <w:r>
              <w:rPr>
                <w:rFonts w:ascii="Arial" w:cs="Arial" w:eastAsia="Arial" w:hAnsi="Arial"/>
                <w:sz w:val="18"/>
                <w:szCs w:val="18"/>
                <w:color w:val="auto"/>
              </w:rPr>
              <w:t>Phil Kramer</w:t>
            </w:r>
          </w:p>
        </w:tc>
        <w:tc>
          <w:tcPr>
            <w:tcW w:w="20" w:type="dxa"/>
            <w:vAlign w:val="bottom"/>
          </w:tcPr>
          <w:p>
            <w:pPr>
              <w:spacing w:after="0"/>
              <w:rPr>
                <w:sz w:val="16"/>
                <w:szCs w:val="16"/>
                <w:color w:val="auto"/>
              </w:rPr>
            </w:pPr>
          </w:p>
        </w:tc>
      </w:tr>
      <w:tr>
        <w:trPr>
          <w:trHeight w:val="230"/>
        </w:trPr>
        <w:tc>
          <w:tcPr>
            <w:tcW w:w="67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20" w:type="dxa"/>
            <w:vAlign w:val="bottom"/>
          </w:tcPr>
          <w:p>
            <w:pPr>
              <w:spacing w:after="0"/>
              <w:rPr>
                <w:sz w:val="20"/>
                <w:szCs w:val="20"/>
                <w:color w:val="auto"/>
              </w:rPr>
            </w:pPr>
          </w:p>
        </w:tc>
      </w:tr>
      <w:tr>
        <w:trPr>
          <w:trHeight w:val="432"/>
        </w:trPr>
        <w:tc>
          <w:tcPr>
            <w:tcW w:w="6700" w:type="dxa"/>
            <w:vAlign w:val="bottom"/>
          </w:tcPr>
          <w:p>
            <w:pPr>
              <w:ind w:left="5620"/>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67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MARKETING CANADA, L.P.</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PMC (NOVA SCOTIA) COMPANY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r>
      <w:tr>
        <w:trPr>
          <w:trHeight w:val="195"/>
        </w:trPr>
        <w:tc>
          <w:tcPr>
            <w:tcW w:w="54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60" w:type="dxa"/>
            <w:vAlign w:val="bottom"/>
          </w:tcPr>
          <w:p>
            <w:pPr>
              <w:ind w:left="180"/>
              <w:spacing w:after="0" w:line="195" w:lineRule="exact"/>
              <w:rPr>
                <w:sz w:val="20"/>
                <w:szCs w:val="20"/>
                <w:color w:val="auto"/>
              </w:rPr>
            </w:pPr>
            <w:r>
              <w:rPr>
                <w:rFonts w:ascii="Arial" w:cs="Arial" w:eastAsia="Arial" w:hAnsi="Arial"/>
                <w:sz w:val="18"/>
                <w:szCs w:val="18"/>
                <w:color w:val="auto"/>
              </w:rPr>
              <w:t>Phil Kramer</w:t>
            </w:r>
          </w:p>
        </w:tc>
      </w:tr>
      <w:tr>
        <w:trPr>
          <w:trHeight w:val="230"/>
        </w:trPr>
        <w:tc>
          <w:tcPr>
            <w:tcW w:w="5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BASIN HOLDINGS GP LLC</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r>
      <w:tr>
        <w:trPr>
          <w:trHeight w:val="195"/>
        </w:trPr>
        <w:tc>
          <w:tcPr>
            <w:tcW w:w="54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60" w:type="dxa"/>
            <w:vAlign w:val="bottom"/>
          </w:tcPr>
          <w:p>
            <w:pPr>
              <w:ind w:left="18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5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18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BASIN PIPELINE HOLDINGS, L.P.</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BASIN HOLDINGS GP LLC</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r>
      <w:tr>
        <w:trPr>
          <w:trHeight w:val="195"/>
        </w:trPr>
        <w:tc>
          <w:tcPr>
            <w:tcW w:w="54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60" w:type="dxa"/>
            <w:vAlign w:val="bottom"/>
          </w:tcPr>
          <w:p>
            <w:pPr>
              <w:ind w:left="18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5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18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0"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RANCHO HOLDINGS GP LLC</w:t>
      </w:r>
    </w:p>
    <w:p>
      <w:pPr>
        <w:sectPr>
          <w:pgSz w:w="11900" w:h="16838" w:orient="portrait"/>
          <w:cols w:equalWidth="0" w:num="1">
            <w:col w:w="11440"/>
          </w:cols>
          <w:pgMar w:left="240" w:top="120" w:right="219" w:bottom="0" w:gutter="0" w:footer="0" w:header="0"/>
          <w:type w:val="continuous"/>
        </w:sectPr>
      </w:pPr>
    </w:p>
    <w:bookmarkStart w:id="42" w:name="page43"/>
    <w:bookmarkEnd w:id="42"/>
    <w:p>
      <w:pPr>
        <w:ind w:left="5420"/>
        <w:spacing w:after="0"/>
        <w:tabs>
          <w:tab w:leader="none" w:pos="592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420"/>
        <w:spacing w:after="0"/>
        <w:tabs>
          <w:tab w:leader="none" w:pos="592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940"/>
        <w:spacing w:after="0"/>
        <w:tabs>
          <w:tab w:leader="none" w:pos="6440" w:val="left"/>
        </w:tabs>
        <w:rPr>
          <w:sz w:val="20"/>
          <w:szCs w:val="20"/>
          <w:color w:val="auto"/>
        </w:rPr>
      </w:pPr>
      <w:r>
        <w:rPr>
          <w:rFonts w:ascii="Arial" w:cs="Arial" w:eastAsia="Arial" w:hAnsi="Arial"/>
          <w:sz w:val="18"/>
          <w:szCs w:val="18"/>
          <w:color w:val="auto"/>
        </w:rPr>
        <w:t>By:</w:t>
        <w:tab/>
        <w:t>/s/ Phil Kramer</w:t>
      </w:r>
    </w:p>
    <w:p>
      <w:pPr>
        <w:spacing w:after="0" w:line="23" w:lineRule="exact"/>
        <w:rPr>
          <w:sz w:val="20"/>
          <w:szCs w:val="20"/>
          <w:color w:val="auto"/>
        </w:rPr>
      </w:pPr>
    </w:p>
    <w:tbl>
      <w:tblPr>
        <w:tblLayout w:type="fixed"/>
        <w:tblInd w:w="6460" w:type="dxa"/>
        <w:tblCellMar>
          <w:top w:w="0" w:type="dxa"/>
          <w:left w:w="0" w:type="dxa"/>
          <w:bottom w:w="0" w:type="dxa"/>
          <w:right w:w="0" w:type="dxa"/>
        </w:tblCellMar>
      </w:tblPr>
      <w:tr>
        <w:trPr>
          <w:trHeight w:val="195"/>
        </w:trPr>
        <w:tc>
          <w:tcPr>
            <w:tcW w:w="2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ind w:left="1880"/>
              <w:spacing w:after="0" w:line="195" w:lineRule="exact"/>
              <w:rPr>
                <w:sz w:val="20"/>
                <w:szCs w:val="20"/>
                <w:color w:val="auto"/>
              </w:rPr>
            </w:pPr>
            <w:r>
              <w:rPr>
                <w:rFonts w:ascii="Arial" w:cs="Arial" w:eastAsia="Arial" w:hAnsi="Arial"/>
                <w:sz w:val="18"/>
                <w:szCs w:val="18"/>
                <w:color w:val="auto"/>
              </w:rPr>
              <w:t>Phil</w:t>
            </w:r>
          </w:p>
        </w:tc>
      </w:tr>
      <w:tr>
        <w:trPr>
          <w:trHeight w:val="216"/>
        </w:trPr>
        <w:tc>
          <w:tcPr>
            <w:tcW w:w="2360" w:type="dxa"/>
            <w:vAlign w:val="bottom"/>
          </w:tcPr>
          <w:p>
            <w:pPr>
              <w:spacing w:after="0"/>
              <w:rPr>
                <w:sz w:val="18"/>
                <w:szCs w:val="18"/>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rPr>
              <w:t>Kramer</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Pr>
          <w:p>
            <w:pPr>
              <w:ind w:left="1880"/>
              <w:spacing w:after="0"/>
              <w:rPr>
                <w:sz w:val="20"/>
                <w:szCs w:val="20"/>
                <w:color w:val="auto"/>
              </w:rPr>
            </w:pPr>
            <w:r>
              <w:rPr>
                <w:rFonts w:ascii="Arial" w:cs="Arial" w:eastAsia="Arial" w:hAnsi="Arial"/>
                <w:sz w:val="18"/>
                <w:szCs w:val="18"/>
                <w:color w:val="auto"/>
                <w:w w:val="89"/>
              </w:rPr>
              <w:t>Executive</w:t>
            </w:r>
          </w:p>
        </w:tc>
      </w:tr>
      <w:tr>
        <w:trPr>
          <w:trHeight w:val="216"/>
        </w:trPr>
        <w:tc>
          <w:tcPr>
            <w:tcW w:w="2360" w:type="dxa"/>
            <w:vAlign w:val="bottom"/>
          </w:tcPr>
          <w:p>
            <w:pPr>
              <w:spacing w:after="0"/>
              <w:rPr>
                <w:sz w:val="18"/>
                <w:szCs w:val="18"/>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rPr>
              <w:t>Vice</w:t>
            </w:r>
          </w:p>
        </w:tc>
      </w:tr>
      <w:tr>
        <w:trPr>
          <w:trHeight w:val="216"/>
        </w:trPr>
        <w:tc>
          <w:tcPr>
            <w:tcW w:w="2360" w:type="dxa"/>
            <w:vAlign w:val="bottom"/>
          </w:tcPr>
          <w:p>
            <w:pPr>
              <w:spacing w:after="0"/>
              <w:rPr>
                <w:sz w:val="18"/>
                <w:szCs w:val="18"/>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w w:val="92"/>
              </w:rPr>
              <w:t>President</w:t>
            </w:r>
          </w:p>
        </w:tc>
      </w:tr>
      <w:tr>
        <w:trPr>
          <w:trHeight w:val="216"/>
        </w:trPr>
        <w:tc>
          <w:tcPr>
            <w:tcW w:w="2360" w:type="dxa"/>
            <w:vAlign w:val="bottom"/>
          </w:tcPr>
          <w:p>
            <w:pPr>
              <w:spacing w:after="0"/>
              <w:rPr>
                <w:sz w:val="18"/>
                <w:szCs w:val="18"/>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w w:val="90"/>
              </w:rPr>
              <w:t>and Chief</w:t>
            </w:r>
          </w:p>
        </w:tc>
      </w:tr>
      <w:tr>
        <w:trPr>
          <w:trHeight w:val="216"/>
        </w:trPr>
        <w:tc>
          <w:tcPr>
            <w:tcW w:w="2360" w:type="dxa"/>
            <w:vAlign w:val="bottom"/>
          </w:tcPr>
          <w:p>
            <w:pPr>
              <w:spacing w:after="0"/>
              <w:rPr>
                <w:sz w:val="18"/>
                <w:szCs w:val="18"/>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w w:val="97"/>
              </w:rPr>
              <w:t>Financial</w:t>
            </w:r>
          </w:p>
        </w:tc>
      </w:tr>
      <w:tr>
        <w:trPr>
          <w:trHeight w:val="230"/>
        </w:trPr>
        <w:tc>
          <w:tcPr>
            <w:tcW w:w="2360" w:type="dxa"/>
            <w:vAlign w:val="bottom"/>
          </w:tcPr>
          <w:p>
            <w:pPr>
              <w:spacing w:after="0"/>
              <w:rPr>
                <w:sz w:val="20"/>
                <w:szCs w:val="20"/>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RANCHO PIPELINE HOLDINGS, L.P.</w:t>
      </w:r>
    </w:p>
    <w:p>
      <w:pPr>
        <w:spacing w:after="0" w:line="225" w:lineRule="exact"/>
        <w:rPr>
          <w:sz w:val="20"/>
          <w:szCs w:val="20"/>
          <w:color w:val="auto"/>
        </w:rPr>
      </w:pPr>
    </w:p>
    <w:p>
      <w:pPr>
        <w:ind w:left="5420"/>
        <w:spacing w:after="0"/>
        <w:tabs>
          <w:tab w:leader="none" w:pos="5920" w:val="left"/>
        </w:tabs>
        <w:rPr>
          <w:sz w:val="20"/>
          <w:szCs w:val="20"/>
          <w:color w:val="auto"/>
        </w:rPr>
      </w:pPr>
      <w:r>
        <w:rPr>
          <w:rFonts w:ascii="Arial" w:cs="Arial" w:eastAsia="Arial" w:hAnsi="Arial"/>
          <w:sz w:val="18"/>
          <w:szCs w:val="18"/>
          <w:color w:val="auto"/>
        </w:rPr>
        <w:t>By:</w:t>
        <w:tab/>
        <w:t>RANCHO HOLDINGS GP LLC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420"/>
        <w:spacing w:after="0"/>
        <w:tabs>
          <w:tab w:leader="none" w:pos="592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420"/>
        <w:spacing w:after="0"/>
        <w:tabs>
          <w:tab w:leader="none" w:pos="592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940"/>
        <w:spacing w:after="0"/>
        <w:tabs>
          <w:tab w:leader="none" w:pos="6440" w:val="left"/>
        </w:tabs>
        <w:rPr>
          <w:sz w:val="20"/>
          <w:szCs w:val="20"/>
          <w:color w:val="auto"/>
        </w:rPr>
      </w:pPr>
      <w:r>
        <w:rPr>
          <w:rFonts w:ascii="Arial" w:cs="Arial" w:eastAsia="Arial" w:hAnsi="Arial"/>
          <w:sz w:val="18"/>
          <w:szCs w:val="18"/>
          <w:color w:val="auto"/>
        </w:rPr>
        <w:t>By:</w:t>
        <w:tab/>
        <w:t>/s/ Phil Kramer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Name:</w:t>
            </w:r>
          </w:p>
        </w:tc>
        <w:tc>
          <w:tcPr>
            <w:tcW w:w="1160" w:type="dxa"/>
            <w:vAlign w:val="bottom"/>
            <w:tcBorders>
              <w:top w:val="single" w:sz="8" w:color="auto"/>
            </w:tcBorders>
          </w:tcPr>
          <w:p>
            <w:pPr>
              <w:ind w:left="440"/>
              <w:spacing w:after="0" w:line="195" w:lineRule="exact"/>
              <w:rPr>
                <w:sz w:val="20"/>
                <w:szCs w:val="20"/>
                <w:color w:val="auto"/>
              </w:rPr>
            </w:pPr>
            <w:r>
              <w:rPr>
                <w:rFonts w:ascii="Arial" w:cs="Arial" w:eastAsia="Arial" w:hAnsi="Arial"/>
                <w:sz w:val="18"/>
                <w:szCs w:val="18"/>
                <w:color w:val="auto"/>
              </w:rPr>
              <w:t>Phil</w:t>
            </w:r>
          </w:p>
        </w:tc>
        <w:tc>
          <w:tcPr>
            <w:tcW w:w="2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Kramer</w:t>
            </w: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w w:val="89"/>
              </w:rPr>
              <w:t>Executive</w:t>
            </w: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Vice</w:t>
            </w: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w w:val="92"/>
              </w:rPr>
              <w:t>President</w:t>
            </w: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w w:val="90"/>
              </w:rPr>
              <w:t>and Chief</w:t>
            </w: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w w:val="97"/>
              </w:rPr>
              <w:t>Financial</w:t>
            </w:r>
          </w:p>
        </w:tc>
        <w:tc>
          <w:tcPr>
            <w:tcW w:w="20" w:type="dxa"/>
            <w:vAlign w:val="bottom"/>
          </w:tcPr>
          <w:p>
            <w:pPr>
              <w:spacing w:after="0"/>
              <w:rPr>
                <w:sz w:val="18"/>
                <w:szCs w:val="18"/>
                <w:color w:val="auto"/>
              </w:rPr>
            </w:pPr>
          </w:p>
        </w:tc>
      </w:tr>
      <w:tr>
        <w:trPr>
          <w:trHeight w:val="230"/>
        </w:trPr>
        <w:tc>
          <w:tcPr>
            <w:tcW w:w="5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r>
      <w:tr>
        <w:trPr>
          <w:trHeight w:val="432"/>
        </w:trPr>
        <w:tc>
          <w:tcPr>
            <w:tcW w:w="10260" w:type="dxa"/>
            <w:vAlign w:val="bottom"/>
            <w:gridSpan w:val="5"/>
          </w:tcPr>
          <w:p>
            <w:pPr>
              <w:ind w:left="5420"/>
              <w:spacing w:after="0"/>
              <w:rPr>
                <w:sz w:val="20"/>
                <w:szCs w:val="20"/>
                <w:color w:val="auto"/>
              </w:rPr>
            </w:pPr>
            <w:r>
              <w:rPr>
                <w:rFonts w:ascii="Arial" w:cs="Arial" w:eastAsia="Arial" w:hAnsi="Arial"/>
                <w:sz w:val="18"/>
                <w:szCs w:val="18"/>
                <w:color w:val="auto"/>
              </w:rPr>
              <w:t>PLAINS LPG SERVICES GP LLC</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900" w:type="dxa"/>
            <w:vAlign w:val="bottom"/>
          </w:tcPr>
          <w:p>
            <w:pPr>
              <w:ind w:left="5420"/>
              <w:spacing w:after="0"/>
              <w:rPr>
                <w:sz w:val="20"/>
                <w:szCs w:val="20"/>
                <w:color w:val="auto"/>
              </w:rPr>
            </w:pPr>
            <w:r>
              <w:rPr>
                <w:rFonts w:ascii="Arial" w:cs="Arial" w:eastAsia="Arial" w:hAnsi="Arial"/>
                <w:sz w:val="18"/>
                <w:szCs w:val="18"/>
                <w:color w:val="auto"/>
              </w:rPr>
              <w:t>By:</w:t>
            </w:r>
          </w:p>
        </w:tc>
        <w:tc>
          <w:tcPr>
            <w:tcW w:w="4360" w:type="dxa"/>
            <w:vAlign w:val="bottom"/>
            <w:gridSpan w:val="4"/>
          </w:tcPr>
          <w:p>
            <w:pPr>
              <w:ind w:left="40"/>
              <w:spacing w:after="0"/>
              <w:rPr>
                <w:sz w:val="20"/>
                <w:szCs w:val="20"/>
                <w:color w:val="auto"/>
              </w:rPr>
            </w:pPr>
            <w:r>
              <w:rPr>
                <w:rFonts w:ascii="Arial" w:cs="Arial" w:eastAsia="Arial" w:hAnsi="Arial"/>
                <w:sz w:val="18"/>
                <w:szCs w:val="18"/>
                <w:color w:val="auto"/>
              </w:rPr>
              <w:t>Plains Marketing, L.P., its Sole Member</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5900" w:type="dxa"/>
            <w:vAlign w:val="bottom"/>
          </w:tcPr>
          <w:p>
            <w:pPr>
              <w:ind w:left="5420"/>
              <w:spacing w:after="0"/>
              <w:rPr>
                <w:sz w:val="20"/>
                <w:szCs w:val="20"/>
                <w:color w:val="auto"/>
              </w:rPr>
            </w:pPr>
            <w:r>
              <w:rPr>
                <w:rFonts w:ascii="Arial" w:cs="Arial" w:eastAsia="Arial" w:hAnsi="Arial"/>
                <w:sz w:val="18"/>
                <w:szCs w:val="18"/>
                <w:color w:val="auto"/>
              </w:rPr>
              <w:t>By:</w:t>
            </w:r>
          </w:p>
        </w:tc>
        <w:tc>
          <w:tcPr>
            <w:tcW w:w="4360" w:type="dxa"/>
            <w:vAlign w:val="bottom"/>
            <w:gridSpan w:val="4"/>
          </w:tcPr>
          <w:p>
            <w:pPr>
              <w:ind w:left="40"/>
              <w:spacing w:after="0"/>
              <w:rPr>
                <w:sz w:val="20"/>
                <w:szCs w:val="20"/>
                <w:color w:val="auto"/>
              </w:rPr>
            </w:pPr>
            <w:r>
              <w:rPr>
                <w:rFonts w:ascii="Arial" w:cs="Arial" w:eastAsia="Arial" w:hAnsi="Arial"/>
                <w:sz w:val="18"/>
                <w:szCs w:val="18"/>
                <w:color w:val="auto"/>
              </w:rPr>
              <w:t>Plains Marketing GP Inc., its General</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90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Partner</w:t>
            </w:r>
          </w:p>
        </w:tc>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590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 Kramer</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tcPr>
          <w:p>
            <w:pPr>
              <w:spacing w:after="0" w:line="195" w:lineRule="exact"/>
              <w:rPr>
                <w:sz w:val="20"/>
                <w:szCs w:val="20"/>
                <w:color w:val="auto"/>
              </w:rPr>
            </w:pPr>
            <w:r>
              <w:rPr>
                <w:rFonts w:ascii="Arial" w:cs="Arial" w:eastAsia="Arial" w:hAnsi="Arial"/>
                <w:sz w:val="18"/>
                <w:szCs w:val="18"/>
                <w:color w:val="auto"/>
              </w:rPr>
              <w:t>Phil Kramer</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Executive Vice President and Chief</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Financial Officer</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900" w:type="dxa"/>
            <w:vAlign w:val="bottom"/>
          </w:tcPr>
          <w:p>
            <w:pPr>
              <w:ind w:left="562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0260" w:type="dxa"/>
            <w:vAlign w:val="bottom"/>
            <w:tcBorders>
              <w:bottom w:val="single" w:sz="8" w:color="808080"/>
            </w:tcBorders>
            <w:gridSpan w:val="5"/>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80"/>
        </w:trPr>
        <w:tc>
          <w:tcPr>
            <w:tcW w:w="10260" w:type="dxa"/>
            <w:vAlign w:val="bottom"/>
            <w:gridSpan w:val="5"/>
          </w:tcPr>
          <w:p>
            <w:pPr>
              <w:ind w:left="5620"/>
              <w:spacing w:after="0"/>
              <w:rPr>
                <w:sz w:val="20"/>
                <w:szCs w:val="20"/>
                <w:color w:val="auto"/>
              </w:rPr>
            </w:pPr>
            <w:r>
              <w:rPr>
                <w:rFonts w:ascii="Arial" w:cs="Arial" w:eastAsia="Arial" w:hAnsi="Arial"/>
                <w:sz w:val="18"/>
                <w:szCs w:val="18"/>
                <w:color w:val="auto"/>
              </w:rPr>
              <w:t>PLAINS LPG SERVICES, L.P.</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5900" w:type="dxa"/>
            <w:vAlign w:val="bottom"/>
          </w:tcPr>
          <w:p>
            <w:pPr>
              <w:ind w:left="5620"/>
              <w:spacing w:after="0"/>
              <w:rPr>
                <w:sz w:val="20"/>
                <w:szCs w:val="20"/>
                <w:color w:val="auto"/>
              </w:rPr>
            </w:pPr>
            <w:r>
              <w:rPr>
                <w:rFonts w:ascii="Arial" w:cs="Arial" w:eastAsia="Arial" w:hAnsi="Arial"/>
                <w:sz w:val="18"/>
                <w:szCs w:val="18"/>
                <w:color w:val="auto"/>
                <w:w w:val="99"/>
              </w:rPr>
              <w:t>By:</w:t>
            </w:r>
          </w:p>
        </w:tc>
        <w:tc>
          <w:tcPr>
            <w:tcW w:w="4360" w:type="dxa"/>
            <w:vAlign w:val="bottom"/>
            <w:gridSpan w:val="4"/>
          </w:tcPr>
          <w:p>
            <w:pPr>
              <w:ind w:left="260"/>
              <w:spacing w:after="0"/>
              <w:rPr>
                <w:sz w:val="20"/>
                <w:szCs w:val="20"/>
                <w:color w:val="auto"/>
              </w:rPr>
            </w:pPr>
            <w:r>
              <w:rPr>
                <w:rFonts w:ascii="Arial" w:cs="Arial" w:eastAsia="Arial" w:hAnsi="Arial"/>
                <w:sz w:val="18"/>
                <w:szCs w:val="18"/>
                <w:color w:val="auto"/>
              </w:rPr>
              <w:t>Plains LPG Services GP LLC, its General</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90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Partner</w:t>
            </w:r>
          </w:p>
        </w:tc>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900" w:type="dxa"/>
            <w:vAlign w:val="bottom"/>
          </w:tcPr>
          <w:p>
            <w:pPr>
              <w:ind w:left="5620"/>
              <w:spacing w:after="0"/>
              <w:rPr>
                <w:sz w:val="20"/>
                <w:szCs w:val="20"/>
                <w:color w:val="auto"/>
              </w:rPr>
            </w:pPr>
            <w:r>
              <w:rPr>
                <w:rFonts w:ascii="Arial" w:cs="Arial" w:eastAsia="Arial" w:hAnsi="Arial"/>
                <w:sz w:val="18"/>
                <w:szCs w:val="18"/>
                <w:color w:val="auto"/>
                <w:w w:val="99"/>
              </w:rPr>
              <w:t>By:</w:t>
            </w:r>
          </w:p>
        </w:tc>
        <w:tc>
          <w:tcPr>
            <w:tcW w:w="4360" w:type="dxa"/>
            <w:vAlign w:val="bottom"/>
            <w:gridSpan w:val="4"/>
          </w:tcPr>
          <w:p>
            <w:pPr>
              <w:ind w:left="260"/>
              <w:spacing w:after="0"/>
              <w:rPr>
                <w:sz w:val="20"/>
                <w:szCs w:val="20"/>
                <w:color w:val="auto"/>
              </w:rPr>
            </w:pPr>
            <w:r>
              <w:rPr>
                <w:rFonts w:ascii="Arial" w:cs="Arial" w:eastAsia="Arial" w:hAnsi="Arial"/>
                <w:sz w:val="18"/>
                <w:szCs w:val="18"/>
                <w:color w:val="auto"/>
              </w:rPr>
              <w:t>Plains Marketing, L.P., its Sole Member</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5900" w:type="dxa"/>
            <w:vAlign w:val="bottom"/>
          </w:tcPr>
          <w:p>
            <w:pPr>
              <w:ind w:left="5620"/>
              <w:spacing w:after="0"/>
              <w:rPr>
                <w:sz w:val="20"/>
                <w:szCs w:val="20"/>
                <w:color w:val="auto"/>
              </w:rPr>
            </w:pPr>
            <w:r>
              <w:rPr>
                <w:rFonts w:ascii="Arial" w:cs="Arial" w:eastAsia="Arial" w:hAnsi="Arial"/>
                <w:sz w:val="18"/>
                <w:szCs w:val="18"/>
                <w:color w:val="auto"/>
                <w:w w:val="99"/>
              </w:rPr>
              <w:t>By:</w:t>
            </w:r>
          </w:p>
        </w:tc>
        <w:tc>
          <w:tcPr>
            <w:tcW w:w="4360" w:type="dxa"/>
            <w:vAlign w:val="bottom"/>
            <w:gridSpan w:val="4"/>
          </w:tcPr>
          <w:p>
            <w:pPr>
              <w:ind w:left="260"/>
              <w:spacing w:after="0"/>
              <w:rPr>
                <w:sz w:val="20"/>
                <w:szCs w:val="20"/>
                <w:color w:val="auto"/>
              </w:rPr>
            </w:pPr>
            <w:r>
              <w:rPr>
                <w:rFonts w:ascii="Arial" w:cs="Arial" w:eastAsia="Arial" w:hAnsi="Arial"/>
                <w:sz w:val="18"/>
                <w:szCs w:val="18"/>
                <w:color w:val="auto"/>
              </w:rPr>
              <w:t>Plains Marketing GP Inc., its General</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90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Partner</w:t>
            </w:r>
          </w:p>
        </w:tc>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5900" w:type="dxa"/>
            <w:vAlign w:val="bottom"/>
          </w:tcPr>
          <w:p>
            <w:pPr>
              <w:spacing w:after="0"/>
              <w:rPr>
                <w:sz w:val="24"/>
                <w:szCs w:val="24"/>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2"/>
          </w:tcPr>
          <w:p>
            <w:pPr>
              <w:spacing w:after="0" w:line="195" w:lineRule="exact"/>
              <w:rPr>
                <w:sz w:val="20"/>
                <w:szCs w:val="20"/>
                <w:color w:val="auto"/>
              </w:rPr>
            </w:pPr>
            <w:r>
              <w:rPr>
                <w:rFonts w:ascii="Arial" w:cs="Arial" w:eastAsia="Arial" w:hAnsi="Arial"/>
                <w:sz w:val="18"/>
                <w:szCs w:val="18"/>
                <w:color w:val="auto"/>
              </w:rPr>
              <w:t>Phil Kramer</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Executive Vice President and Chief</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-2439035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-2439035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LONE STAR TRUCKING, LLC</w:t>
      </w:r>
    </w:p>
    <w:p>
      <w:pPr>
        <w:sectPr>
          <w:pgSz w:w="11900" w:h="16838" w:orient="portrait"/>
          <w:cols w:equalWidth="0" w:num="1">
            <w:col w:w="11440"/>
          </w:cols>
          <w:pgMar w:left="240" w:top="341" w:right="21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6020" w:type="dxa"/>
            <w:vAlign w:val="bottom"/>
          </w:tcPr>
          <w:p>
            <w:pPr>
              <w:ind w:left="5620"/>
              <w:spacing w:after="0"/>
              <w:rPr>
                <w:sz w:val="20"/>
                <w:szCs w:val="20"/>
                <w:color w:val="auto"/>
              </w:rPr>
            </w:pPr>
            <w:r>
              <w:rPr>
                <w:rFonts w:ascii="Arial" w:cs="Arial" w:eastAsia="Arial" w:hAnsi="Arial"/>
                <w:sz w:val="18"/>
                <w:szCs w:val="18"/>
                <w:color w:val="auto"/>
              </w:rPr>
              <w:t>By:</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Plains LPG Services, L.P., its Sole Member</w:t>
            </w:r>
          </w:p>
        </w:tc>
        <w:tc>
          <w:tcPr>
            <w:tcW w:w="20" w:type="dxa"/>
            <w:vAlign w:val="bottom"/>
          </w:tcPr>
          <w:p>
            <w:pPr>
              <w:spacing w:after="0"/>
              <w:rPr>
                <w:sz w:val="20"/>
                <w:szCs w:val="20"/>
                <w:color w:val="auto"/>
              </w:rPr>
            </w:pPr>
          </w:p>
        </w:tc>
      </w:tr>
      <w:tr>
        <w:trPr>
          <w:trHeight w:val="418"/>
        </w:trPr>
        <w:tc>
          <w:tcPr>
            <w:tcW w:w="6020" w:type="dxa"/>
            <w:vAlign w:val="bottom"/>
          </w:tcPr>
          <w:p>
            <w:pPr>
              <w:ind w:left="5620"/>
              <w:spacing w:after="0"/>
              <w:rPr>
                <w:sz w:val="20"/>
                <w:szCs w:val="20"/>
                <w:color w:val="auto"/>
              </w:rPr>
            </w:pPr>
            <w:r>
              <w:rPr>
                <w:rFonts w:ascii="Arial" w:cs="Arial" w:eastAsia="Arial" w:hAnsi="Arial"/>
                <w:sz w:val="18"/>
                <w:szCs w:val="18"/>
                <w:color w:val="auto"/>
              </w:rPr>
              <w:t>By:</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Plains LPG Services GP LLC, its General</w:t>
            </w:r>
          </w:p>
        </w:tc>
        <w:tc>
          <w:tcPr>
            <w:tcW w:w="20" w:type="dxa"/>
            <w:vAlign w:val="bottom"/>
          </w:tcPr>
          <w:p>
            <w:pPr>
              <w:spacing w:after="0"/>
              <w:rPr>
                <w:sz w:val="24"/>
                <w:szCs w:val="24"/>
                <w:color w:val="auto"/>
              </w:rPr>
            </w:pPr>
          </w:p>
        </w:tc>
      </w:tr>
      <w:tr>
        <w:trPr>
          <w:trHeight w:val="230"/>
        </w:trPr>
        <w:tc>
          <w:tcPr>
            <w:tcW w:w="60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Partner</w:t>
            </w:r>
          </w:p>
        </w:tc>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020" w:type="dxa"/>
            <w:vAlign w:val="bottom"/>
          </w:tcPr>
          <w:p>
            <w:pPr>
              <w:ind w:left="5620"/>
              <w:spacing w:after="0"/>
              <w:rPr>
                <w:sz w:val="20"/>
                <w:szCs w:val="20"/>
                <w:color w:val="auto"/>
              </w:rPr>
            </w:pPr>
            <w:r>
              <w:rPr>
                <w:rFonts w:ascii="Arial" w:cs="Arial" w:eastAsia="Arial" w:hAnsi="Arial"/>
                <w:sz w:val="18"/>
                <w:szCs w:val="18"/>
                <w:color w:val="auto"/>
              </w:rPr>
              <w:t>By:</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Plains Marketing, L.P., its Sole Member</w:t>
            </w:r>
          </w:p>
        </w:tc>
        <w:tc>
          <w:tcPr>
            <w:tcW w:w="20" w:type="dxa"/>
            <w:vAlign w:val="bottom"/>
          </w:tcPr>
          <w:p>
            <w:pPr>
              <w:spacing w:after="0"/>
              <w:rPr>
                <w:sz w:val="24"/>
                <w:szCs w:val="24"/>
                <w:color w:val="auto"/>
              </w:rPr>
            </w:pPr>
          </w:p>
        </w:tc>
      </w:tr>
      <w:tr>
        <w:trPr>
          <w:trHeight w:val="418"/>
        </w:trPr>
        <w:tc>
          <w:tcPr>
            <w:tcW w:w="6020" w:type="dxa"/>
            <w:vAlign w:val="bottom"/>
          </w:tcPr>
          <w:p>
            <w:pPr>
              <w:ind w:left="5620"/>
              <w:spacing w:after="0"/>
              <w:rPr>
                <w:sz w:val="20"/>
                <w:szCs w:val="20"/>
                <w:color w:val="auto"/>
              </w:rPr>
            </w:pPr>
            <w:r>
              <w:rPr>
                <w:rFonts w:ascii="Arial" w:cs="Arial" w:eastAsia="Arial" w:hAnsi="Arial"/>
                <w:sz w:val="18"/>
                <w:szCs w:val="18"/>
                <w:color w:val="auto"/>
              </w:rPr>
              <w:t>By:</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Plains Marketing GP Inc., its General</w:t>
            </w:r>
          </w:p>
        </w:tc>
        <w:tc>
          <w:tcPr>
            <w:tcW w:w="20" w:type="dxa"/>
            <w:vAlign w:val="bottom"/>
          </w:tcPr>
          <w:p>
            <w:pPr>
              <w:spacing w:after="0"/>
              <w:rPr>
                <w:sz w:val="24"/>
                <w:szCs w:val="24"/>
                <w:color w:val="auto"/>
              </w:rPr>
            </w:pPr>
          </w:p>
        </w:tc>
      </w:tr>
      <w:tr>
        <w:trPr>
          <w:trHeight w:val="230"/>
        </w:trPr>
        <w:tc>
          <w:tcPr>
            <w:tcW w:w="60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Partner</w:t>
            </w:r>
          </w:p>
        </w:tc>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602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 Kramer</w:t>
            </w:r>
          </w:p>
        </w:tc>
        <w:tc>
          <w:tcPr>
            <w:tcW w:w="20" w:type="dxa"/>
            <w:vAlign w:val="bottom"/>
          </w:tcPr>
          <w:p>
            <w:pPr>
              <w:spacing w:after="0"/>
              <w:rPr>
                <w:sz w:val="24"/>
                <w:szCs w:val="24"/>
                <w:color w:val="auto"/>
              </w:rPr>
            </w:pPr>
          </w:p>
        </w:tc>
      </w:tr>
      <w:tr>
        <w:trPr>
          <w:trHeight w:val="195"/>
        </w:trPr>
        <w:tc>
          <w:tcPr>
            <w:tcW w:w="6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Phil Kramer</w:t>
            </w:r>
          </w:p>
        </w:tc>
        <w:tc>
          <w:tcPr>
            <w:tcW w:w="2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2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6020" w:type="dxa"/>
            <w:vAlign w:val="bottom"/>
          </w:tcPr>
          <w:p>
            <w:pPr>
              <w:ind w:left="5620"/>
              <w:spacing w:after="0"/>
              <w:rPr>
                <w:sz w:val="20"/>
                <w:szCs w:val="20"/>
                <w:color w:val="auto"/>
              </w:rPr>
            </w:pPr>
            <w:r>
              <w:rPr>
                <w:rFonts w:ascii="Arial" w:cs="Arial" w:eastAsia="Arial" w:hAnsi="Arial"/>
                <w:sz w:val="18"/>
                <w:szCs w:val="18"/>
                <w:color w:val="auto"/>
              </w:rPr>
              <w:t>23</w:t>
            </w:r>
          </w:p>
        </w:tc>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60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FORTIS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AMEGY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COMMERZBANK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NOR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MITSUBISHI UFJ SECURITIES INTERNATIONAL PLC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078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0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Caxey</w:t>
            </w:r>
          </w:p>
        </w:tc>
      </w:tr>
      <w:tr>
        <w:trPr>
          <w:trHeight w:val="195"/>
        </w:trPr>
        <w:tc>
          <w:tcPr>
            <w:tcW w:w="640" w:type="dxa"/>
            <w:vAlign w:val="bottom"/>
          </w:tcPr>
          <w:p>
            <w:pPr>
              <w:spacing w:after="0"/>
              <w:rPr>
                <w:sz w:val="16"/>
                <w:szCs w:val="16"/>
                <w:color w:val="auto"/>
              </w:rPr>
            </w:pPr>
          </w:p>
        </w:tc>
        <w:tc>
          <w:tcPr>
            <w:tcW w:w="10780" w:type="dxa"/>
            <w:vAlign w:val="bottom"/>
          </w:tcPr>
          <w:p>
            <w:pPr>
              <w:spacing w:after="0" w:line="195" w:lineRule="exact"/>
              <w:rPr>
                <w:sz w:val="20"/>
                <w:szCs w:val="20"/>
                <w:color w:val="auto"/>
              </w:rPr>
            </w:pPr>
            <w:r>
              <w:rPr>
                <w:rFonts w:ascii="Arial" w:cs="Arial" w:eastAsia="Arial" w:hAnsi="Arial"/>
                <w:sz w:val="18"/>
                <w:szCs w:val="18"/>
                <w:color w:val="auto"/>
              </w:rPr>
              <w:t>Name: Michael Caxey</w:t>
            </w:r>
          </w:p>
        </w:tc>
      </w:tr>
      <w:tr>
        <w:trPr>
          <w:trHeight w:val="230"/>
        </w:trPr>
        <w:tc>
          <w:tcPr>
            <w:tcW w:w="640" w:type="dxa"/>
            <w:vAlign w:val="bottom"/>
          </w:tcPr>
          <w:p>
            <w:pPr>
              <w:spacing w:after="0"/>
              <w:rPr>
                <w:sz w:val="20"/>
                <w:szCs w:val="20"/>
                <w:color w:val="auto"/>
              </w:rPr>
            </w:pPr>
          </w:p>
        </w:tc>
        <w:tc>
          <w:tcPr>
            <w:tcW w:w="1078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0780" w:type="dxa"/>
            <w:vAlign w:val="bottom"/>
          </w:tcPr>
          <w:p>
            <w:pPr>
              <w:spacing w:after="0"/>
              <w:rPr>
                <w:sz w:val="20"/>
                <w:szCs w:val="20"/>
                <w:color w:val="auto"/>
              </w:rPr>
            </w:pPr>
            <w:r>
              <w:rPr>
                <w:rFonts w:ascii="Arial" w:cs="Arial" w:eastAsia="Arial" w:hAnsi="Arial"/>
                <w:sz w:val="18"/>
                <w:szCs w:val="18"/>
                <w:color w:val="auto"/>
              </w:rPr>
              <w:t>UBS SECURITIES LLC</w:t>
            </w: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0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Whitney</w:t>
            </w:r>
          </w:p>
        </w:tc>
      </w:tr>
      <w:tr>
        <w:trPr>
          <w:trHeight w:val="195"/>
        </w:trPr>
        <w:tc>
          <w:tcPr>
            <w:tcW w:w="640" w:type="dxa"/>
            <w:vAlign w:val="bottom"/>
          </w:tcPr>
          <w:p>
            <w:pPr>
              <w:spacing w:after="0"/>
              <w:rPr>
                <w:sz w:val="16"/>
                <w:szCs w:val="16"/>
                <w:color w:val="auto"/>
              </w:rPr>
            </w:pPr>
          </w:p>
        </w:tc>
        <w:tc>
          <w:tcPr>
            <w:tcW w:w="10780" w:type="dxa"/>
            <w:vAlign w:val="bottom"/>
          </w:tcPr>
          <w:p>
            <w:pPr>
              <w:spacing w:after="0" w:line="195" w:lineRule="exact"/>
              <w:rPr>
                <w:sz w:val="20"/>
                <w:szCs w:val="20"/>
                <w:color w:val="auto"/>
              </w:rPr>
            </w:pPr>
            <w:r>
              <w:rPr>
                <w:rFonts w:ascii="Arial" w:cs="Arial" w:eastAsia="Arial" w:hAnsi="Arial"/>
                <w:sz w:val="18"/>
                <w:szCs w:val="18"/>
                <w:color w:val="auto"/>
              </w:rPr>
              <w:t>Name: Scott Whitney</w:t>
            </w:r>
          </w:p>
        </w:tc>
      </w:tr>
      <w:tr>
        <w:trPr>
          <w:trHeight w:val="230"/>
        </w:trPr>
        <w:tc>
          <w:tcPr>
            <w:tcW w:w="640" w:type="dxa"/>
            <w:vAlign w:val="bottom"/>
          </w:tcPr>
          <w:p>
            <w:pPr>
              <w:spacing w:after="0"/>
              <w:rPr>
                <w:sz w:val="20"/>
                <w:szCs w:val="20"/>
                <w:color w:val="auto"/>
              </w:rPr>
            </w:pPr>
          </w:p>
        </w:tc>
        <w:tc>
          <w:tcPr>
            <w:tcW w:w="10780" w:type="dxa"/>
            <w:vAlign w:val="bottom"/>
          </w:tcPr>
          <w:p>
            <w:pPr>
              <w:spacing w:after="0"/>
              <w:rPr>
                <w:sz w:val="20"/>
                <w:szCs w:val="20"/>
                <w:color w:val="auto"/>
              </w:rPr>
            </w:pPr>
            <w:r>
              <w:rPr>
                <w:rFonts w:ascii="Arial" w:cs="Arial" w:eastAsia="Arial" w:hAnsi="Arial"/>
                <w:sz w:val="18"/>
                <w:szCs w:val="18"/>
                <w:color w:val="auto"/>
              </w:rPr>
              <w:t>Title: Executive Director</w:t>
            </w: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0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Donovan</w:t>
            </w:r>
          </w:p>
        </w:tc>
      </w:tr>
      <w:tr>
        <w:trPr>
          <w:trHeight w:val="195"/>
        </w:trPr>
        <w:tc>
          <w:tcPr>
            <w:tcW w:w="640" w:type="dxa"/>
            <w:vAlign w:val="bottom"/>
          </w:tcPr>
          <w:p>
            <w:pPr>
              <w:spacing w:after="0"/>
              <w:rPr>
                <w:sz w:val="16"/>
                <w:szCs w:val="16"/>
                <w:color w:val="auto"/>
              </w:rPr>
            </w:pPr>
          </w:p>
        </w:tc>
        <w:tc>
          <w:tcPr>
            <w:tcW w:w="10780" w:type="dxa"/>
            <w:vAlign w:val="bottom"/>
          </w:tcPr>
          <w:p>
            <w:pPr>
              <w:spacing w:after="0" w:line="195" w:lineRule="exact"/>
              <w:rPr>
                <w:sz w:val="20"/>
                <w:szCs w:val="20"/>
                <w:color w:val="auto"/>
              </w:rPr>
            </w:pPr>
            <w:r>
              <w:rPr>
                <w:rFonts w:ascii="Arial" w:cs="Arial" w:eastAsia="Arial" w:hAnsi="Arial"/>
                <w:sz w:val="18"/>
                <w:szCs w:val="18"/>
                <w:color w:val="auto"/>
              </w:rPr>
              <w:t>Name: Ryan Donovan</w:t>
            </w:r>
          </w:p>
        </w:tc>
      </w:tr>
      <w:tr>
        <w:trPr>
          <w:trHeight w:val="230"/>
        </w:trPr>
        <w:tc>
          <w:tcPr>
            <w:tcW w:w="640" w:type="dxa"/>
            <w:vAlign w:val="bottom"/>
          </w:tcPr>
          <w:p>
            <w:pPr>
              <w:spacing w:after="0"/>
              <w:rPr>
                <w:sz w:val="20"/>
                <w:szCs w:val="20"/>
                <w:color w:val="auto"/>
              </w:rPr>
            </w:pPr>
          </w:p>
        </w:tc>
        <w:tc>
          <w:tcPr>
            <w:tcW w:w="1078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GP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Canada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PMC (Nova Scotia) Company</w:t>
      </w:r>
    </w:p>
    <w:p>
      <w:pPr>
        <w:sectPr>
          <w:pgSz w:w="11900" w:h="16838" w:orient="portrait"/>
          <w:cols w:equalWidth="0" w:num="1">
            <w:col w:w="11440"/>
          </w:cols>
          <w:pgMar w:left="240" w:top="125" w:right="219" w:bottom="5"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Plains Marketing Canada,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Basin Holdings GP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Basin Pipeline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Rancho Holdings GP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Rancho Pipeline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GP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Lone Star Trucking,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Fortis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Amegy Bank National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Commerzbank Capital Markets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DnB NOR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Mitsubishi UFJ Securities International plc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Each Broker-Dealer that receives New Securities for its own account pursuant to the Exchange Offer must acknowledge that it will deliver a prospectus in connection with any resale of such New Securities. The Letter of Transmittal states that by so acknowledging and by delivering a prospectus, a Broker-Dealer will not be deemed to admit that it is an “underwriter” within the meaning of the Act. This Prospectus, as it may be amended or supplemented from time to time, may be used by a Broker-Dealer in connection with resales of New Securities received in exchange for Securities where such Securities were acquired by such Broker-Dealer as a result of market-making activities or other trading activities. The Issuers and the Guarantors have agreed that, starting on the Expiration Date (as defined herein) and ending on the close of business one year after the Expiration Date, they will make this Prospectus available to any Broker-Dealer for use in connection with any such resale.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Each Broker-Dealer that receives New Securities for its own account in exchange for Securities, where such Securities were acquired by such Broker-Dealer as a result of market-making activities or other trading activities, must acknowledge that it will deliver a prospectus in connection with any resale of such New Securities. See “Plan of Distribution.”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437"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Each Broker-Dealer that receives New Securities for its own account pursuant to the Exchange Offer must acknowledge that it will deliver a prospectus in connection with any resale of such New Securities. This Prospectus, as it may be amended or supplemented from time to time, may be used by a Broker-Dealer in connection with resales of New Securities received in exchange for Securities where such Securities were acquired as a result of market-making activities or other trading activities. The Issuers and the Guarantors have agreed that, starting on the Expiration Date and ending on the close of business one year after the Expiration Date, they will make this Prospectus, as amended or supplemented, available to any Broker-Dealer for use in</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connection with any such resale. In addition, until , 200 [90 days] after commencement of the offering, all dealers effecting transactions in the New Securities may be required to deliver a prospectus.</w:t>
      </w:r>
    </w:p>
    <w:p>
      <w:pPr>
        <w:spacing w:after="0" w:line="184"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The Issuers and the Guarantors will not receive any proceeds from any sale of New Securities by Brokers-Dealers. New Securities received by Broker-Dealers for their own account pursuant to the Exchange Offer may be sold from time to time in one or more transactions in the over-the-counter market, in negotiated transactions, through the writing of options on the New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Securities. Any Broker-Dealer that resells New Securities that were received by it for its own account pursuant to the Exchange Offer and any broker or dealer that participates in a distribution of such New Securities may be deemed to be an “underwriter” within the meaning of the Act and any profit of any such resale of New Securities and any commissions or concessions received by any such Persons may be deemed to be underwriting compensation under the Act. The Letter of Transmittal states that by acknowledging that it will deliver and by delivering a prospectus, a Broker-Dealer will not be deemed to admit that it is an “underwriter” within the meaning of the Act.</w:t>
      </w:r>
    </w:p>
    <w:p>
      <w:pPr>
        <w:spacing w:after="0" w:line="178"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For a period of one year after the Expiration Date, the Issuers and the Guarantors will promptly send additional copies of this Prospectus and any amendment or supplement to this Prospectus to any Broker-Dealer that requests such documents in the Letter of Transmittal. The Issuers and the Guarantors have agreed to pay all expenses incident to the Exchange Offer (including the reasonable expenses of one counsel for the holders of the Securities) other than commissions or concessions of any brokers or dealers and will indemnify the holders of the Securities (including any Broker-Dealers) against certain liabilities, including liabilities under the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applicable, add information required by Regulation S-K Items 507 and/or 508.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Rider A</w:t>
      </w:r>
    </w:p>
    <w:p>
      <w:pPr>
        <w:spacing w:after="0" w:line="225" w:lineRule="exact"/>
        <w:rPr>
          <w:sz w:val="20"/>
          <w:szCs w:val="20"/>
          <w:color w:val="auto"/>
        </w:rPr>
      </w:pPr>
    </w:p>
    <w:p>
      <w:pPr>
        <w:ind w:left="1300" w:right="320"/>
        <w:spacing w:after="0" w:line="277" w:lineRule="auto"/>
        <w:rPr>
          <w:sz w:val="20"/>
          <w:szCs w:val="20"/>
          <w:color w:val="auto"/>
        </w:rPr>
      </w:pPr>
      <w:r>
        <w:rPr>
          <w:rFonts w:ascii="Arial" w:cs="Arial" w:eastAsia="Arial" w:hAnsi="Arial"/>
          <w:sz w:val="18"/>
          <w:szCs w:val="18"/>
          <w:color w:val="auto"/>
        </w:rPr>
        <w:t>CHECK HERE IF YOU ARE A BROKER-DEALER AND WISH TO RECEIVE 10 ADDITIONAL COPIES OF THE PROSPECTUS AND 10 COPIES OF ANY AMENDMENTS OR SUPPLEMENTS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Rider B</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the undersigned is not a Broker-Dealer, the undersigned represents that it acquired the New Securities in the ordinary course of its business, it is not engaged in, and does not intend to engage in, a distribution of New Securities and it has no arrangements or understandings with any Person to participate in a distribution of the New Securities. If the undersigned is a Broker-Dealer that will receive New Securities for its own account in exchange for Securities, it represents that the Securities to be exchange for New Securities were acquired by it as a result of market-making activities or other trading activities and acknowledges that it will deliver a prospectus in connection with any resale of such New Securities; however, by so acknowledging and by delivering a prospectus, the undersigned will not be deemed to admit that it is an “underwriter” within the meaning of the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SEVENTH SUPPLEMENTAL INDENTURE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THIS SEVENTH SUPPLEMENTAL INDENTURE (this “Supplemental Indenture”), dated as of May 12, 2006, is among Plains All American Pipeline, L.P., a Delaware limited partnership (the “Partnership”), PAA Finance Corp., a Delaware corporation (“PAA Finance” and, together with the Partnership, the “Issuers”), Plains LPG Services GP LLC, a Delaware limited liability company (“LPG LLC”), Plains LPG Services, L.P., a Delaware limited partnership (“LPG LP”) and Lone Star Trucking, LLC a California limited liability company (“Lone Star” and, together with LPG LLC and LPG LP, the “Subsidiary Guarantors”), direct or indirect subsidiaries of Plains All American Pipeline, L.P. (or its successor), a Delaware limited partnership (the “Partnership”), and Wachovia Bank, National Association, as trustee under the indenture referred to below (the “Trustee”).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WHEREAS, the Issuers have heretofore executed and delivered to the Trustee an indenture (the “Original Indenture”), dated as of September 25, 2002, as supplemented by the First, Second, Third, Fourth and Fifth Supplemental Indentures (the Original Indenture as so supplemented, the “Indenture”), dated as of September 25, 2002, December 10, 2003, August 12, 2004, August 12, 2004 and May 27, 2005, respectively, among the Issuers, the Subsidiary</w:t>
      </w:r>
    </w:p>
    <w:p>
      <w:pPr>
        <w:ind w:right="180"/>
        <w:spacing w:after="0" w:line="222" w:lineRule="auto"/>
        <w:rPr>
          <w:sz w:val="20"/>
          <w:szCs w:val="20"/>
          <w:color w:val="auto"/>
        </w:rPr>
      </w:pPr>
      <w:r>
        <w:rPr>
          <w:rFonts w:ascii="Arial" w:cs="Arial" w:eastAsia="Arial" w:hAnsi="Arial"/>
          <w:sz w:val="18"/>
          <w:szCs w:val="18"/>
          <w:color w:val="auto"/>
        </w:rPr>
        <w:t>Guarantors and the Trustee, providing for the issuance of the Issuers’ 7¾% Senior Notes due 2012, 5</w:t>
      </w:r>
      <w:r>
        <w:rPr>
          <w:rFonts w:ascii="Arial" w:cs="Arial" w:eastAsia="Arial" w:hAnsi="Arial"/>
          <w:sz w:val="30"/>
          <w:szCs w:val="30"/>
          <w:color w:val="auto"/>
          <w:vertAlign w:val="superscript"/>
        </w:rPr>
        <w:t>5</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Notes due 2013, 4.750% Senior Notes due 2009, 5.875% Senior Notes due 2016 and 5.25% Senior Notes due 2015, respectively (such Senior Notes being hereinafter referred to collectively as the “Notes”);</w:t>
      </w:r>
    </w:p>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WHEREAS, Section 5.10 of the First Supplemental Indenture and Section 5.05 of the Second, Third, Fourth and Fifth Supplemental Indentures provide that under certain circumstances the Partnership is required to cause the Subsidiary Guarantors to execute and deliver to the Trustee a supplemental indenture pursuant to which the Subsidiary Guarantors shall unconditionally guarantee all of the Issuers’ obligations under the Notes pursuant to a Guarantee on the terms and conditions set forth herein; and</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pursuant to Section 9.01 of the Original Indenture, the Issuers and the Trustee are authorized to execute and deliver this Supplemental Indenture;</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Issuers, the Subsidiary Guarantors and the Trustee mutually covenant and agree for the equal and ratable benefit of the holders of the Notes as follows:</w:t>
      </w:r>
    </w:p>
    <w:p>
      <w:pPr>
        <w:spacing w:after="0" w:line="124" w:lineRule="exact"/>
        <w:rPr>
          <w:sz w:val="20"/>
          <w:szCs w:val="20"/>
          <w:color w:val="auto"/>
        </w:rPr>
      </w:pPr>
    </w:p>
    <w:p>
      <w:pPr>
        <w:ind w:left="1280" w:hanging="624"/>
        <w:spacing w:after="0"/>
        <w:tabs>
          <w:tab w:leader="none" w:pos="12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 Capitalized terms used herein without definition shall have the meanings assigned to them in the Indenture.</w:t>
      </w:r>
    </w:p>
    <w:p>
      <w:pPr>
        <w:spacing w:after="0" w:line="225" w:lineRule="exact"/>
        <w:rPr>
          <w:sz w:val="20"/>
          <w:szCs w:val="20"/>
          <w:color w:val="auto"/>
        </w:rPr>
      </w:pPr>
    </w:p>
    <w:p>
      <w:pPr>
        <w:ind w:right="140" w:firstLine="656"/>
        <w:spacing w:after="0" w:line="264" w:lineRule="auto"/>
        <w:tabs>
          <w:tab w:leader="none" w:pos="127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used in this Supplemental Indenture refer to this Supplemental Indenture as a whole and not to any particular section hereof.</w:t>
      </w:r>
    </w:p>
    <w:p>
      <w:pPr>
        <w:spacing w:after="0" w:line="225" w:lineRule="exact"/>
        <w:rPr>
          <w:sz w:val="20"/>
          <w:szCs w:val="20"/>
          <w:color w:val="auto"/>
        </w:rPr>
      </w:pPr>
    </w:p>
    <w:p>
      <w:pPr>
        <w:ind w:right="60" w:firstLine="656"/>
        <w:spacing w:after="0" w:line="255" w:lineRule="auto"/>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The Subsidiary Guarantors hereby agree, jointly and severally with all other Subsidiary Guarantors under the Indenture, to guarantee the Issuers’ obligations under the Notes on the terms and subject to the conditions set forth in Article IX of the First, Second, Third, Fourth and Fifth Supplemental Indentures, as applicable,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89" w:lineRule="exact"/>
        <w:rPr>
          <w:rFonts w:ascii="Arial" w:cs="Arial" w:eastAsia="Arial" w:hAnsi="Arial"/>
          <w:sz w:val="18"/>
          <w:szCs w:val="18"/>
          <w:color w:val="auto"/>
        </w:rPr>
      </w:pPr>
    </w:p>
    <w:p>
      <w:pPr>
        <w:ind w:right="260" w:firstLine="656"/>
        <w:spacing w:after="0" w:line="282" w:lineRule="auto"/>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SUPPLEMENTAL INDENTURE SHALL BE DEEMED TO BE A NEW YORK CONTRACT, AND FOR ALL PURPOSES SHALL BE CONSTRUED IN ACCORDANCE WITH, THE LAWS OF THE STATE OF NEW YORK.</w:t>
      </w:r>
    </w:p>
    <w:p>
      <w:pPr>
        <w:spacing w:after="0" w:line="165" w:lineRule="exact"/>
        <w:rPr>
          <w:rFonts w:ascii="Arial" w:cs="Arial" w:eastAsia="Arial" w:hAnsi="Arial"/>
          <w:sz w:val="18"/>
          <w:szCs w:val="18"/>
          <w:color w:val="auto"/>
        </w:rPr>
      </w:pPr>
    </w:p>
    <w:p>
      <w:pPr>
        <w:ind w:left="1280" w:hanging="624"/>
        <w:spacing w:after="0"/>
        <w:tabs>
          <w:tab w:leader="none" w:pos="128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Trustee Makes No Representation</w:t>
      </w:r>
      <w:r>
        <w:rPr>
          <w:rFonts w:ascii="Arial" w:cs="Arial" w:eastAsia="Arial" w:hAnsi="Arial"/>
          <w:sz w:val="16"/>
          <w:szCs w:val="16"/>
          <w:color w:val="auto"/>
        </w:rPr>
        <w:t>. The Trustee makes no representation as to the validity or sufficiency of this Supplemental Indenture.</w:t>
      </w:r>
    </w:p>
    <w:p>
      <w:pPr>
        <w:spacing w:after="0" w:line="248" w:lineRule="exact"/>
        <w:rPr>
          <w:rFonts w:ascii="Arial" w:cs="Arial" w:eastAsia="Arial" w:hAnsi="Arial"/>
          <w:sz w:val="16"/>
          <w:szCs w:val="16"/>
          <w:color w:val="auto"/>
        </w:rPr>
      </w:pPr>
    </w:p>
    <w:p>
      <w:pPr>
        <w:ind w:right="220" w:firstLine="656"/>
        <w:spacing w:after="0" w:line="277" w:lineRule="auto"/>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effect the construction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 written.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Plains AAP, L.P., its General Partner</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Plains All American GP LLC, its General Partner</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29210</wp:posOffset>
            </wp:positionV>
            <wp:extent cx="30099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47" w:name="page48"/>
    <w:bookmarkEnd w:id="47"/>
    <w:p>
      <w:pPr>
        <w:ind w:left="5480"/>
        <w:spacing w:after="0"/>
        <w:rPr>
          <w:sz w:val="20"/>
          <w:szCs w:val="20"/>
          <w:color w:val="auto"/>
        </w:rPr>
      </w:pPr>
      <w:r>
        <w:rPr>
          <w:rFonts w:ascii="Arial" w:cs="Arial" w:eastAsia="Arial" w:hAnsi="Arial"/>
          <w:sz w:val="18"/>
          <w:szCs w:val="18"/>
          <w:color w:val="auto"/>
        </w:rPr>
        <w:t>Phil Kramer</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27"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PAA FINANCE CORP.</w:t>
      </w:r>
    </w:p>
    <w:p>
      <w:pPr>
        <w:spacing w:after="0" w:line="200" w:lineRule="exact"/>
        <w:rPr>
          <w:sz w:val="20"/>
          <w:szCs w:val="20"/>
          <w:color w:val="auto"/>
        </w:rPr>
      </w:pPr>
    </w:p>
    <w:p>
      <w:pPr>
        <w:spacing w:after="0" w:line="241" w:lineRule="exact"/>
        <w:rPr>
          <w:sz w:val="20"/>
          <w:szCs w:val="20"/>
          <w:color w:val="auto"/>
        </w:rPr>
      </w:pPr>
    </w:p>
    <w:p>
      <w:pPr>
        <w:ind w:left="4420"/>
        <w:spacing w:after="0"/>
        <w:tabs>
          <w:tab w:leader="none" w:pos="4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34131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2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PLAINS LPG SERVICES GP LLC</w:t>
      </w:r>
    </w:p>
    <w:p>
      <w:pPr>
        <w:spacing w:after="0" w:line="225" w:lineRule="exact"/>
        <w:rPr>
          <w:sz w:val="20"/>
          <w:szCs w:val="20"/>
          <w:color w:val="auto"/>
        </w:rPr>
      </w:pPr>
    </w:p>
    <w:p>
      <w:pPr>
        <w:ind w:left="4400"/>
        <w:spacing w:after="0"/>
        <w:tabs>
          <w:tab w:leader="none" w:pos="4900" w:val="left"/>
        </w:tabs>
        <w:rPr>
          <w:sz w:val="20"/>
          <w:szCs w:val="20"/>
          <w:color w:val="auto"/>
        </w:rPr>
      </w:pPr>
      <w:r>
        <w:rPr>
          <w:rFonts w:ascii="Arial" w:cs="Arial" w:eastAsia="Arial" w:hAnsi="Arial"/>
          <w:sz w:val="18"/>
          <w:szCs w:val="18"/>
          <w:color w:val="auto"/>
        </w:rPr>
        <w:t>By:</w:t>
        <w:tab/>
        <w:t>Plains Marketing, L.P., its Sole Member</w:t>
      </w:r>
    </w:p>
    <w:p>
      <w:pPr>
        <w:spacing w:after="0" w:line="225" w:lineRule="exact"/>
        <w:rPr>
          <w:sz w:val="20"/>
          <w:szCs w:val="20"/>
          <w:color w:val="auto"/>
        </w:rPr>
      </w:pPr>
    </w:p>
    <w:p>
      <w:pPr>
        <w:ind w:left="4400"/>
        <w:spacing w:after="0"/>
        <w:tabs>
          <w:tab w:leader="none" w:pos="4900" w:val="left"/>
        </w:tabs>
        <w:rPr>
          <w:sz w:val="20"/>
          <w:szCs w:val="20"/>
          <w:color w:val="auto"/>
        </w:rPr>
      </w:pPr>
      <w:r>
        <w:rPr>
          <w:rFonts w:ascii="Arial" w:cs="Arial" w:eastAsia="Arial" w:hAnsi="Arial"/>
          <w:sz w:val="18"/>
          <w:szCs w:val="18"/>
          <w:color w:val="auto"/>
        </w:rPr>
        <w:t>By:</w:t>
        <w:tab/>
        <w:t>Plains Marketing GP Inc., its General</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27" w:lineRule="exact"/>
        <w:rPr>
          <w:sz w:val="20"/>
          <w:szCs w:val="20"/>
          <w:color w:val="auto"/>
        </w:rPr>
      </w:pPr>
    </w:p>
    <w:p>
      <w:pPr>
        <w:ind w:left="4920"/>
        <w:spacing w:after="0"/>
        <w:tabs>
          <w:tab w:leader="none" w:pos="5440" w:val="left"/>
        </w:tabs>
        <w:rPr>
          <w:sz w:val="20"/>
          <w:szCs w:val="20"/>
          <w:color w:val="auto"/>
        </w:rPr>
      </w:pPr>
      <w:r>
        <w:rPr>
          <w:rFonts w:ascii="Arial" w:cs="Arial" w:eastAsia="Arial" w:hAnsi="Arial"/>
          <w:sz w:val="18"/>
          <w:szCs w:val="18"/>
          <w:color w:val="auto"/>
        </w:rPr>
        <w:t>By:</w:t>
        <w:tab/>
        <w:t>/s/ Phil Kramer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-130810</wp:posOffset>
            </wp:positionV>
            <wp:extent cx="30270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ind w:left="4400"/>
        <w:spacing w:after="0"/>
        <w:tabs>
          <w:tab w:leader="none" w:pos="4900" w:val="left"/>
        </w:tabs>
        <w:rPr>
          <w:sz w:val="20"/>
          <w:szCs w:val="20"/>
          <w:color w:val="auto"/>
        </w:rPr>
      </w:pPr>
      <w:r>
        <w:rPr>
          <w:rFonts w:ascii="Arial" w:cs="Arial" w:eastAsia="Arial" w:hAnsi="Arial"/>
          <w:sz w:val="18"/>
          <w:szCs w:val="18"/>
          <w:color w:val="auto"/>
        </w:rPr>
        <w:t>By:</w:t>
        <w:tab/>
        <w:t>Plains LPG Services GP LLC, its General</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4400"/>
        <w:spacing w:after="0"/>
        <w:tabs>
          <w:tab w:leader="none" w:pos="4900" w:val="left"/>
        </w:tabs>
        <w:rPr>
          <w:sz w:val="20"/>
          <w:szCs w:val="20"/>
          <w:color w:val="auto"/>
        </w:rPr>
      </w:pPr>
      <w:r>
        <w:rPr>
          <w:rFonts w:ascii="Arial" w:cs="Arial" w:eastAsia="Arial" w:hAnsi="Arial"/>
          <w:sz w:val="18"/>
          <w:szCs w:val="18"/>
          <w:color w:val="auto"/>
        </w:rPr>
        <w:t>By:</w:t>
        <w:tab/>
        <w:t>Plains Marketing, L.P., its Sole Member</w:t>
      </w:r>
    </w:p>
    <w:p>
      <w:pPr>
        <w:spacing w:after="0" w:line="225" w:lineRule="exact"/>
        <w:rPr>
          <w:sz w:val="20"/>
          <w:szCs w:val="20"/>
          <w:color w:val="auto"/>
        </w:rPr>
      </w:pPr>
    </w:p>
    <w:p>
      <w:pPr>
        <w:ind w:left="4400"/>
        <w:spacing w:after="0"/>
        <w:tabs>
          <w:tab w:leader="none" w:pos="4900" w:val="left"/>
        </w:tabs>
        <w:rPr>
          <w:sz w:val="20"/>
          <w:szCs w:val="20"/>
          <w:color w:val="auto"/>
        </w:rPr>
      </w:pPr>
      <w:r>
        <w:rPr>
          <w:rFonts w:ascii="Arial" w:cs="Arial" w:eastAsia="Arial" w:hAnsi="Arial"/>
          <w:sz w:val="18"/>
          <w:szCs w:val="18"/>
          <w:color w:val="auto"/>
        </w:rPr>
        <w:t>By:</w:t>
        <w:tab/>
        <w:t>Plains Marketing GP Inc., its General</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27" w:lineRule="exact"/>
        <w:rPr>
          <w:sz w:val="20"/>
          <w:szCs w:val="20"/>
          <w:color w:val="auto"/>
        </w:rPr>
      </w:pPr>
    </w:p>
    <w:p>
      <w:pPr>
        <w:ind w:left="4920"/>
        <w:spacing w:after="0"/>
        <w:tabs>
          <w:tab w:leader="none" w:pos="5440" w:val="left"/>
        </w:tabs>
        <w:rPr>
          <w:sz w:val="20"/>
          <w:szCs w:val="20"/>
          <w:color w:val="auto"/>
        </w:rPr>
      </w:pPr>
      <w:r>
        <w:rPr>
          <w:rFonts w:ascii="Arial" w:cs="Arial" w:eastAsia="Arial" w:hAnsi="Arial"/>
          <w:sz w:val="18"/>
          <w:szCs w:val="18"/>
          <w:color w:val="auto"/>
        </w:rPr>
        <w:t>By:</w:t>
        <w:tab/>
        <w:t>/s/ Phil Kramer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-130810</wp:posOffset>
            </wp:positionV>
            <wp:extent cx="30270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LONE STAR TRUCKING, LLC</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Plains LPG Services, L.P., its Sole Member</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Plains LPG Services GP LLC, its General</w:t>
            </w:r>
          </w:p>
        </w:tc>
      </w:tr>
      <w:tr>
        <w:trPr>
          <w:trHeight w:val="230"/>
        </w:trPr>
        <w:tc>
          <w:tcPr>
            <w:tcW w:w="400" w:type="dxa"/>
            <w:vAlign w:val="bottom"/>
          </w:tcPr>
          <w:p>
            <w:pPr>
              <w:spacing w:after="0"/>
              <w:rPr>
                <w:sz w:val="20"/>
                <w:szCs w:val="20"/>
                <w:color w:val="auto"/>
              </w:rPr>
            </w:pP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Partner</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Plains Marketing, L.P., its Sole Member</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Plains Marketing GP Inc., its General</w:t>
            </w:r>
          </w:p>
        </w:tc>
      </w:tr>
      <w:tr>
        <w:trPr>
          <w:trHeight w:val="230"/>
        </w:trPr>
        <w:tc>
          <w:tcPr>
            <w:tcW w:w="400" w:type="dxa"/>
            <w:vAlign w:val="bottom"/>
          </w:tcPr>
          <w:p>
            <w:pPr>
              <w:spacing w:after="0"/>
              <w:rPr>
                <w:sz w:val="20"/>
                <w:szCs w:val="20"/>
                <w:color w:val="auto"/>
              </w:rPr>
            </w:pP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Partner</w:t>
            </w:r>
          </w:p>
        </w:tc>
      </w:tr>
      <w:tr>
        <w:trPr>
          <w:trHeight w:val="648"/>
        </w:trPr>
        <w:tc>
          <w:tcPr>
            <w:tcW w:w="400" w:type="dxa"/>
            <w:vAlign w:val="bottom"/>
          </w:tcPr>
          <w:p>
            <w:pPr>
              <w:spacing w:after="0"/>
              <w:rPr>
                <w:sz w:val="24"/>
                <w:szCs w:val="24"/>
                <w:color w:val="auto"/>
              </w:rPr>
            </w:pP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By:   /s/ Phil Kramer</w:t>
            </w:r>
          </w:p>
        </w:tc>
      </w:tr>
      <w:tr>
        <w:trPr>
          <w:trHeight w:val="195"/>
        </w:trPr>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18"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WACHOVIA BANK, NATIONAL</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ASSOCIATION, as Trustee</w:t>
      </w:r>
    </w:p>
    <w:p>
      <w:pPr>
        <w:sectPr>
          <w:pgSz w:w="11900" w:h="16838" w:orient="portrait"/>
          <w:cols w:equalWidth="0" w:num="1">
            <w:col w:w="10220"/>
          </w:cols>
          <w:pgMar w:left="1440" w:top="125" w:right="239" w:bottom="0" w:gutter="0" w:footer="0" w:header="0"/>
        </w:sectPr>
      </w:pPr>
    </w:p>
    <w:bookmarkStart w:id="48" w:name="page49"/>
    <w:bookmarkEnd w:id="48"/>
    <w:p>
      <w:pPr>
        <w:jc w:val="right"/>
        <w:ind w:right="2359"/>
        <w:spacing w:after="0"/>
        <w:tabs>
          <w:tab w:leader="none" w:pos="1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Ronda L. Porman</w:t>
      </w:r>
    </w:p>
    <w:p>
      <w:pPr>
        <w:spacing w:after="0" w:line="23" w:lineRule="exact"/>
        <w:rPr>
          <w:sz w:val="20"/>
          <w:szCs w:val="20"/>
          <w:color w:val="auto"/>
        </w:rPr>
      </w:pPr>
    </w:p>
    <w:p>
      <w:pPr>
        <w:ind w:left="4740"/>
        <w:spacing w:after="0"/>
        <w:tabs>
          <w:tab w:leader="none" w:pos="5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Ronda L. Porman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-130810</wp:posOffset>
            </wp:positionV>
            <wp:extent cx="21437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14605</wp:posOffset>
            </wp:positionV>
            <wp:extent cx="20580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8035" cy="8890"/>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-130810</wp:posOffset>
            </wp:positionV>
            <wp:extent cx="20580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$250,000,000 6.70% Notes due 2036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Fortis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Amegy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Commerzbank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NOR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Mitsubishi UFJ Securities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388 Greenwich St., 34th Floor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Plains All American Pipeline, L.P., a Delaware limited partnership (the “Partnership”), and PAA Finance Corp., a Delaware corporation (“PAA Finance,” and together with the Partnership, the “Issuers”), propose to issue and sell to the several initial purchasers named in Schedule 1 hereto (the “Initial Purchasers”) $250,000,000 aggregate principal amount of 6.70% Notes due 2036 (the “Securities”). The Securities are to be issued under an indenture dated as of September 25, 2002, among the Issuers and Wachovia Bank, National Association, as trustee (the “Trustee”), as amended by the Sixth Supplemental Indenture to be dated as of May 12, 2006, among the Issuers, the Trustee and the subsidiaries of the Partnership named therein (as amended, the “Indenture”). The Securities will have the benefit of a registration rights agreement (the “Registration Rights Agreement”), to be dated as of the Closing Date (as defined in Section 3), among the Issuers and the Initial Purchasers, pursuant to which and subject to the terms and conditions therein, the Issuers will agree to exchange the Securities with securities (the “Exchange Securities”) that have been registered under the Act. Certain terms used herein are defined in Section 17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firstLine="1297"/>
        <w:spacing w:after="0" w:line="285" w:lineRule="auto"/>
        <w:rPr>
          <w:sz w:val="20"/>
          <w:szCs w:val="20"/>
          <w:color w:val="auto"/>
        </w:rPr>
      </w:pPr>
      <w:r>
        <w:rPr>
          <w:rFonts w:ascii="Arial" w:cs="Arial" w:eastAsia="Arial" w:hAnsi="Arial"/>
          <w:sz w:val="16"/>
          <w:szCs w:val="16"/>
          <w:color w:val="auto"/>
        </w:rPr>
        <w:t>Plains AAP, L.P., a Delaware limited partnership (the “General Partner”), is the general partner of the Partnership. Plains All American GP LLC, a Delaware limited liability company (“GP LLC”), is the general partner of the General Partner. The Partnership owns 100% of the issued and outstanding shares of Plains Marketing GP Inc., a Delaware corporation (“GP Inc.”) and the general partner of each of Plains Marketing, L.P., a Texas limited partnership (“Plains Marketing”), and Plains Pipeline, L.P., a Texas limited partnership (“Plains Pipeline”). Plains Marketing owns 100% of the issued and outstanding shares of PAA Finance, a 100% membership interest in Plains Marketing Canada LLC, a Delaware limited liability company (“PMC LLC”), a 99.99% limited partner interest in Plains Marketing Canada, L.P., an Alberta limited partnership (“PMC LP”), a 100% membership interest in Plains LPG Services GP LLC, a Delaware limited liability company (“LPG LLC”) and a 99.99% limited partner interest in Plains LPG Services, L.P., a Delaware limited partnership (“LPG LP”). LPG LLC owns a 0.001% general partner interest in LPG LP. LPG LP owns a 100% membership interest in Lone Star Trucking, LLC, a California limited partnership (“Lone Star”). PMC LLC owns 100% of the issued and outstanding share capital of PMC (Nova Scotia) Company, a Nova Scotia unlimited liability company (“PMC NS”). PMC NS owns a 0.01% general partner interest in PMC LP. Plains Pipeline owns 100% membership interests in each of Basin Holdings GP LLC, a Delaware limited liability company (“Basin LLC”), and Rancho Holdings GP LLC, a Delaware limited liability company (“Rancho LLC”), and 99.999% limited partner interests in Basin Pipeline Holdings, L.P., a Delaware limited partnership (“Basin LP”) and Rancho Pipeline Holdings, L.P., a Delaware limited partnership (“Rancho LP”). The Partnership owns a 50% membership interest in PAA/Vulcan Gas Storage, LLC, a Delaware limited liability company (the “Joint Venture”). Basin LLC owns a 0.001% general partner interest in Basin LP, and Rancho LLC owns a 0.001% general partner interest in Rancho LP. GP Inc., Plains Marketing, Plains Pipeline, PAA Finance, PMC LLC, PMC LP, PMC NS, Basin LLC, Basin LP, Rancho LLC, Rancho LP, LPG LLC, LPG LP and Lone Star are collectively called the “Subsidiaries.” PMC LP and PMC NS are collectively called the “Canadian Subsidiaries.” The Partnership, PAA Finance, the General Partner, GP LLC, GP Inc., Plains Marketing, Plains Pipeline, PMC LLC, PMC LP, PMC NS, Basin LLC, Basin LP, Rancho LLC, Rancho LP, LPG LLC, LPG LP and Lone Star are collectively called the “Plains Parties.”</w:t>
      </w:r>
    </w:p>
    <w:p>
      <w:pPr>
        <w:spacing w:after="0" w:line="173"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The sale of the Securities to the Initial Purchasers will be made without registration of the Securities under the Act in reliance upon exemptions from the registration requirements of the Act.</w:t>
      </w:r>
    </w:p>
    <w:p>
      <w:pPr>
        <w:spacing w:after="0" w:line="170"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In connection with the sale of the Securities, the Issuers have prepared a preliminary offering memorandum dated May 9, 2006 (the “Preliminary Offering Memorandum”), and have prepared a pricing supplement (the “Pricing Supplement”), dated May 9, 2006, the form of which is attached as Exhibit A hereto, describing the terms of the Securities, each for use by the Initial Purchasers in connection with their solicitation of offers to purchase the Securities. As used herein, “Offering Memorandum” shall mean the Preliminary Offering Memorandum, as supplemented by the Pricing Supplement and any exhibits thereto and any information incorporated by reference therein, in the most recent form that has been prepared and delivered to the Initial Purchasers in connection with their solicitation of offers to purchase Securities prior to the date and time that this Agreement is executed and delivered by the parties hereto (the “Execution Time”). Promptly after the Execution Time and in any event no later than the second business day following the Execution Time, the Issuers shall deliver or cause to be</w:t>
      </w:r>
    </w:p>
    <w:p>
      <w:pPr>
        <w:sectPr>
          <w:pgSz w:w="11900" w:h="16838" w:orient="portrait"/>
          <w:cols w:equalWidth="0" w:num="1">
            <w:col w:w="11420"/>
          </w:cols>
          <w:pgMar w:left="240" w:top="121" w:right="239" w:bottom="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delivered copies, in such quantities and at such places as the Initial Purchasers shall reasonably request, of the Final Offering Memorandum (the “Final Offering Memorandum”), which will consist of the Preliminary Offering Memorandum with only such changes thereto as are required to reflect the information contained in the Pricing Supplement and such other changes as the Company reasonably deems appropriate following notice to the Initial Purchasers or their legal counsel, and from and after the time the Final Offering Memorandum is delivered as set forth in this sentence, all references herein to the Offering Memorandum shall be deemed to be a reference to the Offering Memorandum and the Final Offering Memorandum. The Issuers hereby confirm that they have authorized the use of the Offering Memorandum and the Final Offering Memorandum, and any amendment or supplement thereto, in connection with the offer and sale of the Securities by the Initial Purchasers. Unless stated to the contrary, any references herein to the terms “amend,” “amendment” or “supplement” with respect to the Offering Memorandum and the Final Offering Memorandum shall be deemed to refer to and include any information filed under the Exchange Act subsequent to the date of such Offering Memorandum or Final Offering Memorandum which is incorporated by reference therein.</w:t>
      </w:r>
    </w:p>
    <w:p>
      <w:pPr>
        <w:spacing w:after="0" w:line="195" w:lineRule="exact"/>
        <w:rPr>
          <w:sz w:val="20"/>
          <w:szCs w:val="20"/>
          <w:color w:val="auto"/>
        </w:rPr>
      </w:pPr>
    </w:p>
    <w:p>
      <w:pPr>
        <w:ind w:right="180" w:firstLine="1305"/>
        <w:spacing w:after="0" w:line="277" w:lineRule="auto"/>
        <w:tabs>
          <w:tab w:leader="none" w:pos="195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Plains Parties</w:t>
      </w:r>
      <w:r>
        <w:rPr>
          <w:rFonts w:ascii="Arial" w:cs="Arial" w:eastAsia="Arial" w:hAnsi="Arial"/>
          <w:sz w:val="18"/>
          <w:szCs w:val="18"/>
          <w:color w:val="auto"/>
        </w:rPr>
        <w:t>. The Plains Parties, jointly and severally, represent and warrant to the Initial Purchasers as set forth below in this Section 1.</w:t>
      </w:r>
    </w:p>
    <w:p>
      <w:pPr>
        <w:spacing w:after="0" w:line="170" w:lineRule="exact"/>
        <w:rPr>
          <w:sz w:val="20"/>
          <w:szCs w:val="20"/>
          <w:color w:val="auto"/>
        </w:rPr>
      </w:pPr>
    </w:p>
    <w:p>
      <w:pPr>
        <w:ind w:left="660" w:right="60" w:firstLine="645"/>
        <w:spacing w:after="0" w:line="270" w:lineRule="auto"/>
        <w:tabs>
          <w:tab w:leader="none" w:pos="196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As of the Execution Time and on the Closing Date, the Offering Memorandum did not, and will not (and any amendment or supplement thereto, at the date thereof and at the Closing Date, will not), contain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Issuers make no representation or warranty as to the information contained in or omitted from the Offering Memorandum, or any amendment or supplement thereto, in reliance upon and in conformity with information furnished in writing to the Issuers by or on behalf of the Initial Purchasers specifically for inclusion therein. The documents incorporated by reference in the Offering Memorandum, when filed with the Commission, conformed or will conform, as the case may be, in all material respects to the applicable requirements of the Exchange Act and the rules and regulations of the Commission thereunder, and did not and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ind w:left="660" w:right="560" w:firstLine="645"/>
        <w:spacing w:after="0" w:line="342" w:lineRule="auto"/>
        <w:tabs>
          <w:tab w:leader="none" w:pos="196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None of the Plains Parties, nor any person acting on its or their behalf has, directly or indirectly, made offers or sales of any security, or solicited offers to buy any security, under circumstances that would require the registration of the Securities under the Act.</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6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None of the Plains Parties, nor any person acting on its or their behalf has engaged in any form of general solicitation or general advertising (within the meaning of Regulation D) in connection with any offer or sale of the Securities in the United States.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Securities satisfy the eligibility requirements of Rule 144A(d)(3) under the Act.</w:t>
      </w:r>
    </w:p>
    <w:p>
      <w:pPr>
        <w:spacing w:after="0" w:line="225" w:lineRule="exact"/>
        <w:rPr>
          <w:rFonts w:ascii="Arial" w:cs="Arial" w:eastAsia="Arial" w:hAnsi="Arial"/>
          <w:sz w:val="18"/>
          <w:szCs w:val="18"/>
          <w:color w:val="auto"/>
        </w:rPr>
      </w:pPr>
    </w:p>
    <w:p>
      <w:pPr>
        <w:ind w:left="660" w:right="260" w:firstLine="645"/>
        <w:spacing w:after="0" w:line="264" w:lineRule="auto"/>
        <w:tabs>
          <w:tab w:leader="none" w:pos="196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None of the Plains Parties, nor any person acting on its or their behalf has engaged in any directed selling efforts with respect to the Securities, and each of them has complied with the offering restrictions requirement of Regulation S. Terms used in this paragraph have the meanings given to them by Regulation 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Partnership is subject to and in compliance with the reporting requirements of Section 13 or Section 15(d) of the Exchange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jc w:val="both"/>
        <w:ind w:left="660" w:right="160" w:firstLine="645"/>
        <w:spacing w:after="0" w:line="259"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compliance by the Initial Purchasers with the procedures set forth in Section 4 hereof, it is not necessary in connection with the offer, sale and delivery of the Securities by the Issuers to the Initial Purchasers and the initial resale by the Initial Purchasers in the manner contemplated by this Agreement and the Offering Memorandum to register the Securities under the Act or to qualify the Indenture under the Trust Indenture Act.</w:t>
      </w:r>
    </w:p>
    <w:p>
      <w:pPr>
        <w:spacing w:after="0" w:line="186" w:lineRule="exact"/>
        <w:rPr>
          <w:rFonts w:ascii="Arial" w:cs="Arial" w:eastAsia="Arial" w:hAnsi="Arial"/>
          <w:sz w:val="18"/>
          <w:szCs w:val="18"/>
          <w:color w:val="auto"/>
        </w:rPr>
      </w:pPr>
    </w:p>
    <w:p>
      <w:pPr>
        <w:ind w:left="660" w:right="140" w:firstLine="645"/>
        <w:spacing w:after="0" w:line="277" w:lineRule="auto"/>
        <w:tabs>
          <w:tab w:leader="none" w:pos="19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Issuers have not paid or agreed to pay to any person any compensation for soliciting another to purchase any securities of the Issuers (except as contemplated by this Agreement).</w:t>
      </w:r>
    </w:p>
    <w:p>
      <w:pPr>
        <w:spacing w:after="0" w:line="170" w:lineRule="exact"/>
        <w:rPr>
          <w:rFonts w:ascii="Arial" w:cs="Arial" w:eastAsia="Arial" w:hAnsi="Arial"/>
          <w:sz w:val="18"/>
          <w:szCs w:val="18"/>
          <w:color w:val="auto"/>
        </w:rPr>
      </w:pPr>
    </w:p>
    <w:p>
      <w:pPr>
        <w:ind w:left="660" w:firstLine="645"/>
        <w:spacing w:after="0" w:line="264" w:lineRule="auto"/>
        <w:tabs>
          <w:tab w:leader="none" w:pos="197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None of the Plains Parties, nor any person acting on its or their behalf has taken, directly or indirectly, any action designed to cause or which has constituted or which might reasonably be expected to cause or result, under the Exchange Act or otherwise, in the stabilization or manipulation of the price of any security of the Issuers to facilitate the sale or resale of the Securities.</w:t>
      </w:r>
    </w:p>
    <w:p>
      <w:pPr>
        <w:spacing w:after="0" w:line="181" w:lineRule="exact"/>
        <w:rPr>
          <w:rFonts w:ascii="Arial" w:cs="Arial" w:eastAsia="Arial" w:hAnsi="Arial"/>
          <w:sz w:val="18"/>
          <w:szCs w:val="18"/>
          <w:color w:val="auto"/>
        </w:rPr>
      </w:pPr>
    </w:p>
    <w:p>
      <w:pPr>
        <w:ind w:left="660" w:firstLine="645"/>
        <w:spacing w:after="0" w:line="270" w:lineRule="auto"/>
        <w:tabs>
          <w:tab w:leader="none" w:pos="197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Each of the Plains Parties and the Joint Venture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Plains Parties and the Joint Venture is duly registered or qualified as a foreign corporation, limited partnership, limited liability company or unlimited liability company, as the case may be, for the transaction of business under the laws of each jurisdiction in which the character of the business conducted by it or the nature or location of the properties owned or leased by it makes such registration or qualification necessary, except where the failure so to register or qualify would not have a material adverse effect on the condition (financial or other), business, prospects, properties, net worth or results of operations of the Partnership, the Subsidiaries and the Joint Venture, taken as a whole.</w:t>
      </w:r>
    </w:p>
    <w:p>
      <w:pPr>
        <w:spacing w:after="0" w:line="181" w:lineRule="exact"/>
        <w:rPr>
          <w:rFonts w:ascii="Arial" w:cs="Arial" w:eastAsia="Arial" w:hAnsi="Arial"/>
          <w:sz w:val="17"/>
          <w:szCs w:val="17"/>
          <w:color w:val="auto"/>
        </w:rPr>
      </w:pPr>
    </w:p>
    <w:p>
      <w:pPr>
        <w:ind w:left="660" w:right="300" w:firstLine="645"/>
        <w:spacing w:after="0" w:line="308" w:lineRule="auto"/>
        <w:tabs>
          <w:tab w:leader="none" w:pos="197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GP LLC has full limited liability company power and authority to act as the general partner of the General Partner; the General Partner has full partnership power and authority to act as the general partner of the Partnership; GP Inc. has full corporate</w:t>
      </w:r>
    </w:p>
    <w:p>
      <w:pPr>
        <w:sectPr>
          <w:pgSz w:w="11900" w:h="16838" w:orient="portrait"/>
          <w:cols w:equalWidth="0" w:num="1">
            <w:col w:w="11420"/>
          </w:cols>
          <w:pgMar w:left="240" w:top="125" w:right="239" w:bottom="71"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71" w:gutter="0" w:footer="0" w:header="0"/>
          <w:type w:val="continuous"/>
        </w:sectPr>
      </w:pPr>
    </w:p>
    <w:bookmarkStart w:id="51" w:name="page52"/>
    <w:bookmarkEnd w:id="51"/>
    <w:p>
      <w:pPr>
        <w:spacing w:after="0" w:line="10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power and authority to act as the general partner of Plains Marketing and Plains Pipeline; Basin LLC has full limited liability company power and authority to act as the general partner of Basin LP; Rancho LLC has full limited liability company power and authority to act as the general partner of Rancho LP; PMC NS has full unlimited liability company power and authority to act as the general partner of PMC LP; and LPG LLC has full limited liability company power and authority to act as the general partner of LPG LP, in each case in all material respects.</w:t>
      </w:r>
    </w:p>
    <w:p>
      <w:pPr>
        <w:spacing w:after="0" w:line="171" w:lineRule="exact"/>
        <w:rPr>
          <w:sz w:val="20"/>
          <w:szCs w:val="20"/>
          <w:color w:val="auto"/>
        </w:rPr>
      </w:pPr>
    </w:p>
    <w:p>
      <w:pPr>
        <w:ind w:right="80" w:firstLine="645"/>
        <w:spacing w:after="0" w:line="289" w:lineRule="auto"/>
        <w:tabs>
          <w:tab w:leader="none" w:pos="131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GP LLC is the sole general partner of the General Partner, with a 1.0% general partner interest in the General Partner, and the General Partner is the sole general partner of the Partnership, with a 2.0% general partner interest in the Partnership; such general partner interests have been duly authorized and validly issued in accordance with the agreement of limited partnership of the General Partner (as in effect on the date hereof and as the same may be amended or restated prior to the Closing Date, such agreement being referred to herein as the “General Partner Partnership Agreement”) and the Third Amended and Restated Agreement of Limited Partnership of the Partnership (as the same may be amended or restated prior to the Closing Date, the “Partnership Agreement”), respectively; GP LLC owns such general partner interest in the General Partner and the General Partner owns such general partner interest in the Partnership, in each case, free and clear of all liens, encumbrances, security interests, equities, charges or claims; and the General Partner owns all of the Incentive Distribution Rights (as such capitalized term is defined in the Partnership Agreement) free and clear of all liens, encumbrances, security interests, equities, charges or claims.</w:t>
      </w:r>
    </w:p>
    <w:p>
      <w:pPr>
        <w:spacing w:after="0" w:line="166" w:lineRule="exact"/>
        <w:rPr>
          <w:rFonts w:ascii="Arial" w:cs="Arial" w:eastAsia="Arial" w:hAnsi="Arial"/>
          <w:sz w:val="16"/>
          <w:szCs w:val="16"/>
          <w:color w:val="auto"/>
        </w:rPr>
      </w:pPr>
    </w:p>
    <w:p>
      <w:pPr>
        <w:ind w:right="20" w:firstLine="645"/>
        <w:spacing w:after="0" w:line="293" w:lineRule="auto"/>
        <w:tabs>
          <w:tab w:leader="none" w:pos="132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GP Inc. is the sole general partner of Plains Marketing, with a .001% general partner interest in Plains Marketing, and the sole general partner of Plains Pipeline, with a .001% general partner interest in Plains Pipeline; such general partner interests have been duly authorized and validly issued in accordance with the agreement of limited partnership of Plains Marketing and the agreement of limited partnership of Plains Pipeline, respectively (in each case, as in effect on the date hereof and as the same may be amended or restated prior to the Closing Date, such agreements being referred to herein as the “Plains Marketing Partnership Agreement” and the “Plains Pipeline Partnership Agreement,” respectively); and GP Inc. owns such general partner interests free and clear of all liens, encumbrances, security interests, equities, charges or claims.</w:t>
      </w:r>
    </w:p>
    <w:p>
      <w:pPr>
        <w:spacing w:after="0" w:line="164" w:lineRule="exact"/>
        <w:rPr>
          <w:rFonts w:ascii="Arial" w:cs="Arial" w:eastAsia="Arial" w:hAnsi="Arial"/>
          <w:sz w:val="16"/>
          <w:szCs w:val="16"/>
          <w:color w:val="auto"/>
        </w:rPr>
      </w:pPr>
    </w:p>
    <w:p>
      <w:pPr>
        <w:ind w:right="40" w:firstLine="645"/>
        <w:spacing w:after="0" w:line="291" w:lineRule="auto"/>
        <w:tabs>
          <w:tab w:leader="none" w:pos="130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(other than general partner interests) of each Subsidiary and the Joint Venture (a) have been duly authorized and validly issued (in the case of an interest in a limited partnership or limited liability company, in accordance with the Organizational Documents (as defined in Section 1(u) below) of such Subsidiary or the Joint Venture), are fully paid (in the case of an interest in a limited partnership or limited liability company, to the extent required under the Organizational Documents of such Subsidiary or the Joint Venture) and nonassessable (except (i) in the case of an interest in a Delaware limited partnership or Delaware limited liability company, as such nonassessability may be affected by Section 17-607 of the Delaware Revised Uniform Limited Partnership Act (the “Delaware LP Act”) or Section 18-607 of the Delaware Limited Liability Company Act (the “Delaware LLC Act”), as applicable, (ii) in the case of an interest in a limited</w:t>
      </w:r>
    </w:p>
    <w:p>
      <w:pPr>
        <w:spacing w:after="0" w:line="16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a 50% membership interest in the Joint Venture owned by Vulcan Gas Storage LLC, are owned, directly or indirectly, by the Partnership, free and clear of all liens, encumbrances, security interests, equities, charges or claims.</w:t>
      </w:r>
    </w:p>
    <w:p>
      <w:pPr>
        <w:spacing w:after="0" w:line="193" w:lineRule="exact"/>
        <w:rPr>
          <w:sz w:val="20"/>
          <w:szCs w:val="20"/>
          <w:color w:val="auto"/>
        </w:rPr>
      </w:pPr>
    </w:p>
    <w:p>
      <w:pPr>
        <w:jc w:val="both"/>
        <w:ind w:right="260" w:firstLine="645"/>
        <w:spacing w:after="0" w:line="264" w:lineRule="auto"/>
        <w:tabs>
          <w:tab w:leader="none" w:pos="13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outstanding general partner interests in each Subsidiary that is a partnership have been duly authorized and validly issued in accordance with the Organizational Documents of such Subsidiaries and are owned, directly or indirectly, by the Partnership, free and clear of all liens, encumbrances, security interests, equities, charges or claims.</w:t>
      </w:r>
    </w:p>
    <w:p>
      <w:pPr>
        <w:spacing w:after="0" w:line="181" w:lineRule="exact"/>
        <w:rPr>
          <w:rFonts w:ascii="Arial" w:cs="Arial" w:eastAsia="Arial" w:hAnsi="Arial"/>
          <w:sz w:val="18"/>
          <w:szCs w:val="18"/>
          <w:color w:val="auto"/>
        </w:rPr>
      </w:pPr>
    </w:p>
    <w:p>
      <w:pPr>
        <w:ind w:right="40" w:firstLine="645"/>
        <w:spacing w:after="0" w:line="271" w:lineRule="auto"/>
        <w:tabs>
          <w:tab w:leader="none" w:pos="130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Partnership has no direct or indirect majority-owned subsidiaries other than the Subsidiaries, Plains LPG Marketing, L.P., a Texas limited partnership (“LPG Marketing”), Atchafalaya Pipeline, L.L.C. (“Atchafalaya Pipeline”), Plains Marketing International GP LLC (“PMI GP LLC”), Plains Marketing International, L.P. (“PMI LP”) and Andrews Partners, LLC (“Andrews Partners”). None of LPG Marketing, Atchafalaya Pipeline, PMI GP LLC, PMI LP or Andrews Partners, individually or considered as a whole, would be deemed to be a significant subsidiary (as such term is defined in Rule 405 under the Act). The Issuers have no independent assets or operations and the guarantees of the Subsidiaries are full and unconditional and joint and several. The footnotes to the Partnership’s financial statements included or incorporated by reference in the Offering Memorandum include the appropriate disclosure required by Note 1 to Rule 3-10(f) of Regulation S-X, including the narrative disclosures specified in paragraphs (i)(9) and (i)(10) of Rule 3-10.</w:t>
      </w:r>
    </w:p>
    <w:p>
      <w:pPr>
        <w:spacing w:after="0" w:line="178" w:lineRule="exact"/>
        <w:rPr>
          <w:rFonts w:ascii="Arial" w:cs="Arial" w:eastAsia="Arial" w:hAnsi="Arial"/>
          <w:sz w:val="17"/>
          <w:szCs w:val="17"/>
          <w:color w:val="auto"/>
        </w:rPr>
      </w:pPr>
    </w:p>
    <w:p>
      <w:pPr>
        <w:ind w:right="40" w:firstLine="645"/>
        <w:spacing w:after="0" w:line="288" w:lineRule="auto"/>
        <w:tabs>
          <w:tab w:leader="none" w:pos="130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offering and sale of the Securities as contemplated by this Agreement do not give rise to any rights for or relating to the registration of any other securities of the Issuers, except such rights as have been waived or satisfied. The Securities, when issued and delivered against payment therefor as provided herein, the Exchange Securities, when issued and delivered as provided in the Registration Rights Agreement, the Indenture and Registration Rights Agreement, will conform in all material respects to the descriptions thereof contained in the Offering Memorandum. The Issuers have all requisite power and authority to issue, sell and deliver the Securities, in accordance with and upon the terms and conditions set forth in this Agreement, their respective Organizational Documents, the Indenture and the Offering Memorandum and to issue and deliver the Exchange Securities, in accordance with and upon the terms and conditions set forth in this Agreement, the Registration Rights Agreement, their respective Organizational Documents, the Indenture and the Offering Memorandum. At the Closing Date, all corporate, partnership and limited liability company action, as the case may be, required to be taken by the Plains Parties or any of their stockholders, partners or members for the authorization, issuance, sale and delivery of the Securities shall have been validly taken.</w:t>
      </w:r>
    </w:p>
    <w:p>
      <w:pPr>
        <w:spacing w:after="0" w:line="16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645"/>
        <w:spacing w:after="0" w:line="297" w:lineRule="auto"/>
        <w:tabs>
          <w:tab w:leader="none" w:pos="131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The execution and delivery of, and the performance by each of the Plains Parties of their respective obligations under, this Agreement have been duly and validly authorized by each of the Plains Parties, and this Agreement has been duly executed and delivered by each of the Plains Parties, and constitutes the valid and legally binding agreement of each of the Plains Parties, enforceable against each of the Plains Parties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hereof may be limited by bankruptcy, insolvency, fraudulent transfer, reorganization, moratorium and similar laws relating to or affecting creditors’ rights generally and by general principles of equity (regardless of whether such</w:t>
      </w:r>
    </w:p>
    <w:p>
      <w:pPr>
        <w:sectPr>
          <w:pgSz w:w="11900" w:h="16941" w:orient="portrait"/>
          <w:cols w:equalWidth="0" w:num="1">
            <w:col w:w="10760"/>
          </w:cols>
          <w:pgMar w:left="900" w:top="584" w:right="239" w:bottom="0" w:gutter="0" w:footer="0" w:header="0"/>
        </w:sectPr>
      </w:pPr>
    </w:p>
    <w:bookmarkStart w:id="52" w:name="page53"/>
    <w:bookmarkEnd w:id="52"/>
    <w:p>
      <w:pPr>
        <w:spacing w:after="0" w:line="1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enforceability is considered in a proceeding in equity or at law) and except as rights to indemnity and contribution hereunder may be limited by federal or state securities laws.</w:t>
      </w:r>
    </w:p>
    <w:p>
      <w:pPr>
        <w:spacing w:after="0" w:line="170" w:lineRule="exact"/>
        <w:rPr>
          <w:sz w:val="20"/>
          <w:szCs w:val="20"/>
          <w:color w:val="auto"/>
        </w:rPr>
      </w:pPr>
    </w:p>
    <w:p>
      <w:pPr>
        <w:ind w:right="60" w:firstLine="645"/>
        <w:spacing w:after="0" w:line="286" w:lineRule="auto"/>
        <w:tabs>
          <w:tab w:leader="none" w:pos="129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The execution and delivery of, and the performance by each of the Plains Parties of their respective obligations under, the Indenture have been duly and validly authorized by each of the Plains Parties, and the Indenture, assuming due authorization, execution and delivery thereof by the Trustee, when executed and delivered by each of the Plains Parties, will constitute the valid and legally binding agreement of each of the Plains Parties, enforceable against each of the Plains Parties in accordance with its terms; the Securities have been duly authorized, and, when executed and authenticated in accordance with the provisions of the Indenture and delivered to and paid for by the Initial Purchasers, will have been duly executed and delivered by each of the Issuers and will constitute the valid and legally binding obligations of the Issuers, enforceable against the Issuers in accordance with their terms and entitled to the benefits of the Indenture; the Exchange Securities have been duly authorized and, when executed and authenticated in accordance with the provisions of the Indenture and delivered in accordance with the Registration Rights Agreement, will have been duly executed and delivered by each of the Issuers and will constitute the valid and legally binding obligations of the Issuers, enforceable against the Issuers in accordance with their terms and entitled to the benefits of the Indenture; and the Registration Rights Agreement has been duly and validly authorized and, when executed and delivered by each of the Plains Parties, will constitute the valid and legally binding agreement of each of the Plains Parties, enforceable against each of the Plains Parties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hereunder may be limited by federal or state securities laws.</w:t>
      </w:r>
    </w:p>
    <w:p>
      <w:pPr>
        <w:spacing w:after="0" w:line="168" w:lineRule="exact"/>
        <w:rPr>
          <w:rFonts w:ascii="Arial" w:cs="Arial" w:eastAsia="Arial" w:hAnsi="Arial"/>
          <w:sz w:val="16"/>
          <w:szCs w:val="16"/>
          <w:color w:val="auto"/>
        </w:rPr>
      </w:pPr>
    </w:p>
    <w:p>
      <w:pPr>
        <w:ind w:right="140" w:firstLine="645"/>
        <w:spacing w:after="0" w:line="255"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Partnership Agreement is a valid and legally binding agreement of the General Partner, enforceable against the General Partner in accordance with its terms; the Plains Marketing Partnership Agreement is a valid and legally binding agreement of GP Inc. and the Partnership, enforceable against each of them in accordance with its terms; the Plains Pipeline Partnership Agreement is a valid and legally binding agreement of GP Inc. and Plains Marketing, enforceable against each of them in accordance with its terms; the agreement of limited partnership of Basin LP (as in effect on the date hereof and as the same may be amended or restated prior to the Closing Date, the “Basin LP Partnership Agreement”) is a valid and legally binding agreement of Basin LLC and</w:t>
      </w:r>
    </w:p>
    <w:p>
      <w:pPr>
        <w:spacing w:after="0" w:line="1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Plains Pipeline, enforceable against each of them in accordance with its terms; the agreement of limited partnership of Rancho LP (as in effect on the date hereof and as the same may be amended or restated prior to the Closing Date, the “Rancho LP Partnership Agreement”) is a valid and legally binding agreement of Rancho LLC and Plains Pipeline, enforceable against each of them in accordance with its terms; and the agreement of limited partnership of PMC LP (as in effect on the date hereof and as the same may be amended or restated prior to the Closing Date, the “PMC LP Partnership Agreement”) has been duly authorized, executed and delivered by each of PMC NS and Plains Marketing and is a valid and legally binding agreement of PMC NS and Plains Marketing enforceable against each of them in accordance with its terms; the Limited Liability Company Agreement of PMC LLC (as in effect on the date hereof and as the same may be amended or restated prior to the Closing Date, the “PMC LLC Agreement”) has been duly authorized, executed and delivered by Plains Marketing and is a valid and legally binding agreement of Plains Marketing, enforceable against it in accordance with its terms; the Limited Liability Company Agreement of LPG LLC (as in effect on the date hereof and as the same may be amended or restated prior to the Closing Date, the “LPG LLC Agreement”) has been duly authorized, executed and delivered by Plains Marketing and is a valid and legally binding agreement of Plains Marketing, enforceable against it in accordance with its terms; the agreement of limited partnership of LPG LP (as in effect on the date hereof and as the same may be amended or restated prior to the Closing Date, the “LPG LP Partnership Agreement”) is a valid and legally binding agreement of LPG LLC and Plains Marketing, enforceable against each of them in accordance with its terms; the Limited Liability Company Agreement of Lone Star (as in effect on the date hereof and as the same may be amended or restated prior to the Closing Date, the “Lone Star LLC Agreement”) has been duly authorized, executed and delivered by LPG LP and is a valid and legally binding agreement of LPG LP, enforceable against it in accordance with its terms; and the Limited Liability Company Agreement of the Joint Venture (as in effect on the date hereof and as the same may be amended or restated prior to the Closing Date, the “Gas Storage LLC Agreement”) has been duly authorized, executed and delivered by the Partnership and, assuming due authorization, execution and deliver by the other parties, thereto, is a valid and legally binding agreement of the Partnership, enforceable against it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agreement,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w:t>
      </w:r>
    </w:p>
    <w:p>
      <w:pPr>
        <w:spacing w:after="0" w:line="398" w:lineRule="exact"/>
        <w:rPr>
          <w:sz w:val="20"/>
          <w:szCs w:val="20"/>
          <w:color w:val="auto"/>
        </w:rPr>
      </w:pPr>
    </w:p>
    <w:p>
      <w:pPr>
        <w:ind w:firstLine="645"/>
        <w:spacing w:after="0" w:line="293" w:lineRule="auto"/>
        <w:tabs>
          <w:tab w:leader="none" w:pos="130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None of the offering, issuance and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 by the Plains Parties which are parties thereto or the consummation of the transactions contemplated thereby (i) conflicts or will conflict with or constitutes or will constitute a violation of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Closing Date)</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(“Organizational Documents”) of any of the Plains Parties, (ii) conflicts or will conflict with or constitutes or will constitute a breach or violation of, a change of control or a default under (or an event which, with notice or lapse of time or both, would constitute such an event), any indenture, mortgage, deed of trust, loan agreement, lease or other agreement or instrument to which any of the Plains Parties is a party or by which any of them or any of their respective properties may be bound, (iii) violates or will violate any statute, law or regulation or any order, judgment, decree or injunction of any court or governmental agency or body directed to any of the Plains Parties or any of their properties in a proceeding to which any of them or their property is a party or (iv) will result in the creation or imposition of any lien, charge or encumbrance upon any property or assets of any of the Plains Parties or the Joint Venture, which conflicts, breaches, violations or defaults, in the case of clauses (ii), (iii) or (iv), would have a material adverse effect upon the condition (financial or other), business, prospects, properties, net worth or results of operations of the Partnership, the Subsidiaries and the Joint Venture, taken as a whole.</w:t>
      </w:r>
    </w:p>
    <w:p>
      <w:pPr>
        <w:spacing w:after="0" w:line="182" w:lineRule="exact"/>
        <w:rPr>
          <w:sz w:val="20"/>
          <w:szCs w:val="20"/>
          <w:color w:val="auto"/>
        </w:rPr>
      </w:pPr>
    </w:p>
    <w:p>
      <w:pPr>
        <w:ind w:right="20" w:firstLine="645"/>
        <w:spacing w:after="0" w:line="342" w:lineRule="auto"/>
        <w:tabs>
          <w:tab w:leader="none" w:pos="130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 permit, consent, approval, authorization, order, registration, filing or qualification of or with any court, governmental agency or body is required in connection with the offering, issuance and sale by the Issuers of the Securities, the issuance of the Exchange Securities, the</w:t>
      </w:r>
    </w:p>
    <w:p>
      <w:pPr>
        <w:sectPr>
          <w:pgSz w:w="11900" w:h="16948" w:orient="portrait"/>
          <w:cols w:equalWidth="0" w:num="1">
            <w:col w:w="10760"/>
          </w:cols>
          <w:pgMar w:left="900" w:top="125" w:right="239" w:bottom="0" w:gutter="0" w:footer="0" w:header="0"/>
        </w:sectPr>
      </w:pPr>
    </w:p>
    <w:bookmarkStart w:id="53" w:name="page54"/>
    <w:bookmarkEnd w:id="53"/>
    <w:p>
      <w:pPr>
        <w:ind w:right="100"/>
        <w:spacing w:after="0" w:line="257" w:lineRule="auto"/>
        <w:rPr>
          <w:sz w:val="20"/>
          <w:szCs w:val="20"/>
          <w:color w:val="auto"/>
        </w:rPr>
      </w:pPr>
      <w:r>
        <w:rPr>
          <w:rFonts w:ascii="Arial" w:cs="Arial" w:eastAsia="Arial" w:hAnsi="Arial"/>
          <w:sz w:val="18"/>
          <w:szCs w:val="18"/>
          <w:color w:val="auto"/>
        </w:rPr>
        <w:t>execution, delivery and performance of this Agreement by the Plains Parties, the consummation of the transactions contemplated hereby, the execution, delivery and performance of the Indenture and the Registration Rights Agreement by the Plains Parties which are parties thereto or the consummation of the transactions contemplated thereby, except for such permits, consents, approvals and similar authorizations as will be obtained pursuant to the Registration Rights Agreement, under the Act and the Trust Indenture Act, and as may be required under the Exchange Act and state securities or “Blue Sky” laws.</w:t>
      </w:r>
    </w:p>
    <w:p>
      <w:pPr>
        <w:spacing w:after="0" w:line="188" w:lineRule="exact"/>
        <w:rPr>
          <w:sz w:val="20"/>
          <w:szCs w:val="20"/>
          <w:color w:val="auto"/>
        </w:rPr>
      </w:pPr>
    </w:p>
    <w:p>
      <w:pPr>
        <w:ind w:right="40" w:firstLine="645"/>
        <w:spacing w:after="0" w:line="269" w:lineRule="auto"/>
        <w:tabs>
          <w:tab w:leader="none" w:pos="131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None of the Plains Parties is in (i) violation of its Organizational Documents, or of any law, statute, ordinance, administrative or governmental rule or regulation applicable to it or of any decree of any court or governmental agency or body having jurisdiction over it or (ii) breach, default (or an event which, with notice or lapse of time or both, would constitute such an event) or violation in the performance of any obligation, agreement or condition contained in any bond, debenture, note or any other evidence of indebtedness or in any agreement, indenture, lease or other instrument to which it is a party or by which it or any of its properties may be bound, which breach, default or violation would, if continued, have a material adverse effect on the condition (financial or other), business, prospects, properties, net worth or results of operations of the Partnership, the Subsidiaries and the Joint Venture, taken as a whole, or could materially impair the ability of any of the Plains Parties to perform its obligations under this Agreement. To the knowledge of the Plains Parties, no third party to any indenture, mortgage, deed of trust, loan agreement or other agreement or instrument to which any of the Plains Parties is a party or by which any of them is bound or to which any of their properties are subject, is in default under any such agreement, which breach, default or violation would, if continued, have a material adverse effect on the condition (financial or other), business, prospects, properties, net worth or results of operations of the Partnership, the Subsidiaries and the Joint Venture, taken as a whole.</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645"/>
        <w:spacing w:after="0" w:line="286" w:lineRule="auto"/>
        <w:tabs>
          <w:tab w:leader="none" w:pos="133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accountants, PricewaterhouseCoopers LLP, who have certified or shall certify the audited financial statements included or incorporated by reference in the Offering Memorandum (or any amendment or supplement thereto), are independent registered public accountants with respect to the Plains Parties as required by the Act and the applicable published rules and regulations thereunder.</w:t>
      </w:r>
    </w:p>
    <w:p>
      <w:pPr>
        <w:spacing w:after="0" w:line="165" w:lineRule="exact"/>
        <w:rPr>
          <w:rFonts w:ascii="Arial" w:cs="Arial" w:eastAsia="Arial" w:hAnsi="Arial"/>
          <w:sz w:val="17"/>
          <w:szCs w:val="17"/>
          <w:color w:val="auto"/>
        </w:rPr>
      </w:pPr>
    </w:p>
    <w:p>
      <w:pPr>
        <w:ind w:firstLine="645"/>
        <w:spacing w:after="0" w:line="269" w:lineRule="auto"/>
        <w:tabs>
          <w:tab w:leader="none" w:pos="130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At March 31, 2006, the Partnership would have had, on an as adjusted basis as indicated in the Offering Memorandum (and any amendment or supplement thereto), a total capitalization as set forth therein. The financial statements (including the related notes and supporting schedules) and other financial information included or incorporated by reference in the Offering Memorandum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Offering Memorandum (and any amendment or supplement thereto) is accurately presented in all material respects and prepared on a basis consistent with the audited and unaudited historical consolidated financial statements from which it has been derived, except as described therein. The Partnership and the Subsidiaries do not have any material liabilities or obligations, direct or contingent (including any off-balance sheet obligations), not disclosed in the Offering Memorandum. Since March 28, 2003, the Partnership has complied in all material respects with Regulation G of the Exchange Act and Item 10 of Regulation S-K of the Act, as applicable, in connection with the Offering Memorandum and filings made by the Partnership with the Commission.</w:t>
      </w:r>
    </w:p>
    <w:p>
      <w:pPr>
        <w:spacing w:after="0" w:line="179" w:lineRule="exact"/>
        <w:rPr>
          <w:rFonts w:ascii="Arial" w:cs="Arial" w:eastAsia="Arial" w:hAnsi="Arial"/>
          <w:sz w:val="17"/>
          <w:szCs w:val="17"/>
          <w:color w:val="auto"/>
        </w:rPr>
      </w:pPr>
    </w:p>
    <w:p>
      <w:pPr>
        <w:ind w:right="20" w:firstLine="645"/>
        <w:spacing w:after="0" w:line="291" w:lineRule="auto"/>
        <w:tabs>
          <w:tab w:leader="none" w:pos="132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Except as disclosed in the Offering Memorandum (or any amendment or supplement thereto), subsequent to the respective dates as of which such information is given in the Offering Memorandum (and any amendment or supplement thereto), (i) none of the Plains Parties has incurred any liability or obligation, indirect, direct or contingent, or entered into any transactions, not in the ordinary course of business, that, singly or in the aggregate, is material to the Plains Parties, taken as a whole, (ii) there has not been any material change in the capitalization, or material increase in the short-term debt or long-term debt, of the Plains Parties and (iii) there has not been any material adverse change, or any development involving or which may reasonably be expected to involve, singly or in the aggregate, a prospective material adverse change in the condition (financial or other), business, prospects, properties, net worth or results of operations of the Plains Parties, taken as a whole.</w:t>
      </w:r>
    </w:p>
    <w:p>
      <w:pPr>
        <w:spacing w:after="0" w:line="167" w:lineRule="exact"/>
        <w:rPr>
          <w:sz w:val="20"/>
          <w:szCs w:val="20"/>
          <w:color w:val="auto"/>
        </w:rPr>
      </w:pPr>
    </w:p>
    <w:p>
      <w:pPr>
        <w:ind w:right="80" w:firstLine="645"/>
        <w:spacing w:after="0" w:line="257" w:lineRule="auto"/>
        <w:tabs>
          <w:tab w:leader="none" w:pos="130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Plains Parties have good and indefeasible title to all real property and good title to all personal property described in the Offering Memorandum as being owned by them, free and clear of all liens, claims, security interests or other encumbrances except (i) as provided in the Restated Credit Facility (Uncommitted Senior Secured Discretionary Contango Facility) dated November 19, 2004 (as amended, the “Contango Credit Agreement”) among Plains Marketing, Bank of America, N.A., as administrative agent thereunder and the lenders from time to time party thereto, described</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Offering Memorandum and (ii) such as do not materially interfere with the use of such properties taken as a whole as described in the Offering Memorandum; and all real property and buildings held under lease by any of the Plains Parties are held under valid and subsisting and enforceable leases with such exceptions as do not materially interfere with the use of such properties taken as a whole as described in the Offering Memorandum.</w:t>
      </w:r>
    </w:p>
    <w:p>
      <w:pPr>
        <w:spacing w:after="0" w:line="147" w:lineRule="exact"/>
        <w:rPr>
          <w:sz w:val="20"/>
          <w:szCs w:val="20"/>
          <w:color w:val="auto"/>
        </w:rPr>
      </w:pPr>
    </w:p>
    <w:p>
      <w:pPr>
        <w:ind w:right="20" w:firstLine="645"/>
        <w:spacing w:after="0" w:line="287" w:lineRule="auto"/>
        <w:tabs>
          <w:tab w:leader="none" w:pos="129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of the Plains Parties has such permits, consents, licenses, franchises, certificates and authorizations of governmental or regulatory authorities (“permits”) as are necessary to own its properties and to conduct its business in the manner described in the Offering Memorandum, subject to such qualifications as may be set forth in the Offering Memorandum and except for such permits the failure of which to have obtained would not have, individually or in the aggregate, a material adverse effect upon the ability of the Partnership, the Subsidiaries and the Joint Venture considered as a whole to conduct their businesses in all material respects as currently conducted and as contemplated by the Offering Memorandum to be conducted; each of the Plains Parties has fulfilled and performed all of its material obligations with respect to such permits and no event has occurred which allows, or after notice or lapse of time would allow, revocation or termination thereof or results in any impairment of the rights of the holder of any such permit, except for such failures to perform, revocations, terminations and impairments that would not have a material adverse effect upon the ability of the Partnership, the Subsidiaries and the Joint Venture considered as a whole to conduct their businesses in all material respects as currently conducted and as contemplated by the Offering Memorandum to be conducted, subject in each case to such qualification as may be set forth in the Offering Memorandum; and, except as described in the Offering Memorandum, none of such permits contains any restriction that is materially burdensome to the Plains Parties considered as a whole.</w:t>
      </w:r>
    </w:p>
    <w:p>
      <w:pPr>
        <w:sectPr>
          <w:pgSz w:w="11900" w:h="16838" w:orient="portrait"/>
          <w:cols w:equalWidth="0" w:num="1">
            <w:col w:w="10760"/>
          </w:cols>
          <w:pgMar w:left="900" w:top="125" w:right="239" w:bottom="3" w:gutter="0" w:footer="0" w:header="0"/>
        </w:sectPr>
      </w:pPr>
    </w:p>
    <w:bookmarkStart w:id="54" w:name="page55"/>
    <w:bookmarkEnd w:id="54"/>
    <w:p>
      <w:pPr>
        <w:ind w:firstLine="645"/>
        <w:spacing w:after="0" w:line="269" w:lineRule="auto"/>
        <w:tabs>
          <w:tab w:leader="none" w:pos="130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Each of the Plains Parties has such consents, easements, rights-of-way or licenses from any person (“rights-of-way”) as are necessary to conduct its business in the manner described in the Offering Memorandum, subject to such qualifications as may be set forth in the Offering Memorandum and except for such rights-of-way the failure of which to have obtained would not have, individually or in the aggregate, a material adverse effect upon the ability of the Partnership, the Subsidiaries and the Joint Venture considered as a whole to conduct their businesses in all material respects as currently conducted and as contemplated by the Offering Memorandum to be conducted; each of the Plains Parties has fulfilled and performed all its material obligations with respect to such rights-of-way and no event has occurred which allows, or after notice or lapse of time would allow, revocation or termination thereof or would result in any impairment of the rights of the holder of any such rights-of-way, except for such failures to perform, revocations, terminations and impairments that will not have a material adverse effect upon the ability of the Partnership, the Subsidiaries and the Joint Venture considered as a whole to conduct their businesses in all material respects as currently conducted and as contemplated by the Offering Memorandum to be conducted, subject in each case to such qualification as may be set forth in the Final Offering Memorandum; and, except as described in the Offering Memorandum, none of such rights-of-way contains any restriction that is materially burdensome to the Plains Parties considered as a whole.</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firstLine="645"/>
        <w:spacing w:after="0" w:line="293" w:lineRule="auto"/>
        <w:tabs>
          <w:tab w:leader="none" w:pos="129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None of the Plains Parties is now, and after sale of the Securities to be sold by the Issuers hereunder and application of the net proceeds from such sale as described in the Offering Memorandum under the caption “Use of Proceeds,” none of the Plains Parties will be, (i) an “investment company” or a company “controlled by” an “investment company” within the meaning of the Investment Company Act, (ii) a “public utility company,” “holding company” or a “subsidiary company” of a “holding company” or an “affiliate” thereof, under the Public Utility Holding Company Act of 1935, as amended, (iii) a “gas utility,” within the meaning of Tex. Util. Code § 121.001 or (iv) a “public utility” or “utility” within the meaning of the Public Utility Regulatory Act of Texas or under similar laws of any state in which any such Plains Party does business.</w:t>
      </w:r>
    </w:p>
    <w:p>
      <w:pPr>
        <w:spacing w:after="0" w:line="164" w:lineRule="exact"/>
        <w:rPr>
          <w:rFonts w:ascii="Arial" w:cs="Arial" w:eastAsia="Arial" w:hAnsi="Arial"/>
          <w:sz w:val="16"/>
          <w:szCs w:val="16"/>
          <w:color w:val="auto"/>
        </w:rPr>
      </w:pPr>
    </w:p>
    <w:p>
      <w:pPr>
        <w:ind w:firstLine="645"/>
        <w:spacing w:after="0" w:line="259" w:lineRule="auto"/>
        <w:tabs>
          <w:tab w:leader="none" w:pos="130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None of the Plains Parties has sustained since the date of the latest audited financial statements included in the Offering Memorandum any material loss or interference with its business from fire, explosion, flood or other calamity whether or not covered by insurance, or from any labor dispute or court or governmental action, investigation, order or decree, otherwise than as set forth or contemplated in the Offering Memorandum.</w:t>
      </w:r>
    </w:p>
    <w:p>
      <w:pPr>
        <w:spacing w:after="0" w:line="186" w:lineRule="exact"/>
        <w:rPr>
          <w:rFonts w:ascii="Arial" w:cs="Arial" w:eastAsia="Arial" w:hAnsi="Arial"/>
          <w:sz w:val="18"/>
          <w:szCs w:val="18"/>
          <w:color w:val="auto"/>
        </w:rPr>
      </w:pPr>
    </w:p>
    <w:p>
      <w:pPr>
        <w:ind w:right="20" w:firstLine="645"/>
        <w:spacing w:after="0" w:line="255" w:lineRule="auto"/>
        <w:tabs>
          <w:tab w:leader="none" w:pos="131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Except as described in the Offering Memorandum, none of the Plains Parties has violated any environmental, safety, health or similar law or regulation applicable to its business relating to the protection of human health and safety, the environment or hazardous or toxic substances or wastes, pollutants or contaminants (“Environmental Laws”), or lacks any permits, licenses or other approvals required of them under applicable Environmental Laws to own, lease or operate their properties and conduct their business as described in the Offering Memorandum or is violating any terms and conditions of any such permit, license or approval, which in each case would have a material adverse effect on the condition (financial or other), business, prospects, properties, net worth or results of operations of the Partnership, the Subsidiaries and the Joint Venture, taken as a whole.</w:t>
      </w:r>
    </w:p>
    <w:p>
      <w:pPr>
        <w:spacing w:after="0" w:line="189" w:lineRule="exact"/>
        <w:rPr>
          <w:rFonts w:ascii="Arial" w:cs="Arial" w:eastAsia="Arial" w:hAnsi="Arial"/>
          <w:sz w:val="18"/>
          <w:szCs w:val="18"/>
          <w:color w:val="auto"/>
        </w:rPr>
      </w:pPr>
    </w:p>
    <w:p>
      <w:pPr>
        <w:ind w:right="40" w:firstLine="645"/>
        <w:spacing w:after="0" w:line="264" w:lineRule="auto"/>
        <w:tabs>
          <w:tab w:leader="none" w:pos="129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labor dispute by the employees of any of the Plains Parties exists or, to the knowledge of the Plains Parties, is imminent, which might reasonably be expected to have a material adverse effect on the condition (financial or other), business, prospects, properties, net worth or results of operations of the Partnership, the Subsidiaries and the Joint Venture, taken as a whole.</w:t>
      </w:r>
    </w:p>
    <w:p>
      <w:pPr>
        <w:spacing w:after="0" w:line="181" w:lineRule="exact"/>
        <w:rPr>
          <w:rFonts w:ascii="Arial" w:cs="Arial" w:eastAsia="Arial" w:hAnsi="Arial"/>
          <w:sz w:val="18"/>
          <w:szCs w:val="18"/>
          <w:color w:val="auto"/>
        </w:rPr>
      </w:pPr>
    </w:p>
    <w:p>
      <w:pPr>
        <w:ind w:firstLine="645"/>
        <w:spacing w:after="0" w:line="257" w:lineRule="auto"/>
        <w:tabs>
          <w:tab w:leader="none" w:pos="129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Plains Parties maintain insurance covering their properties, operations, personnel and businesses against such losses and risks as are reasonably adequate to protect them and their businesses in a manner consistent with other businesses similarly situated. None of the Plains Parties has received notice from any insurer or agent of such insurer that substantial capital improvements or other expenditures will have to be made in order to continue such insurance, and all such insurance is outstanding and duly in force on the date hereof and will be outstanding and duly in force on the Closing Date.</w:t>
      </w:r>
    </w:p>
    <w:p>
      <w:pPr>
        <w:spacing w:after="0" w:line="188" w:lineRule="exact"/>
        <w:rPr>
          <w:rFonts w:ascii="Arial" w:cs="Arial" w:eastAsia="Arial" w:hAnsi="Arial"/>
          <w:sz w:val="18"/>
          <w:szCs w:val="18"/>
          <w:color w:val="auto"/>
        </w:rPr>
      </w:pPr>
    </w:p>
    <w:p>
      <w:pPr>
        <w:ind w:right="280" w:firstLine="645"/>
        <w:spacing w:after="0" w:line="277" w:lineRule="auto"/>
        <w:tabs>
          <w:tab w:leader="none" w:pos="132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Except as described in the Offering Memorandum, there is (i) no action, suit or proceeding before or by any court, arbitrator or governmental agency, body or</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official, domestic or foreign, now pending or, to the knowledge of the Plains Parties, threatened, to which any of the Plains Parties, or any of their respective subsidiaries, is or may be a party or to which the business or property of any of the Plains Parties, or any of their respective subsidiaries, is or may be subject, (ii) no statute, rule, regulation or order that has been enacted, adopted or issued by any governmental agency or, to the knowledge of the Plains Parties, that has been proposed by any governmental body and (iii) no injunction, restraining order or order of any nature issued by a federal or state court or foreign court of competent jurisdiction to which any of the Plains Parties, or any of their respective subsidiaries, is or may be subject, that, in the case of clauses (i), (ii) and (iii) above, is reasonably expected to (A) singly or in the aggregate have a material adverse effect on the condition (financial or other), business, prospects, properties, net worth or results of operations of the Partnership, the Subsidiaries and the Joint Venture, taken as a whole, (B) prevent or result in the suspension of the offering and issuance of the Securities or prevent the issuance of the Exchange Securities or (C) challenge the validity of this Agreement, the Indenture, the Securities, the Exchange Securities or the Registration Rights Agreement.</w:t>
      </w:r>
    </w:p>
    <w:p>
      <w:pPr>
        <w:spacing w:after="0" w:line="178" w:lineRule="exact"/>
        <w:rPr>
          <w:sz w:val="20"/>
          <w:szCs w:val="20"/>
          <w:color w:val="auto"/>
        </w:rPr>
      </w:pPr>
    </w:p>
    <w:p>
      <w:pPr>
        <w:ind w:right="100" w:firstLine="645"/>
        <w:spacing w:after="0" w:line="257" w:lineRule="auto"/>
        <w:tabs>
          <w:tab w:leader="none" w:pos="132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Subsidiary is currently prohibited, directly or indirectly, from paying any dividends to the Partnership, from making any other distribution on such Subsidiary’s capital stock or partnership or limited liability company interests, from repaying to the Partnership any loans or advances to such Subsidiary from the Partnership or from transferring any of such Subsidiary’s property or assets to the Partnership or any other Subsidiary of the Partnership, except as described in or contemplated by the Offering Memorandum (exclusive of any amendment or supplement thereto).</w:t>
      </w:r>
    </w:p>
    <w:p>
      <w:pPr>
        <w:spacing w:after="0" w:line="188" w:lineRule="exact"/>
        <w:rPr>
          <w:rFonts w:ascii="Arial" w:cs="Arial" w:eastAsia="Arial" w:hAnsi="Arial"/>
          <w:sz w:val="18"/>
          <w:szCs w:val="18"/>
          <w:color w:val="auto"/>
        </w:rPr>
      </w:pPr>
    </w:p>
    <w:p>
      <w:pPr>
        <w:ind w:right="140" w:firstLine="645"/>
        <w:spacing w:after="0" w:line="302" w:lineRule="auto"/>
        <w:tabs>
          <w:tab w:leader="none" w:pos="132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Partnership, each of the Subsidiaries and the Joint Venture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w:t>
      </w:r>
    </w:p>
    <w:p>
      <w:pPr>
        <w:sectPr>
          <w:pgSz w:w="11900" w:h="16838" w:orient="portrait"/>
          <w:cols w:equalWidth="0" w:num="1">
            <w:col w:w="10740"/>
          </w:cols>
          <w:pgMar w:left="900" w:top="125" w:right="259" w:bottom="0" w:gutter="0" w:footer="0" w:header="0"/>
        </w:sectPr>
      </w:pPr>
    </w:p>
    <w:bookmarkStart w:id="55" w:name="page56"/>
    <w:bookmarkEnd w:id="55"/>
    <w:p>
      <w:pPr>
        <w:ind w:left="660" w:right="660"/>
        <w:spacing w:after="0" w:line="277" w:lineRule="auto"/>
        <w:rPr>
          <w:sz w:val="20"/>
          <w:szCs w:val="20"/>
          <w:color w:val="auto"/>
        </w:rPr>
      </w:pPr>
      <w:r>
        <w:rPr>
          <w:rFonts w:ascii="Arial" w:cs="Arial" w:eastAsia="Arial" w:hAnsi="Arial"/>
          <w:sz w:val="18"/>
          <w:szCs w:val="18"/>
          <w:color w:val="auto"/>
        </w:rPr>
        <w:t>recorded accountability for assets is compared with existing assets at reasonable intervals and appropriate action is taken with respect to any differences.</w:t>
      </w:r>
    </w:p>
    <w:p>
      <w:pPr>
        <w:spacing w:after="0" w:line="170" w:lineRule="exact"/>
        <w:rPr>
          <w:sz w:val="20"/>
          <w:szCs w:val="20"/>
          <w:color w:val="auto"/>
        </w:rPr>
      </w:pPr>
    </w:p>
    <w:p>
      <w:pPr>
        <w:ind w:left="660" w:right="60" w:firstLine="645"/>
        <w:spacing w:after="0" w:line="264" w:lineRule="auto"/>
        <w:tabs>
          <w:tab w:leader="none" w:pos="198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Partnership and, to the knowledge of the Plains Parties, the directors and officers of GP LLC in their capacities as such, are in compliance in all material respects with all applicable and effective provisions of the Sarbanes-Oxley Act of 2002 and the rules and regulations promulgated thereunder.</w:t>
      </w:r>
    </w:p>
    <w:p>
      <w:pPr>
        <w:spacing w:after="0" w:line="181"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Any certificate signed by any officer of the Plains Parties and delivered to the Initial Purchasers or counsel for the Initial Purchasers in connection with the offering of the Securities shall be deemed a representation and warranty by the Plains Parties, as to matters covered thereby, to the Initial Purchasers.</w:t>
      </w:r>
    </w:p>
    <w:p>
      <w:pPr>
        <w:spacing w:after="0" w:line="181" w:lineRule="exact"/>
        <w:rPr>
          <w:sz w:val="20"/>
          <w:szCs w:val="20"/>
          <w:color w:val="auto"/>
        </w:rPr>
      </w:pPr>
    </w:p>
    <w:p>
      <w:pPr>
        <w:ind w:right="60" w:firstLine="1305"/>
        <w:spacing w:after="0" w:line="277" w:lineRule="auto"/>
        <w:tabs>
          <w:tab w:leader="none" w:pos="195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Issuers agree to sell to each Initial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Purchaser, and each Initial Purchaser severally agrees to purchase from the Issuers, at a purchase price of 98.944% of the principal amount thereof, the Securities.</w:t>
      </w:r>
    </w:p>
    <w:p>
      <w:pPr>
        <w:spacing w:after="0" w:line="170" w:lineRule="exact"/>
        <w:rPr>
          <w:sz w:val="20"/>
          <w:szCs w:val="20"/>
          <w:color w:val="auto"/>
        </w:rPr>
      </w:pPr>
    </w:p>
    <w:p>
      <w:pPr>
        <w:ind w:right="60" w:firstLine="1305"/>
        <w:spacing w:after="0" w:line="273" w:lineRule="auto"/>
        <w:tabs>
          <w:tab w:leader="none" w:pos="1958"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at 10:00 A.M., New York City time, on May 12, 2006, or at such time on such later date (not later than May 19, 2006,) as the Initial Purchasers shall designate, which date and time may be postponed by agreement between the Initial Purchasers and the Issuers (such date and time of delivery and payment for the Securities being herein called the “Closing Date”). Delivery of the Securities shall be made to the Initial Purchasers against payment by the Initial Purchasers of the purchase price thereof to or upon the order of the Issuers by wire transfer payable in same-day funds to the account specified by the Issuers. Delivery of the Securities shall be made through the facilities of The Depository Trust Company unless the Initial Purchasers shall otherwise instruct.</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Offering by Initial Purchasers</w:t>
      </w:r>
      <w:r>
        <w:rPr>
          <w:rFonts w:ascii="Arial" w:cs="Arial" w:eastAsia="Arial" w:hAnsi="Arial"/>
          <w:sz w:val="18"/>
          <w:szCs w:val="18"/>
          <w:color w:val="auto"/>
        </w:rPr>
        <w:t>. Each Initial Purchaser represents and warrants to and agrees with the Issuers that:</w:t>
      </w:r>
    </w:p>
    <w:p>
      <w:pPr>
        <w:spacing w:after="0" w:line="225" w:lineRule="exact"/>
        <w:rPr>
          <w:sz w:val="20"/>
          <w:szCs w:val="20"/>
          <w:color w:val="auto"/>
        </w:rPr>
      </w:pPr>
    </w:p>
    <w:p>
      <w:pPr>
        <w:ind w:left="660" w:right="120" w:firstLine="645"/>
        <w:spacing w:after="0" w:line="259" w:lineRule="auto"/>
        <w:tabs>
          <w:tab w:leader="none" w:pos="19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 has not offered or sold, and will not offer or sell, any Securities except (i) to those it reasonably believes to be qualified institutional buyers (as defined in Rule 144A under the Act) and that, in connection with each such sale, it has taken or will take reasonable steps to ensure that the purchaser of such Securities is aware that such sale is being made in reliance on Rule 144A or (ii) in accordance with the restrictions set forth in Exhibit B hereto.</w:t>
      </w:r>
    </w:p>
    <w:p>
      <w:pPr>
        <w:spacing w:after="0" w:line="186"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Neither it nor any person acting on its behalf has made or will make offers or sales of the Securities in the United States by means of any form of general solicitation or general advertising (within the meaning of Regulation D) in the United States.</w:t>
      </w:r>
    </w:p>
    <w:p>
      <w:pPr>
        <w:spacing w:after="0" w:line="170" w:lineRule="exact"/>
        <w:rPr>
          <w:sz w:val="20"/>
          <w:szCs w:val="20"/>
          <w:color w:val="auto"/>
        </w:rPr>
      </w:pPr>
    </w:p>
    <w:p>
      <w:pPr>
        <w:ind w:left="1960" w:hanging="655"/>
        <w:spacing w:after="0"/>
        <w:tabs>
          <w:tab w:leader="none" w:pos="196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Agreements</w:t>
      </w:r>
      <w:r>
        <w:rPr>
          <w:rFonts w:ascii="Arial" w:cs="Arial" w:eastAsia="Arial" w:hAnsi="Arial"/>
          <w:sz w:val="17"/>
          <w:szCs w:val="17"/>
          <w:color w:val="auto"/>
        </w:rPr>
        <w:t>. Each of the Plains Parties, jointly and severally, acknowledges and agrees with the Initial Purchasers that:</w:t>
      </w:r>
    </w:p>
    <w:p>
      <w:pPr>
        <w:spacing w:after="0" w:line="237" w:lineRule="exact"/>
        <w:rPr>
          <w:sz w:val="20"/>
          <w:szCs w:val="20"/>
          <w:color w:val="auto"/>
        </w:rPr>
      </w:pPr>
    </w:p>
    <w:p>
      <w:pPr>
        <w:ind w:left="660" w:right="600" w:firstLine="645"/>
        <w:spacing w:after="0" w:line="264" w:lineRule="auto"/>
        <w:tabs>
          <w:tab w:leader="none" w:pos="196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Issuers will furnish to the Initial Purchasers and to counsel for the Initial Purchasers, without charge, during the period referred to in paragraph (c) below, as many copies of the Offering Memorandum and any amendments and supplements thereto as they may reasonably request.</w:t>
      </w:r>
    </w:p>
    <w:p>
      <w:pPr>
        <w:spacing w:after="0" w:line="181" w:lineRule="exact"/>
        <w:rPr>
          <w:rFonts w:ascii="Arial" w:cs="Arial" w:eastAsia="Arial" w:hAnsi="Arial"/>
          <w:sz w:val="18"/>
          <w:szCs w:val="18"/>
          <w:color w:val="auto"/>
        </w:rPr>
      </w:pPr>
    </w:p>
    <w:p>
      <w:pPr>
        <w:ind w:left="660" w:right="60" w:firstLine="645"/>
        <w:spacing w:after="0" w:line="272" w:lineRule="auto"/>
        <w:tabs>
          <w:tab w:leader="none" w:pos="196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The Issuers will not amend or supplement the Offering Memorandum, other than by filing documents under the Exchange Act that are incorporated by reference therein, without the prior written consent of the Initial Purchasers;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the completion of the distribution of the Securities by the Initial Purchasers (as determined by the Initial Purchasers), the Issuers will not file any document under the Exchange Act that is incorporated by reference in the Offering Memorandum unless (i) prior to such proposed filing, the Issuers have furnished the Initial Purchasers with a copy of such document for their review and the Initial Purchasers have not reasonably objected to the filing of such document or (ii) the Initial Purchasers have reasonably objected and the Issuers have received advice of counsel that such filing is necessary and appropriate. The Issuers will promptly advise the Initial Purchasers when any document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filed under the Exchange Act that is incorporated by reference in the Offering Memorandum shall have been filed with the Commission.</w:t>
      </w:r>
    </w:p>
    <w:p>
      <w:pPr>
        <w:spacing w:after="0" w:line="225" w:lineRule="exact"/>
        <w:rPr>
          <w:sz w:val="20"/>
          <w:szCs w:val="20"/>
          <w:color w:val="auto"/>
        </w:rPr>
      </w:pPr>
    </w:p>
    <w:p>
      <w:pPr>
        <w:ind w:left="660" w:firstLine="645"/>
        <w:spacing w:after="0" w:line="254" w:lineRule="auto"/>
        <w:tabs>
          <w:tab w:leader="none" w:pos="19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at any time prior to the completion of the distribution of the Securities by the Initial Purchasers (as determined by the Initial Purchasers), any event occurs as a result of which the Offering Memorandum, as then amended or supplemented, would include any untrue statement of a material fact or omit to state any material fact necessary to make the statements therein, in the light of the circumstances under which they were made, not misleading, or if it should be necessary to amend or supplement the Offering Memorandum to comply with applicable law, the Issuers promptly (i) will notify the Initial Purchasers of any such event; (ii) subject to the requirements of paragraph (b) of this Section 5, will prepare an amendment or supplement that will correct such statement or omission or effect such compliance; and (iii) will supply any supplemented or amended Offering Memorandum to the Initial Purchasers and counsel for the Initial Purchasers without charge in such quantities as they may reasonably request.</w:t>
      </w:r>
    </w:p>
    <w:p>
      <w:pPr>
        <w:spacing w:after="0" w:line="192" w:lineRule="exact"/>
        <w:rPr>
          <w:rFonts w:ascii="Arial" w:cs="Arial" w:eastAsia="Arial" w:hAnsi="Arial"/>
          <w:sz w:val="18"/>
          <w:szCs w:val="18"/>
          <w:color w:val="auto"/>
        </w:rPr>
      </w:pPr>
    </w:p>
    <w:p>
      <w:pPr>
        <w:ind w:left="660" w:right="20" w:firstLine="645"/>
        <w:spacing w:after="0" w:line="255" w:lineRule="auto"/>
        <w:tabs>
          <w:tab w:leader="none" w:pos="196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Issuers will arrange, if necessary, for the qualification of the Securities for sale by the Initial Purchasers under the laws of such jurisdictions as the Initial Purchasers may reasonably designate and will maintain such qualifications in effect so long as reasonably required for the sale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either Issuer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 The Issuers will promptly advise the Initial Purchasers of the receipt by the Issuers of any notification with respect to the suspension of the qualification of the Securities for sale in any jurisdiction or the initiation or threatening of any proceeding for such purpose.</w:t>
      </w:r>
    </w:p>
    <w:p>
      <w:pPr>
        <w:sectPr>
          <w:pgSz w:w="11900" w:h="16838" w:orient="portrait"/>
          <w:cols w:equalWidth="0" w:num="1">
            <w:col w:w="11420"/>
          </w:cols>
          <w:pgMar w:left="240" w:top="125" w:right="239" w:bottom="23" w:gutter="0" w:footer="0" w:header="0"/>
        </w:sectPr>
      </w:pPr>
    </w:p>
    <w:bookmarkStart w:id="56" w:name="page57"/>
    <w:bookmarkEnd w:id="56"/>
    <w:p>
      <w:pPr>
        <w:ind w:left="1940" w:hanging="655"/>
        <w:spacing w:after="0"/>
        <w:tabs>
          <w:tab w:leader="none" w:pos="19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During the period of two years after the Closing Date, none of the Plains Parties will resell any Securities that have been acquired</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by any of them.</w:t>
      </w:r>
    </w:p>
    <w:p>
      <w:pPr>
        <w:spacing w:after="0" w:line="210" w:lineRule="exact"/>
        <w:rPr>
          <w:rFonts w:ascii="Arial" w:cs="Arial" w:eastAsia="Arial" w:hAnsi="Arial"/>
          <w:sz w:val="16"/>
          <w:szCs w:val="16"/>
          <w:color w:val="auto"/>
        </w:rPr>
      </w:pPr>
    </w:p>
    <w:p>
      <w:pPr>
        <w:ind w:left="640" w:right="20" w:firstLine="645"/>
        <w:spacing w:after="0" w:line="312" w:lineRule="auto"/>
        <w:tabs>
          <w:tab w:leader="none" w:pos="195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None of the Plains Parties, nor any person acting on behalf of any of the Plains Parties (other than the Initial Purchasers, as to whom the Plains Parties make no representation), will, directly or indirectly, make offers or sales of any security, or solicit offers to buy any security, that is or will be integrated with the sale of the Securities in a manner that would require the registration of the Securities under the Act.</w:t>
      </w:r>
    </w:p>
    <w:p>
      <w:pPr>
        <w:spacing w:after="0" w:line="146" w:lineRule="exact"/>
        <w:rPr>
          <w:rFonts w:ascii="Arial" w:cs="Arial" w:eastAsia="Arial" w:hAnsi="Arial"/>
          <w:sz w:val="16"/>
          <w:szCs w:val="16"/>
          <w:color w:val="auto"/>
        </w:rPr>
      </w:pPr>
    </w:p>
    <w:p>
      <w:pPr>
        <w:ind w:left="640" w:right="400" w:firstLine="645"/>
        <w:spacing w:after="0" w:line="264" w:lineRule="auto"/>
        <w:tabs>
          <w:tab w:leader="none" w:pos="19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None of the Plains Parties, nor any person acting on behalf of any of the Plains Parties (other than the Initial Purchasers, as to whom the Plains Parties make no representation), will engage in any form of general solicitation or general advertising (within the meaning of Regulation D) in connection with any offer or sale of the Securities in the United States.</w:t>
      </w:r>
    </w:p>
    <w:p>
      <w:pPr>
        <w:spacing w:after="0" w:line="181" w:lineRule="exact"/>
        <w:rPr>
          <w:rFonts w:ascii="Arial" w:cs="Arial" w:eastAsia="Arial" w:hAnsi="Arial"/>
          <w:sz w:val="18"/>
          <w:szCs w:val="18"/>
          <w:color w:val="auto"/>
        </w:rPr>
      </w:pPr>
    </w:p>
    <w:p>
      <w:pPr>
        <w:ind w:left="640" w:right="40" w:firstLine="645"/>
        <w:spacing w:after="0" w:line="264" w:lineRule="auto"/>
        <w:tabs>
          <w:tab w:leader="none" w:pos="19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So long as any of the Securities are “restricted securities” within the meaning of Rule 144(a)(3) under the Act, the Issuers will, during any period in which they are not subject to and in compliance with Section 13 or 15(d) of the Exchange Act or they are not exempt from such reporting requirements pursuant to and in compliance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Rule 12g3-2(b) under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 The information provided by the Issuers pursuant to this Section 5(h) will not, at the date thereof, contain any untrue statement of a material fact or omit to state any material fact necessary to make the statements therein, in the light of the circumstances under which they were made, not misleading.</w:t>
      </w:r>
    </w:p>
    <w:p>
      <w:pPr>
        <w:spacing w:after="0" w:line="193" w:lineRule="exact"/>
        <w:rPr>
          <w:sz w:val="20"/>
          <w:szCs w:val="20"/>
          <w:color w:val="auto"/>
        </w:rPr>
      </w:pPr>
    </w:p>
    <w:p>
      <w:pPr>
        <w:jc w:val="both"/>
        <w:ind w:left="640" w:right="180" w:firstLine="645"/>
        <w:spacing w:after="0" w:line="312" w:lineRule="auto"/>
        <w:tabs>
          <w:tab w:leader="none" w:pos="195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None of the Plains Parties, nor any person acting on behalf of any of the Plains Parties (other than the Initial Purchasers, as to whom the Plains Parties make no representation), will engage in any directed selling efforts with respect to the Securities, and each of them will comply with the offering restrictions requirement of Regulation S. Terms used in this paragraph have the meanings given to them by Regulation S.</w:t>
      </w:r>
    </w:p>
    <w:p>
      <w:pPr>
        <w:spacing w:after="0" w:line="146" w:lineRule="exact"/>
        <w:rPr>
          <w:rFonts w:ascii="Arial" w:cs="Arial" w:eastAsia="Arial" w:hAnsi="Arial"/>
          <w:sz w:val="16"/>
          <w:szCs w:val="16"/>
          <w:color w:val="auto"/>
        </w:rPr>
      </w:pPr>
    </w:p>
    <w:p>
      <w:pPr>
        <w:ind w:left="640" w:right="80" w:firstLine="645"/>
        <w:spacing w:after="0" w:line="277" w:lineRule="auto"/>
        <w:tabs>
          <w:tab w:leader="none" w:pos="195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Issuers will cooperate with and assist the Initial Purchasers to permit the Securities to be eligible for clearance and settlement through The Depository Trust Company.</w:t>
      </w:r>
    </w:p>
    <w:p>
      <w:pPr>
        <w:spacing w:after="0" w:line="170" w:lineRule="exact"/>
        <w:rPr>
          <w:rFonts w:ascii="Arial" w:cs="Arial" w:eastAsia="Arial" w:hAnsi="Arial"/>
          <w:sz w:val="18"/>
          <w:szCs w:val="18"/>
          <w:color w:val="auto"/>
        </w:rPr>
      </w:pPr>
    </w:p>
    <w:p>
      <w:pPr>
        <w:ind w:left="640" w:firstLine="645"/>
        <w:spacing w:after="0" w:line="289" w:lineRule="auto"/>
        <w:tabs>
          <w:tab w:leader="none" w:pos="195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Plains Parties will not, for a period 60 days following the Execution Time, without the prior written consent of the Initial Purchasers, offer, sell or contract to sell, pledge or otherwise dispose of (or enter into any transaction which is designed to, or might reasonably be expected to, result in the disposition (whether by actual disposition or effective economic disposition due to cash settlement or otherwise) by any of the Plains Parties or any person in privity with the Plains Parties), directly or indirectly, or announce the offering of, any U.S. dollar-denominated debt securities registered under the Act or eligible for trading pursuant to Rule 144A issued or guaranteed by the Plains Parties (other than the Securities), except the issuance of the Exchange Securities or borrowings under the Amended and Restated Credit Agreement [US/Canada Facilities] dated November 4, 2005 (as amended, the “Revolving Agreement”) among the Partnership, PMC NS, PMC LP, as borrowers thereunder, Bank of America, N.A., as administrative agent thereunder, Bank of America, N.A., acting through its Canada Branch, as Canadian administrative agent thereunder, and various other agents thereunder and lenders from time to time party thereto, and/or the Contango Credit Agreement.</w:t>
      </w:r>
    </w:p>
    <w:p>
      <w:pPr>
        <w:spacing w:after="0" w:line="166" w:lineRule="exact"/>
        <w:rPr>
          <w:rFonts w:ascii="Arial" w:cs="Arial" w:eastAsia="Arial" w:hAnsi="Arial"/>
          <w:sz w:val="16"/>
          <w:szCs w:val="16"/>
          <w:color w:val="auto"/>
        </w:rPr>
      </w:pPr>
    </w:p>
    <w:p>
      <w:pPr>
        <w:ind w:left="640" w:right="240" w:firstLine="645"/>
        <w:spacing w:after="0" w:line="264" w:lineRule="auto"/>
        <w:tabs>
          <w:tab w:leader="none" w:pos="195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None of the Plains Parties, nor any person acting on its or their behalf, will take, directly or indirectly, any action designed to or which has constituted or which might reasonably be expected to cause or result, under the Exchange Act or otherwise, in stabilization or manipulation of the price of any security of the Issuers to facilitate the sale or resale of the Securities.</w:t>
      </w:r>
    </w:p>
    <w:p>
      <w:pPr>
        <w:spacing w:after="0" w:line="181" w:lineRule="exact"/>
        <w:rPr>
          <w:rFonts w:ascii="Arial" w:cs="Arial" w:eastAsia="Arial" w:hAnsi="Arial"/>
          <w:sz w:val="18"/>
          <w:szCs w:val="18"/>
          <w:color w:val="auto"/>
        </w:rPr>
      </w:pPr>
    </w:p>
    <w:p>
      <w:pPr>
        <w:jc w:val="both"/>
        <w:ind w:left="640" w:right="80" w:firstLine="645"/>
        <w:spacing w:after="0" w:line="264" w:lineRule="auto"/>
        <w:tabs>
          <w:tab w:leader="none" w:pos="196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Issuers agree to pay the costs and expenses relating to the following matters: (i) the issuance of the Securities and the fees of the Trustee; (ii) the preparation, printing or reproduction of the Offering Memorandum and each amendment or supplement thereto; (iii) the printing (or reproduction) and delivery (including postage,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right="120"/>
        <w:spacing w:after="0" w:line="287" w:lineRule="auto"/>
        <w:rPr>
          <w:sz w:val="20"/>
          <w:szCs w:val="20"/>
          <w:color w:val="auto"/>
        </w:rPr>
      </w:pPr>
      <w:r>
        <w:rPr>
          <w:rFonts w:ascii="Arial" w:cs="Arial" w:eastAsia="Arial" w:hAnsi="Arial"/>
          <w:sz w:val="16"/>
          <w:szCs w:val="16"/>
          <w:color w:val="auto"/>
        </w:rPr>
        <w:t>air freight charges and charges for counting and packaging) of such copies of the Final Offering Memorandum, and all amendments or supplements thereto, as may be reasonably requested for use in connection with the offering and sale of the Securities; (iv) the preparation, printing, authentication, issuance and delivery of certificates for the Securities, including any stamp or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(including, without limitation, the Indenture and the Registration Rights Agreement); (vi) any registration or qualification of the Securities for offer and sale under the securities or blue sky laws of the several states as provided in Section 5(d) hereof (including filing fees and the reasonable fees and expenses of counsel for the Initial Purchasers relating to such registration and qualification); (vii) if required, admitting the Securities for trading in the PORTAL Market; (viii) the transportation and other expenses incurred by or on behalf of the Issuers’ representatives in connection with presentations to prospective purchasers of the Securities; (ix) the fees and expenses of the Issuers’ accountants and the fees and expenses of counsel (including local and special counsel) for the Issuers; and (x) all other costs and expenses incident to the performance by the Issuers of their obligations hereunder.</w:t>
      </w:r>
    </w:p>
    <w:p>
      <w:pPr>
        <w:spacing w:after="0" w:line="173" w:lineRule="exact"/>
        <w:rPr>
          <w:sz w:val="20"/>
          <w:szCs w:val="20"/>
          <w:color w:val="auto"/>
        </w:rPr>
      </w:pPr>
    </w:p>
    <w:p>
      <w:pPr>
        <w:ind w:left="640" w:right="220" w:firstLine="645"/>
        <w:spacing w:after="0" w:line="342" w:lineRule="auto"/>
        <w:tabs>
          <w:tab w:leader="none" w:pos="19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Without the prior written consent of the Initial Purchasers, the Plains Parties have not given and will not give to any prospective purchaser of the Securities any written information relating to the offer and sale of the Securities, other than the Offering Memorandum.</w:t>
      </w:r>
    </w:p>
    <w:p>
      <w:pPr>
        <w:spacing w:after="0" w:line="124" w:lineRule="exact"/>
        <w:rPr>
          <w:sz w:val="20"/>
          <w:szCs w:val="20"/>
          <w:color w:val="auto"/>
        </w:rPr>
      </w:pPr>
    </w:p>
    <w:p>
      <w:pPr>
        <w:jc w:val="both"/>
        <w:ind w:left="-20" w:right="40" w:firstLine="1305"/>
        <w:spacing w:after="0" w:line="259" w:lineRule="auto"/>
        <w:tabs>
          <w:tab w:leader="none" w:pos="193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Initial Purchasers</w:t>
      </w:r>
      <w:r>
        <w:rPr>
          <w:rFonts w:ascii="Arial" w:cs="Arial" w:eastAsia="Arial" w:hAnsi="Arial"/>
          <w:sz w:val="18"/>
          <w:szCs w:val="18"/>
          <w:color w:val="auto"/>
        </w:rPr>
        <w:t>. The obligations of the Initial Purchasers to purchase the Securities shall be subject to the accuracy of the representations and warranties on the part of the Plains Parties contained herein at the Execution Time and the Closing Date, to the accuracy of the statements of the Plains Parties made in any certificates pursuant to the provisions hereof, to the performance by the Plains Parties of their obligations hereunder and to the following additional conditions:</w:t>
      </w:r>
    </w:p>
    <w:p>
      <w:pPr>
        <w:sectPr>
          <w:pgSz w:w="11900" w:h="16838" w:orient="portrait"/>
          <w:cols w:equalWidth="0" w:num="1">
            <w:col w:w="11380"/>
          </w:cols>
          <w:pgMar w:left="260" w:top="125" w:right="259" w:bottom="21" w:gutter="0" w:footer="0" w:header="0"/>
        </w:sectPr>
      </w:pPr>
    </w:p>
    <w:bookmarkStart w:id="57" w:name="page58"/>
    <w:bookmarkEnd w:id="57"/>
    <w:p>
      <w:pPr>
        <w:spacing w:after="0" w:line="87" w:lineRule="exact"/>
        <w:rPr>
          <w:sz w:val="20"/>
          <w:szCs w:val="20"/>
          <w:color w:val="auto"/>
        </w:rPr>
      </w:pPr>
    </w:p>
    <w:p>
      <w:pPr>
        <w:ind w:left="-540" w:right="80" w:firstLine="645"/>
        <w:spacing w:after="0" w:line="277" w:lineRule="auto"/>
        <w:tabs>
          <w:tab w:leader="none" w:pos="76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Issuers shall have requested and caused Vinson &amp; Elkins L.L.P., counsel for the Issuers, to furnish to the Initial Purchasers its opinion, dated the Closing Date and addressed to the Initial Purchasers, to the effect that:</w:t>
      </w:r>
    </w:p>
    <w:p>
      <w:pPr>
        <w:spacing w:after="0" w:line="170" w:lineRule="exact"/>
        <w:rPr>
          <w:rFonts w:ascii="Arial" w:cs="Arial" w:eastAsia="Arial" w:hAnsi="Arial"/>
          <w:sz w:val="18"/>
          <w:szCs w:val="18"/>
          <w:color w:val="auto"/>
        </w:rPr>
      </w:pPr>
    </w:p>
    <w:p>
      <w:pPr>
        <w:ind w:left="100" w:right="220" w:firstLine="653"/>
        <w:spacing w:after="0" w:line="293" w:lineRule="auto"/>
        <w:tabs>
          <w:tab w:leader="none" w:pos="141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Each of GP LLC, the General Partner, the Partnership. the Subsidiaries (other than the Canadian Subsidiaries) and the Joint Venture has been duly formed or incorporated and is validly existing in good standing as a limited partnership, limited liability company or corporation under the laws of its jurisdiction of formation or incorporation with full partnership, limited liability company or corporate power and authority, as the case may be, to own or lease its properties and to conduct its business in each case in all material respects. Each of GP LLC, the General Partner, the Partnership, the Subsidiaries (other than the Canadian Subsidiaries) and the Joint Venture is duly registered or qualified as a foreign limited partnership, limited liability company or corporation, as the case</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may be, for the transaction of business and is in good standing under the laws of the jurisdictions set forth on Exhibit C to this Agreement.</w:t>
      </w:r>
    </w:p>
    <w:p>
      <w:pPr>
        <w:spacing w:after="0" w:line="248" w:lineRule="exact"/>
        <w:rPr>
          <w:sz w:val="20"/>
          <w:szCs w:val="20"/>
          <w:color w:val="auto"/>
        </w:rPr>
      </w:pPr>
    </w:p>
    <w:p>
      <w:pPr>
        <w:ind w:left="100" w:right="80" w:firstLine="653"/>
        <w:spacing w:after="0" w:line="257" w:lineRule="auto"/>
        <w:tabs>
          <w:tab w:leader="none" w:pos="142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GP LLC has full limited liability company power and authority to act as the general partner of the General Partner; the General Partner has full partnership power and authority to act as the general partner of the Partnership; GP Inc. has full corporate power and authority to act as the general partner of Plains Marketing and Plains Pipeline; Rancho LLC has full limited liability company power and authority to act as the general partner of Rancho LP and Basin LLC has full limited liability company power and authority to act as the general partner of Basin LP, in each case in all material respects.</w:t>
      </w:r>
    </w:p>
    <w:p>
      <w:pPr>
        <w:spacing w:after="0" w:line="188" w:lineRule="exact"/>
        <w:rPr>
          <w:rFonts w:ascii="Arial" w:cs="Arial" w:eastAsia="Arial" w:hAnsi="Arial"/>
          <w:sz w:val="18"/>
          <w:szCs w:val="18"/>
          <w:color w:val="auto"/>
        </w:rPr>
      </w:pPr>
    </w:p>
    <w:p>
      <w:pPr>
        <w:ind w:left="100" w:firstLine="653"/>
        <w:spacing w:after="0" w:line="289" w:lineRule="auto"/>
        <w:tabs>
          <w:tab w:leader="none" w:pos="143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GP LLC is the sole general partner of the General Partner, with a 1.0% general partner interest in the General Partner, and the General Partner is the sole general partner of the Partnership, with a 2.0% general partner interest in the Partnership; such general partner interests have been duly authorized and validly issued in accordance with the General Partner Partnership Agreement and the Partnership Agreement, respectively; the General Partner owns all of the Incentive Distribution Rights; GP LLC owns such general partner interest in the General Partner, and the General Partner owns such general partner interest in the Partnership and the Incentive Distribution Rights, in each case, free and clear of all liens, encumbrances, security interests, charges or claims (A) in respect of which a financing statement under the Uniform Commercial Code of the States of Delaware or Texas naming GP LLC or the General Partner as debtor is on file in the office of the Secretary of State of the States of Delaware or Texas or (B) otherwise known to such counsel, without independent investigation, other than those created by or arising under the Delaware LP Act.</w:t>
      </w:r>
    </w:p>
    <w:p>
      <w:pPr>
        <w:spacing w:after="0" w:line="166" w:lineRule="exact"/>
        <w:rPr>
          <w:rFonts w:ascii="Arial" w:cs="Arial" w:eastAsia="Arial" w:hAnsi="Arial"/>
          <w:sz w:val="16"/>
          <w:szCs w:val="16"/>
          <w:color w:val="auto"/>
        </w:rPr>
      </w:pPr>
    </w:p>
    <w:p>
      <w:pPr>
        <w:ind w:left="100" w:right="40" w:firstLine="653"/>
        <w:spacing w:after="0" w:line="291" w:lineRule="auto"/>
        <w:tabs>
          <w:tab w:leader="none" w:pos="141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GP Inc. is the sole general partner of Plains Marketing, with a .001% general partner interest in Plains Marketing, and the sole general partner of Plains Pipeline, with a .001% general partner interest in Plains Pipeline; such general partner interests have been duly authorized and validly issued in accordance with the Plains Marketing Partnership Agreement and the Plains Pipeline Partnership Agreement, respectively; and GP Inc. owns such general partner interests free and clear of all liens, encumbrances, security interests, charges or claims (A) in respect of which a financing statement under the Uniform Commercial Code of the States of Delaware or Texas naming GP Inc. as debtor is on file in the office of the Secretary of State of the States of Delaware or Texas or (B) otherwise known to such counsel, without independent investigation, other than those created by or arising under the Texas LP Act.</w:t>
      </w:r>
    </w:p>
    <w:p>
      <w:pPr>
        <w:spacing w:after="0" w:line="167" w:lineRule="exact"/>
        <w:rPr>
          <w:rFonts w:ascii="Arial" w:cs="Arial" w:eastAsia="Arial" w:hAnsi="Arial"/>
          <w:sz w:val="16"/>
          <w:szCs w:val="16"/>
          <w:color w:val="auto"/>
        </w:rPr>
      </w:pPr>
    </w:p>
    <w:p>
      <w:pPr>
        <w:ind w:left="100" w:right="180" w:firstLine="653"/>
        <w:spacing w:after="0" w:line="259" w:lineRule="auto"/>
        <w:tabs>
          <w:tab w:leader="none" w:pos="140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of the outstanding shares of capital stock or other equity interests (other than general partner interests) of each Subsidiary (other than the Canadian Subsidiaries, as to which such counsel need not express any opinion) and the Joint Venture (a) have been duly authorized and validly issued (in the case of an interest in a limited partnership or limited liability company, in accordance with the Organizational Documents of such Subsidiary or the Joint Venture), are</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 w:right="40"/>
        <w:spacing w:after="0" w:line="268" w:lineRule="auto"/>
        <w:rPr>
          <w:sz w:val="20"/>
          <w:szCs w:val="20"/>
          <w:color w:val="auto"/>
        </w:rPr>
      </w:pPr>
      <w:r>
        <w:rPr>
          <w:rFonts w:ascii="Arial" w:cs="Arial" w:eastAsia="Arial" w:hAnsi="Arial"/>
          <w:sz w:val="17"/>
          <w:szCs w:val="17"/>
          <w:color w:val="auto"/>
        </w:rPr>
        <w:t>fully paid (in the case of an interest in a limited partnership or limited liability company, to the extent required under the Organizational Documents of such Subsidiary or the Joint Venture) and nonassessable (except (i) in the case of an interest in a Delaware limited partnership or Delaware limited liability company, as such nonassessability may be affected by Section 17-607 of the Delaware LP Act or Section 18-607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a 50% membership interest in the Joint Venture owned by Vulcan Gas Storage LLC, are owned, directly or indirectly, by the Partnership, free and clear of all liens, encumbrances, security interests, charges or claims (A) in respect of which a financing statement under the Uniform Commercial Code of the States of Delaware or Texas naming the Partnership as debtor or, in the case of capital stock or other equity interests of a Subsidiary owned directly by one or more other Subsidiaries (other than the Canadian Subsidiaries), naming any such other Subsidiaries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Subsidiary (other than such laws of the jurisdiction of formation or incorporation of the Canadian Subsidiaries) or the Joint Venture, as the case may be.</w:t>
      </w:r>
    </w:p>
    <w:p>
      <w:pPr>
        <w:spacing w:after="0" w:line="185" w:lineRule="exact"/>
        <w:rPr>
          <w:sz w:val="20"/>
          <w:szCs w:val="20"/>
          <w:color w:val="auto"/>
        </w:rPr>
      </w:pPr>
    </w:p>
    <w:p>
      <w:pPr>
        <w:ind w:left="100" w:right="80" w:firstLine="653"/>
        <w:spacing w:after="0" w:line="290" w:lineRule="auto"/>
        <w:tabs>
          <w:tab w:leader="none" w:pos="141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All outstanding general partner interests in each Subsidiary that is a partnership (other than the Canadian Subsidiaries) have been duly authorized and validly issued in accordance with the respective Organizational Documents of such Subsidiary and are owned, directly or indirectly, by the Partnership, free and clear of all liens, encumbrances, security interests, charges or claims (A) in respect of which a financing statement under the Uniform Commercial Code of the States of Delaware or Texas naming the Partnership as debtor or, in the case of general partner interests of a Subsidiary owned directly by one or more other Subsidiaries (other than the Canadian Subsidiaries), naming any such other Subsidiaries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Subsidiary, as the case may be.</w:t>
      </w:r>
    </w:p>
    <w:p>
      <w:pPr>
        <w:spacing w:after="0" w:line="166" w:lineRule="exact"/>
        <w:rPr>
          <w:rFonts w:ascii="Arial" w:cs="Arial" w:eastAsia="Arial" w:hAnsi="Arial"/>
          <w:sz w:val="16"/>
          <w:szCs w:val="16"/>
          <w:color w:val="auto"/>
        </w:rPr>
      </w:pPr>
    </w:p>
    <w:p>
      <w:pPr>
        <w:jc w:val="both"/>
        <w:ind w:left="100" w:right="60" w:firstLine="653"/>
        <w:spacing w:after="0" w:line="312" w:lineRule="auto"/>
        <w:tabs>
          <w:tab w:leader="none" w:pos="142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such counsel’s knowledge, the offering or sale of the Securities as contemplated by this Agreement does not give rise to any rights for or relating to the registration of any other securities of the Issuers, except such rights as have been waived or satisfied. The Issuers have all requisite power and authority to issue, sell and deliver the Securities, in accordance with and upon the terms and conditions</w:t>
      </w:r>
    </w:p>
    <w:p>
      <w:pPr>
        <w:sectPr>
          <w:pgSz w:w="11900" w:h="16925" w:orient="portrait"/>
          <w:cols w:equalWidth="0" w:num="1">
            <w:col w:w="10200"/>
          </w:cols>
          <w:pgMar w:left="1440" w:top="125" w:right="259" w:bottom="0" w:gutter="0" w:footer="0" w:header="0"/>
        </w:sectPr>
      </w:pPr>
    </w:p>
    <w:bookmarkStart w:id="58" w:name="page59"/>
    <w:bookmarkEnd w:id="58"/>
    <w:p>
      <w:pPr>
        <w:ind w:left="100" w:right="180"/>
        <w:spacing w:after="0" w:line="277" w:lineRule="auto"/>
        <w:rPr>
          <w:sz w:val="20"/>
          <w:szCs w:val="20"/>
          <w:color w:val="auto"/>
        </w:rPr>
      </w:pPr>
      <w:r>
        <w:rPr>
          <w:rFonts w:ascii="Arial" w:cs="Arial" w:eastAsia="Arial" w:hAnsi="Arial"/>
          <w:sz w:val="18"/>
          <w:szCs w:val="18"/>
          <w:color w:val="auto"/>
        </w:rPr>
        <w:t>set forth in this Agreement, their respective Organizational Documents, the Indenture and Offering Memorandum and to issue and deliver the Exchange Securities, in accordance with and upon the terms and conditions set</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 w:right="360"/>
        <w:spacing w:after="0" w:line="277" w:lineRule="auto"/>
        <w:rPr>
          <w:sz w:val="20"/>
          <w:szCs w:val="20"/>
          <w:color w:val="auto"/>
        </w:rPr>
      </w:pPr>
      <w:r>
        <w:rPr>
          <w:rFonts w:ascii="Arial" w:cs="Arial" w:eastAsia="Arial" w:hAnsi="Arial"/>
          <w:sz w:val="18"/>
          <w:szCs w:val="18"/>
          <w:color w:val="auto"/>
        </w:rPr>
        <w:t>forth in this Agreement, the Registration Rights Agreement, their respective Organizational Documents, the Indenture and the Offering Memorandum.</w:t>
      </w:r>
    </w:p>
    <w:p>
      <w:pPr>
        <w:spacing w:after="0" w:line="170" w:lineRule="exact"/>
        <w:rPr>
          <w:sz w:val="20"/>
          <w:szCs w:val="20"/>
          <w:color w:val="auto"/>
        </w:rPr>
      </w:pPr>
    </w:p>
    <w:p>
      <w:pPr>
        <w:ind w:left="100" w:right="120" w:firstLine="653"/>
        <w:spacing w:after="0" w:line="277" w:lineRule="auto"/>
        <w:tabs>
          <w:tab w:leader="none" w:pos="143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Plains Parties (other than the Canadian Subsidiaries, as to which such counsel need not express an opinion).</w:t>
      </w:r>
    </w:p>
    <w:p>
      <w:pPr>
        <w:spacing w:after="0" w:line="170" w:lineRule="exact"/>
        <w:rPr>
          <w:rFonts w:ascii="Arial" w:cs="Arial" w:eastAsia="Arial" w:hAnsi="Arial"/>
          <w:sz w:val="18"/>
          <w:szCs w:val="18"/>
          <w:color w:val="auto"/>
        </w:rPr>
      </w:pPr>
    </w:p>
    <w:p>
      <w:pPr>
        <w:ind w:left="100" w:right="60" w:firstLine="653"/>
        <w:spacing w:after="0" w:line="291" w:lineRule="auto"/>
        <w:tabs>
          <w:tab w:leader="none" w:pos="14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The Indenture has been duly authorized, executed and delivered by each of the Plains Parties (other than the Canadian Subsidiaries, as to which such counsel need not express an opinion) and (assuming the due authorization, execution and delivery thereof by the Trustee) is a valid and legally binding agreement of each of the Plains Parties, enforceable against each of them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67" w:lineRule="exact"/>
        <w:rPr>
          <w:rFonts w:ascii="Arial" w:cs="Arial" w:eastAsia="Arial" w:hAnsi="Arial"/>
          <w:sz w:val="16"/>
          <w:szCs w:val="16"/>
          <w:color w:val="auto"/>
        </w:rPr>
      </w:pPr>
    </w:p>
    <w:p>
      <w:pPr>
        <w:ind w:left="100" w:firstLine="653"/>
        <w:spacing w:after="0" w:line="288" w:lineRule="auto"/>
        <w:tabs>
          <w:tab w:leader="none" w:pos="1431"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The Securities have been duly and validly authorized and, when executed and authenticated in accordance with the provisions of the Indenture and delivered to and paid for by the Initial Purchasers under this Agreement, will constitute legal, valid, binding and enforceable obligations of the Issuers entitled to the benefits of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w:t>
      </w:r>
    </w:p>
    <w:p>
      <w:pPr>
        <w:ind w:left="100" w:right="140" w:firstLine="5"/>
        <w:spacing w:after="0" w:line="254" w:lineRule="auto"/>
        <w:tabs>
          <w:tab w:leader="none" w:pos="3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rFonts w:ascii="Arial" w:cs="Arial" w:eastAsia="Arial" w:hAnsi="Arial"/>
          <w:sz w:val="18"/>
          <w:szCs w:val="18"/>
          <w:color w:val="auto"/>
        </w:rPr>
      </w:pPr>
    </w:p>
    <w:p>
      <w:pPr>
        <w:ind w:left="100" w:firstLine="653"/>
        <w:spacing w:after="0" w:line="288" w:lineRule="auto"/>
        <w:tabs>
          <w:tab w:leader="none" w:pos="144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The Exchange Securities have been duly and validly authorized and, when executed and authenticated in accordance with the provisions of the Indenture and delivered pursuant to the Registration Rights Agreement, will constitute legal, valid, binding and enforceable obligations of the Issuers entitled to the benefits of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w:t>
      </w:r>
    </w:p>
    <w:p>
      <w:pPr>
        <w:ind w:left="100" w:right="140" w:firstLine="5"/>
        <w:spacing w:after="0" w:line="254" w:lineRule="auto"/>
        <w:tabs>
          <w:tab w:leader="none" w:pos="3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rFonts w:ascii="Arial" w:cs="Arial" w:eastAsia="Arial" w:hAnsi="Arial"/>
          <w:sz w:val="18"/>
          <w:szCs w:val="18"/>
          <w:color w:val="auto"/>
        </w:rPr>
      </w:pPr>
    </w:p>
    <w:p>
      <w:pPr>
        <w:ind w:left="100" w:right="200" w:firstLine="653"/>
        <w:spacing w:after="0" w:line="277" w:lineRule="auto"/>
        <w:tabs>
          <w:tab w:leader="none" w:pos="145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Registration Rights Agreement has been duly authorized, executed and delivered by each of the Plains Parties that are a party thereto (other than the Canadian Subsidiaries, as to which such counsel need not express an</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 w:right="60"/>
        <w:spacing w:after="0" w:line="276" w:lineRule="auto"/>
        <w:rPr>
          <w:sz w:val="20"/>
          <w:szCs w:val="20"/>
          <w:color w:val="auto"/>
        </w:rPr>
      </w:pPr>
      <w:r>
        <w:rPr>
          <w:rFonts w:ascii="Arial" w:cs="Arial" w:eastAsia="Arial" w:hAnsi="Arial"/>
          <w:sz w:val="17"/>
          <w:szCs w:val="17"/>
          <w:color w:val="auto"/>
        </w:rPr>
        <w:t xml:space="preserve">opinion), and is a valid and legally binding agreement of each of the Plains Parties, enforceable against each of them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73" w:lineRule="exact"/>
        <w:rPr>
          <w:sz w:val="20"/>
          <w:szCs w:val="20"/>
          <w:color w:val="auto"/>
        </w:rPr>
      </w:pPr>
    </w:p>
    <w:p>
      <w:pPr>
        <w:ind w:left="100" w:right="20" w:firstLine="653"/>
        <w:spacing w:after="0" w:line="284" w:lineRule="auto"/>
        <w:tabs>
          <w:tab w:leader="none" w:pos="145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The Partnership Agreement is a valid and legally binding agreement of the General Partner, enforceable against the General Partner in accordance with its terms; the Plains Marketing Partnership Agreement is a valid and legally binding agreement of GP Inc. and the Partnership, enforceable against each of them in accordance with its terms; the Plains Pipeline Partnership Agreement is a valid and legally binding agreement of GP Inc. and Plains Marketing enforceable against each of them in accordance with its terms; the Basin LP Partnership Agreement is a valid and legally binding agreement of Basin LLC and Plains Pipeline, enforceable against each of them in accordance with its terms; the Rancho LP Partnership Agreement is a valid and legally binding agreement of Rancho LLC and Plains Pipeline, enforceable against each of them in accordance with its terms; the PMC LP Partnership Agreement has been duly authorized, executed and delivered by Plains Marketing and is a valid and legally binding agreement of Plains Marketing enforceable against it in accordance with its terms; the PMC LLC Agreement has been duly authorized, executed and delivered by Plains Marketing and is a valid and legally binding agreement of Plains Marketing, enforceable against it in accordance with its terms; the LPG LLC Agreement has been duly authorized, executed and delivered by Plains Marketing and is a valid and legally binding agreement of Plains Marketing, enforceable against it in accordance with its terms; the LPG LP Partnership Agreement is a valid and legally binding agreement of LPG LLC and Plains Marketing, enforceable against each of them in accordance with its terms; the Lone Star LLC Agreement has been duly authorized, executed and delivered by LPG LP and is a valid and legally binding agreement of LPG LP, enforceable against it in accordance with its terms; the Gas Storage LLC Agreement has been duly authorized, executed and delivered by the Partnership and, assuming due authorization, execution and delivery by the other parties thereto, is a valid and legally binding agreement of the Partnership enforceable against it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agreement (other than the PMC LP Partnership Agreement, as to which such counsel need not express an opinion),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ectPr>
          <w:pgSz w:w="11900" w:h="16838" w:orient="portrait"/>
          <w:cols w:equalWidth="0" w:num="1">
            <w:col w:w="10200"/>
          </w:cols>
          <w:pgMar w:left="1440" w:top="125" w:right="259" w:bottom="298" w:gutter="0" w:footer="0" w:header="0"/>
        </w:sectPr>
      </w:pP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00"/>
          </w:cols>
          <w:pgMar w:left="1440" w:top="125" w:right="259" w:bottom="298" w:gutter="0" w:footer="0" w:header="0"/>
          <w:type w:val="continuous"/>
        </w:sectPr>
      </w:pPr>
    </w:p>
    <w:bookmarkStart w:id="59" w:name="page60"/>
    <w:bookmarkEnd w:id="59"/>
    <w:p>
      <w:pPr>
        <w:spacing w:after="0" w:line="79" w:lineRule="exact"/>
        <w:rPr>
          <w:sz w:val="20"/>
          <w:szCs w:val="20"/>
          <w:color w:val="auto"/>
        </w:rPr>
      </w:pPr>
    </w:p>
    <w:p>
      <w:pPr>
        <w:ind w:left="640" w:right="40" w:firstLine="653"/>
        <w:spacing w:after="0" w:line="286" w:lineRule="auto"/>
        <w:tabs>
          <w:tab w:leader="none" w:pos="197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None of the offering, issuance and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 by the Plains Parties which are parties thereto or the consummation of the transactions contemplated thereby (A) constitutes or will constitute a violation of the Organizational Documents (other than the Organizational Documents of the Canadian Subsidiaries) of any of the Plains Parties, (B) conflicts or will conflict with or constitutes or will constitute a breach or violation of, a change of control or a default under (or an event which, with notice or lapse of time or both, would constitute such an event), any agreement filed as an exhibit to any document incorporated by reference into the Offering Memorandum (including any amendment or supplement thereto) (other than the Revolving Agreement and the Contango Credit Agreement, as to which such counsel need not express an opinion), (C) results or will result in any violation of the Delaware LP Act, the Delaware LLC Act, the DGCL, the laws of the State of Texas or federal law, or (D) results or will result in the creation or imposition of any lien, charge or encumbrance upon any property or assets of any of the Plains Parties (other than the Canadian Subsidiaries) or the Joint Venture, which in the case of clauses (B), (C) or (D) would reasonably be expected to have a material adverse effect on the financial condition, business or results of operations of the Partnership, the Subsidiaries and the Joint Venture, taken as a whole.</w:t>
      </w:r>
    </w:p>
    <w:p>
      <w:pPr>
        <w:spacing w:after="0" w:line="174" w:lineRule="exact"/>
        <w:rPr>
          <w:rFonts w:ascii="Arial" w:cs="Arial" w:eastAsia="Arial" w:hAnsi="Arial"/>
          <w:sz w:val="16"/>
          <w:szCs w:val="16"/>
          <w:color w:val="auto"/>
        </w:rPr>
      </w:pPr>
    </w:p>
    <w:p>
      <w:pPr>
        <w:ind w:left="640" w:right="40" w:firstLine="653"/>
        <w:spacing w:after="0" w:line="271" w:lineRule="auto"/>
        <w:tabs>
          <w:tab w:leader="none" w:pos="196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No permit, consent, approval, authorization, order, registration, filing or qualification of or with any federal, Delaware or Texas court, governmental agency or body having jurisdiction over the Plains Parties or any of their respective properties is required for the offering, issuance and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 by the Plains Parties which are parties thereto or the consummation of the transactions contemplated thereby, except as will be obtained pursuant to the Registration Rights Agreement, under the Act and the Trust Indenture Act and as may be required under the Exchange Act and state securities or “Blue Sky” laws, as to which such counsel need not express any opinion.</w:t>
      </w:r>
    </w:p>
    <w:p>
      <w:pPr>
        <w:spacing w:after="0" w:line="178" w:lineRule="exact"/>
        <w:rPr>
          <w:rFonts w:ascii="Arial" w:cs="Arial" w:eastAsia="Arial" w:hAnsi="Arial"/>
          <w:sz w:val="17"/>
          <w:szCs w:val="17"/>
          <w:color w:val="auto"/>
        </w:rPr>
      </w:pPr>
    </w:p>
    <w:p>
      <w:pPr>
        <w:ind w:left="640" w:right="160" w:firstLine="653"/>
        <w:spacing w:after="0" w:line="302" w:lineRule="auto"/>
        <w:tabs>
          <w:tab w:leader="none" w:pos="197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statements in the Offering Memorandum under the captions “Description of Notes,” “Exchange Offer; Registration Rights” and “Certain United States Federal Income Tax Considerations,” insofar as they constitute descriptions of agreements or refer to statements of law or legal conclusions, are accurate in all material respects, and the Securities, the Exchange Securities, the Indenture and the Registration Rights Agreement conform in all material respects to the descriptions thereof contained in the Offering Memorandum.</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80" w:hanging="687"/>
        <w:spacing w:after="0"/>
        <w:tabs>
          <w:tab w:leader="none" w:pos="19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None of the Plains Parties is an “investment company” as such term is defined in the Investment Company Act.</w:t>
      </w:r>
    </w:p>
    <w:p>
      <w:pPr>
        <w:spacing w:after="0" w:line="236" w:lineRule="exact"/>
        <w:rPr>
          <w:rFonts w:ascii="Arial" w:cs="Arial" w:eastAsia="Arial" w:hAnsi="Arial"/>
          <w:sz w:val="17"/>
          <w:szCs w:val="17"/>
          <w:color w:val="auto"/>
        </w:rPr>
      </w:pPr>
    </w:p>
    <w:p>
      <w:pPr>
        <w:ind w:left="640" w:right="40" w:firstLine="653"/>
        <w:spacing w:after="0" w:line="259" w:lineRule="auto"/>
        <w:tabs>
          <w:tab w:leader="none" w:pos="19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Assuming the accuracy of the representations and warranties and compliance with the agreements contained herein, no registration of the Securities under the Act, and no qualification of an indenture under the Trust Indenture Act, are required for the offer and sale by the Issuers to the Initial Purchasers and the initial resale by the Initial Purchasers of the Securities in the manner contemplated by this Agreement.</w:t>
      </w:r>
    </w:p>
    <w:p>
      <w:pPr>
        <w:spacing w:after="0" w:line="186" w:lineRule="exact"/>
        <w:rPr>
          <w:rFonts w:ascii="Arial" w:cs="Arial" w:eastAsia="Arial" w:hAnsi="Arial"/>
          <w:sz w:val="18"/>
          <w:szCs w:val="18"/>
          <w:color w:val="auto"/>
        </w:rPr>
      </w:pPr>
    </w:p>
    <w:p>
      <w:pPr>
        <w:ind w:left="640" w:right="540" w:firstLine="653"/>
        <w:spacing w:after="0" w:line="279" w:lineRule="auto"/>
        <w:tabs>
          <w:tab w:leader="none" w:pos="200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documents incorporated by reference in the Offering Memorandum (including any amendment or supplement thereto) (except for financial statements and the notes and schedules thereto and other financial information included in any such incorporated documents, as to which such counsel need not express any opinion) comply as to form in all material respects with the requirements of the Exchange Act and the rules and regulations promulgated thereunder.</w:t>
      </w:r>
    </w:p>
    <w:p>
      <w:pPr>
        <w:spacing w:after="0" w:line="17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addition, such counsel shall state that they have participated in conferences with officers and other representatives of the Plains Parties, representatives of the independent registered public accountants of the Partnership and your representatives, at which the contents of the Offering Memorandum and related matters were discussed, and although such counsel has not independently verified, is not passing on, and is not assuming any responsibility for the accuracy, completeness or fairness of the statements contained in the Offering Memorandum (except to the extent specified in the foregoing opinion), no facts have come to such counsel’s attention that lead such counsel to believe that the Preliminary Offering Memorandum and the Pricing Supplement as of the Execution Time and as of the Closing Date, and the Final Offering Memorandum as of its date and as of the Closing Date (in each case other than (i) the financial statements included or incorporated by reference therein, including the notes and schedules thereto and the auditors’ reports thereon, and (ii) the other financial and statistical information included or incorporated by reference therein, as to which such counsel need not comment), contained or contains an untrue statement of a material fact or omitted or omits to state a material fact necessary to make the statements therein, in the light of the circumstances under which they were made, not misleading.</w:t>
      </w:r>
    </w:p>
    <w:p>
      <w:pPr>
        <w:spacing w:after="0" w:line="16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the laws of the State of Texas and the contract laws of the State of New York, (D) with respect to the opinions expressed in paragraph (i) above as to the due qualification or registration as a foreign limited partnership, corporation or limited liability company, as the case may be, of each of the Plains Parties, state that such opinions are based upon certificates of foreign qualification or registration provided by the Secretary of State of</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States listed on Exhibit C hereto (each of which shall be dated as of a date not more than fourteen days prior to the Closing Date and shall be provided to you) and (E) state that they express no opinion with respect to (i) any permits to own or operate any real or personal property or (ii) state or local taxes or tax statutes to which any of the limited partners of the Partnership or any of the Plains Parties may be subject.</w:t>
      </w:r>
    </w:p>
    <w:p>
      <w:pPr>
        <w:spacing w:after="0" w:line="166" w:lineRule="exact"/>
        <w:rPr>
          <w:sz w:val="20"/>
          <w:szCs w:val="20"/>
          <w:color w:val="auto"/>
        </w:rPr>
      </w:pPr>
    </w:p>
    <w:p>
      <w:pPr>
        <w:ind w:right="60" w:firstLine="645"/>
        <w:spacing w:after="0" w:line="302" w:lineRule="auto"/>
        <w:tabs>
          <w:tab w:leader="none" w:pos="130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Initial Purchasers shall have received on the Closing Date, an opinion of Fulbright &amp; Jaworski L.L.P., special counsel for the Plains Parties, dated the Closing Date and addressed to the Initial Purchasers, to the effect that none of the offering, issuance or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w:t>
      </w:r>
    </w:p>
    <w:p>
      <w:pPr>
        <w:sectPr>
          <w:pgSz w:w="11900" w:h="16918" w:orient="portrait"/>
          <w:cols w:equalWidth="0" w:num="1">
            <w:col w:w="10760"/>
          </w:cols>
          <w:pgMar w:left="900" w:top="341" w:right="239" w:bottom="0" w:gutter="0" w:footer="0" w:header="0"/>
        </w:sectPr>
      </w:pPr>
    </w:p>
    <w:bookmarkStart w:id="60" w:name="page61"/>
    <w:bookmarkEnd w:id="60"/>
    <w:p>
      <w:pPr>
        <w:spacing w:after="0" w:line="45"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Agreement by the Plains Parties which are parties thereto or the consummation of the transactions contemplated thereby, result in a breach of, or constitutes a default under (or an event which, with notice or lapse of time or both, would constitute such an event) the provisions of any Credit Facility (as defined in Annex A to such opinion, which shall include the Revolving Agreement and the Contango Credit Agreement).</w:t>
      </w:r>
    </w:p>
    <w:p>
      <w:pPr>
        <w:spacing w:after="0" w:line="14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excepting therefrom municipal and local ordinances and regulations.</w:t>
      </w:r>
    </w:p>
    <w:p>
      <w:pPr>
        <w:spacing w:after="0" w:line="15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rendering such opinion, such counsel shall state that such opinion letter may be relied upon only by the Initial Purchasers and their counsel in connection with the transactions contemplated by this Agreement and no other use or distribution of such opinion letter may be made without such counsel’s prior written consent.</w:t>
      </w:r>
    </w:p>
    <w:p>
      <w:pPr>
        <w:spacing w:after="0" w:line="181" w:lineRule="exact"/>
        <w:rPr>
          <w:sz w:val="20"/>
          <w:szCs w:val="20"/>
          <w:color w:val="auto"/>
        </w:rPr>
      </w:pPr>
    </w:p>
    <w:p>
      <w:pPr>
        <w:ind w:right="220" w:firstLine="645"/>
        <w:spacing w:after="0" w:line="277" w:lineRule="auto"/>
        <w:tabs>
          <w:tab w:leader="none" w:pos="130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Tim Moore, general counsel for GP LLC, dated the Closing Date and addressed to the Initial Purchasers, to the effect that:</w:t>
      </w:r>
    </w:p>
    <w:p>
      <w:pPr>
        <w:spacing w:after="0" w:line="170" w:lineRule="exact"/>
        <w:rPr>
          <w:rFonts w:ascii="Arial" w:cs="Arial" w:eastAsia="Arial" w:hAnsi="Arial"/>
          <w:sz w:val="18"/>
          <w:szCs w:val="18"/>
          <w:color w:val="auto"/>
        </w:rPr>
      </w:pPr>
    </w:p>
    <w:p>
      <w:pPr>
        <w:ind w:left="640" w:right="40" w:firstLine="653"/>
        <w:spacing w:after="0" w:line="293" w:lineRule="auto"/>
        <w:tabs>
          <w:tab w:leader="none" w:pos="1958"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To the knowledge of such counsel, none of the Plains Parties is in (A) breach or violation of the provisions of its Organizational Documents or (B) default (and no event has occurred which, with notice or lapse of time or both, would constitute such a default) or violation in the performance of any obligation, agreement or condition contained in any bond, debenture, note or any other evidence of indebtedness or in any agreement, indenture, lease or other instrument to which it is a party or by which it or any of its properties may be bound, which breach, default or violation, if continued, would reasonably be expected to have a material adverse effect on the condition, business or operations of the Partnership, the Subsidiaries and the Joint Venture, taken as a whole, or would reasonably be</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expected to materially impair the ability of any of the Plains Parties to perform their obligations under this Agreement.</w:t>
      </w:r>
    </w:p>
    <w:p>
      <w:pPr>
        <w:spacing w:after="0" w:line="225" w:lineRule="exact"/>
        <w:rPr>
          <w:sz w:val="20"/>
          <w:szCs w:val="20"/>
          <w:color w:val="auto"/>
        </w:rPr>
      </w:pPr>
    </w:p>
    <w:p>
      <w:pPr>
        <w:ind w:left="640" w:right="40" w:firstLine="653"/>
        <w:spacing w:after="0" w:line="287" w:lineRule="auto"/>
        <w:tabs>
          <w:tab w:leader="none" w:pos="196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None of the offering, issuance and sale by the Issuers of the Securities, the issuance of the Exchange Securities, the execution, delivery and performance by the Plains Parties of this Agreement, the consummation of the transactions contemplated hereby, the execution, delivery and performance of the Indenture and the Registration Rights Agreement by the Plains Parties which are parties thereto or the consummation of the transactions contemplated thereby (A) constitutes or will constitute a breach or violation of, a change of control or a default under (or an event which, with notice or lapse of time or both, would constitute such an event) any bond, debenture, note or any other evidence of indebtedness, indenture or any other material agreement or instrument known to such counsel to which a Plains Party is a party or by which any one of them may be bound (other than any other agreement filed as an exhibit to any documents incorporated by reference into the Offering Memorandum (including any amendment or supplement thereto) or any Credit Agreement (as defined in Annex A to such opinion)) or (B) violates or will violate any statute, law or regulation or any order, judgment, decree or injunction of any court or governmental agency or body directed to any of the Plains Parties or any of their properties in a proceeding to which any of them is a party, which would, in the case of either (A) or (B), reasonably be expected to have a material adverse effect on the condition, business or operations of the Partnership, the Subsidiaries and the Joint Venture, taken as a whole.</w:t>
      </w:r>
    </w:p>
    <w:p>
      <w:pPr>
        <w:spacing w:after="0" w:line="168" w:lineRule="exact"/>
        <w:rPr>
          <w:rFonts w:ascii="Arial" w:cs="Arial" w:eastAsia="Arial" w:hAnsi="Arial"/>
          <w:sz w:val="16"/>
          <w:szCs w:val="16"/>
          <w:color w:val="auto"/>
        </w:rPr>
      </w:pPr>
    </w:p>
    <w:p>
      <w:pPr>
        <w:ind w:left="640" w:right="40" w:firstLine="653"/>
        <w:spacing w:after="0" w:line="290" w:lineRule="auto"/>
        <w:tabs>
          <w:tab w:leader="none" w:pos="197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the knowledge of such counsel, each of the Plains Parties has such permits, consents, licenses, franchises and authorizations (“permits”) issued by the appropriate federal, state or local governmental or regulatory authorities as are necessary to own or lease its properties and to conduct its business in the manner described in the Offering Memorandum, subject to such qualifications as may be set forth in the Offering Memorandum, and except for such permits which, if not obtained, would not reasonably be expected to have, individually or in the aggregate, a material adverse effect upon the operations conducted by the Partnership, the Subsidiaries and the Joint Venture, taken as a whole; and, to the knowledge of such counsel, none of the Plains Parties has received any notice of proceedings relating to the revocation or modification of any such permits which, individually or in the aggregate, would reasonably be expected to have a material adverse effect upon the operations conducted by the Partnership, the Subsidiaries and the Joint Venture, taken as a whole.</w:t>
      </w:r>
    </w:p>
    <w:p>
      <w:pPr>
        <w:spacing w:after="0" w:line="166" w:lineRule="exact"/>
        <w:rPr>
          <w:rFonts w:ascii="Arial" w:cs="Arial" w:eastAsia="Arial" w:hAnsi="Arial"/>
          <w:sz w:val="16"/>
          <w:szCs w:val="16"/>
          <w:color w:val="auto"/>
        </w:rPr>
      </w:pPr>
    </w:p>
    <w:p>
      <w:pPr>
        <w:ind w:left="640" w:right="60" w:firstLine="653"/>
        <w:spacing w:after="0" w:line="259" w:lineRule="auto"/>
        <w:tabs>
          <w:tab w:leader="none" w:pos="19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as described in the Offering Memorandum, to the knowledge of such counsel, there is no litigation proceeding, or governmental investigation pending or threatened against any of the Plains Parties which would be reasonably likely to have a material adverse effect on the condition, business, properties, or operations of the Partnership, the Subsidiaries and the Joint Venture, taken as a whole.</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addition, such counsel shall state that he has participated in discussions with officers and other representatives of the Plains Parties and the independent registered public accountants of the Partnership and your representatives, at which the contents of the Offering Memorandum and related matters were discussed, and although such counsel has not independently verified, is not passing on, and is not assuming any responsibility for the accuracy, completeness or fairness of the statements contained in, the Offering Memorandum, no facts have come to such counsel’s attention that lead such counsel to believe that the Preliminary Offering Memorandum and the Pricing Supplement as of the Execution Time and as of the Closing Date, and the Final Offering Memorandum as of its date and as of the Closing Date (in each case other than (i) the financial statements included or incorporated by reference therein, including the notes and schedules thereto and the auditors’ reports thereon, and (ii) the other financial and statistical information included or incorporated by reference therein, as to which such counsel need not comment), contained or contains an untrue statement of a material fact or omitted or omits to state a material fact necessary to make the statements therein, in the light of the circumstances under which they were made, not misleading.</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the Plains Parties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and the DGCL and the laws of the State of Texas and (D) state that he expresses no opinion with respect to state or local taxes or tax statutes.</w:t>
      </w:r>
    </w:p>
    <w:p>
      <w:pPr>
        <w:sectPr>
          <w:pgSz w:w="11900" w:h="16884" w:orient="portrait"/>
          <w:cols w:equalWidth="0" w:num="1">
            <w:col w:w="10740"/>
          </w:cols>
          <w:pgMar w:left="900" w:top="125" w:right="259" w:bottom="0" w:gutter="0" w:footer="0" w:header="0"/>
        </w:sectPr>
      </w:pPr>
    </w:p>
    <w:bookmarkStart w:id="61" w:name="page62"/>
    <w:bookmarkEnd w:id="61"/>
    <w:p>
      <w:pPr>
        <w:ind w:right="240" w:firstLine="645"/>
        <w:spacing w:after="0" w:line="264" w:lineRule="auto"/>
        <w:tabs>
          <w:tab w:leader="none" w:pos="130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Bennett Jones LLP with respect to the Province of Alberta, the Province of Nova Scotia and the federal laws of Canada, dated the Closing Date and addressed to the Initial Purchasers, to the effect that:</w:t>
      </w:r>
    </w:p>
    <w:p>
      <w:pPr>
        <w:spacing w:after="0" w:line="181" w:lineRule="exact"/>
        <w:rPr>
          <w:rFonts w:ascii="Arial" w:cs="Arial" w:eastAsia="Arial" w:hAnsi="Arial"/>
          <w:sz w:val="18"/>
          <w:szCs w:val="18"/>
          <w:color w:val="auto"/>
        </w:rPr>
      </w:pPr>
    </w:p>
    <w:p>
      <w:pPr>
        <w:ind w:left="640" w:right="60" w:firstLine="653"/>
        <w:spacing w:after="0" w:line="255" w:lineRule="auto"/>
        <w:tabs>
          <w:tab w:leader="none" w:pos="195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Each of the Canadian Subsidiaries has been duly formed and is validly existing in good standing as a limited partnership or unlimited liability company under the laws of its jurisdiction of formation with all necessary partnership or corporate power and authority to own or lease its properties, as the case may be, in all material respects as described in the Offering Memorandum, and to conduct its business as currently conducted and as proposed in the Offering Memorandum to be conducted. PMC NS has all necessary corporate power and authority to act as general partner of PMC LP in all material respects as described in the Offering Memorandum. Each of the Canadian Subsidiaries is duly registered extra-provincially for the transaction of business and is in good standing under the laws of the jurisdictions set forth on Exhibit C to this Agreement.</w:t>
      </w:r>
    </w:p>
    <w:p>
      <w:pPr>
        <w:spacing w:after="0" w:line="189" w:lineRule="exact"/>
        <w:rPr>
          <w:rFonts w:ascii="Arial" w:cs="Arial" w:eastAsia="Arial" w:hAnsi="Arial"/>
          <w:sz w:val="18"/>
          <w:szCs w:val="18"/>
          <w:color w:val="auto"/>
        </w:rPr>
      </w:pPr>
    </w:p>
    <w:p>
      <w:pPr>
        <w:ind w:left="640" w:right="60" w:firstLine="653"/>
        <w:spacing w:after="0" w:line="277" w:lineRule="auto"/>
        <w:tabs>
          <w:tab w:leader="none" w:pos="196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PMC NS is the sole general partner of PMC LP with a 0.01% interest in PMC LP; such interest has been duly authorized and validly issued in accordance with the PMC LP Partnership Agreement; and PMC NS owns such</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color w:val="auto"/>
        </w:rPr>
        <w:t>interest free and clear of all liens, encumbrances, security interests, charges or claims in respect of which a financing statement under the laws of the Provinces of Nova Scotia or Alberta naming PMC NS as debtor is on file.</w:t>
      </w:r>
    </w:p>
    <w:p>
      <w:pPr>
        <w:spacing w:after="0" w:line="170" w:lineRule="exact"/>
        <w:rPr>
          <w:sz w:val="20"/>
          <w:szCs w:val="20"/>
          <w:color w:val="auto"/>
        </w:rPr>
      </w:pPr>
    </w:p>
    <w:p>
      <w:pPr>
        <w:ind w:left="640" w:right="40" w:firstLine="653"/>
        <w:spacing w:after="0" w:line="259" w:lineRule="auto"/>
        <w:tabs>
          <w:tab w:leader="none" w:pos="197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Plains Marketing is the sole limited partner of PMC LP with a 99.99% limited partner interest in PMC LP; such limited partner interest has been duly authorized and validly issued in accordance with the PMC LP Partnership Agreement and is fully paid (to the extent required under the PMC LP Partnership Agreement) and nonassessable (except as such nonassessability may be affected by matters described in the PMC LP Partnership Agreement).</w:t>
      </w:r>
    </w:p>
    <w:p>
      <w:pPr>
        <w:spacing w:after="0" w:line="186" w:lineRule="exact"/>
        <w:rPr>
          <w:rFonts w:ascii="Arial" w:cs="Arial" w:eastAsia="Arial" w:hAnsi="Arial"/>
          <w:sz w:val="18"/>
          <w:szCs w:val="18"/>
          <w:color w:val="auto"/>
        </w:rPr>
      </w:pPr>
    </w:p>
    <w:p>
      <w:pPr>
        <w:ind w:left="640" w:right="20" w:firstLine="653"/>
        <w:spacing w:after="0" w:line="286" w:lineRule="auto"/>
        <w:tabs>
          <w:tab w:leader="none" w:pos="195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PMC LLC is the registered holder of 100% of the issued and outstanding capital stock of PMC NS; such share capital has been duly authorized and validly issued in accordance with the PMC NS Memorandum and Articles of Association, as fully paid and nonassessable shares (except as such nonassessability may be affected by the laws of the Province of Nova Scotia).</w:t>
      </w:r>
    </w:p>
    <w:p>
      <w:pPr>
        <w:spacing w:after="0" w:line="165" w:lineRule="exact"/>
        <w:rPr>
          <w:rFonts w:ascii="Arial" w:cs="Arial" w:eastAsia="Arial" w:hAnsi="Arial"/>
          <w:sz w:val="17"/>
          <w:szCs w:val="17"/>
          <w:color w:val="auto"/>
        </w:rPr>
      </w:pPr>
    </w:p>
    <w:p>
      <w:pPr>
        <w:ind w:left="1940" w:hanging="647"/>
        <w:spacing w:after="0"/>
        <w:tabs>
          <w:tab w:leader="none" w:pos="19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This Agreement has been duly authorized and validly executed and delivered by each of PMC LP and PMC NS.</w:t>
      </w:r>
    </w:p>
    <w:p>
      <w:pPr>
        <w:spacing w:after="0" w:line="236" w:lineRule="exact"/>
        <w:rPr>
          <w:rFonts w:ascii="Arial" w:cs="Arial" w:eastAsia="Arial" w:hAnsi="Arial"/>
          <w:sz w:val="17"/>
          <w:szCs w:val="17"/>
          <w:color w:val="auto"/>
        </w:rPr>
      </w:pPr>
    </w:p>
    <w:p>
      <w:pPr>
        <w:jc w:val="both"/>
        <w:ind w:left="640" w:right="160" w:firstLine="653"/>
        <w:spacing w:after="0" w:line="276" w:lineRule="auto"/>
        <w:tabs>
          <w:tab w:leader="none" w:pos="195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each of PMC LP and PMC NS. The laws of the Province of Alberta would permit an action to be brought against PMC LP or PMC NS before a court of competent jurisdiction in the Province of Alberta to enforce a final and conclusive in personam judgment for a sum certain obtained in a New York court relating to the Indenture which is not impeachable as void or voidable under the internal laws of the State of New York which action is predicated solely upon civil liability, subject to certain exceptions set forth in such opinion.</w:t>
      </w:r>
    </w:p>
    <w:p>
      <w:pPr>
        <w:spacing w:after="0" w:line="172" w:lineRule="exact"/>
        <w:rPr>
          <w:rFonts w:ascii="Arial" w:cs="Arial" w:eastAsia="Arial" w:hAnsi="Arial"/>
          <w:sz w:val="17"/>
          <w:szCs w:val="17"/>
          <w:color w:val="auto"/>
        </w:rPr>
      </w:pPr>
    </w:p>
    <w:p>
      <w:pPr>
        <w:jc w:val="both"/>
        <w:ind w:left="640" w:right="60" w:firstLine="653"/>
        <w:spacing w:after="0" w:line="312" w:lineRule="auto"/>
        <w:tabs>
          <w:tab w:leader="none" w:pos="196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 permit, consent, approval, authorization, order, registration, filing or qualification of or with any court, governmental agency or body of the federal government of Canada or the Province of Alberta is required for the offering, issuance and sale by the Issuers of the Securities, the issuance of the Exchange Securities, or the execution, delivery and performance of the Indenture by the Plains Parties.</w:t>
      </w:r>
    </w:p>
    <w:p>
      <w:pPr>
        <w:spacing w:after="0" w:line="146" w:lineRule="exact"/>
        <w:rPr>
          <w:rFonts w:ascii="Arial" w:cs="Arial" w:eastAsia="Arial" w:hAnsi="Arial"/>
          <w:sz w:val="16"/>
          <w:szCs w:val="16"/>
          <w:color w:val="auto"/>
        </w:rPr>
      </w:pPr>
    </w:p>
    <w:p>
      <w:pPr>
        <w:ind w:left="640" w:right="160" w:firstLine="653"/>
        <w:spacing w:after="0" w:line="293" w:lineRule="auto"/>
        <w:tabs>
          <w:tab w:leader="none" w:pos="197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The PMC LP Partnership Agreement has been duly authorized, executed and delivered by PMC NS and is a valid and legally binding agreement of PMC NS and Plains Marketing enforceable against each of them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right="240" w:firstLine="653"/>
        <w:spacing w:after="0" w:line="257" w:lineRule="auto"/>
        <w:tabs>
          <w:tab w:leader="none" w:pos="1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None of the offering, issuance and sale by the Issuers of the Securities, the issuance of the Exchange Securities, the execution, delivery and performance of this Agreement by the Plains Parties, the consummation of the transactions contemplated hereby, the execution, delivery and performance of the Indenture and the Registration Rights Agreement by the Plains Parties which are parties thereto or the consummation of the transactions contemplated thereby constitutes or will constitute a violation of the Organizational Documents of the Canadian Subsidiaries.</w:t>
      </w:r>
    </w:p>
    <w:p>
      <w:pPr>
        <w:spacing w:after="0" w:line="188" w:lineRule="exact"/>
        <w:rPr>
          <w:rFonts w:ascii="Arial" w:cs="Arial" w:eastAsia="Arial" w:hAnsi="Arial"/>
          <w:sz w:val="18"/>
          <w:szCs w:val="18"/>
          <w:color w:val="auto"/>
        </w:rPr>
      </w:pPr>
    </w:p>
    <w:p>
      <w:pPr>
        <w:ind w:left="640" w:firstLine="653"/>
        <w:spacing w:after="0" w:line="273" w:lineRule="auto"/>
        <w:tabs>
          <w:tab w:leader="none" w:pos="197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the knowledge of such counsel, each of PMC LP and PMC NS has such permits, consents, licenses, franchises and authorizations (“permits”) issued by the appropriate federal or provincial or regulatory authorities as are necessary to own or lease its properties and to conduct its business as currently conducted and as proposed in the Offering Memorandum to be conducted, subject to such qualifications as may be set forth in the Offering Memorandum, and except for such permits, consents, licenses, franchises and authorizations which, if not obtained would not reasonably be expected to have, individually or in the aggregate, a material adverse effect upon the operations conducted by PMC LP and PMC NS taken as a whole.</w:t>
      </w:r>
    </w:p>
    <w:p>
      <w:pPr>
        <w:spacing w:after="0" w:line="17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Provinces of Alberta and Nova Scotia, excepting therefrom municipal and local ordinances and regulations and (D) state that they express no opinion with respect to state or local taxes or tax statutes to which any of the limited partners of the Partnership or any of the Plains Parties may be subject.</w:t>
      </w:r>
    </w:p>
    <w:p>
      <w:pPr>
        <w:sectPr>
          <w:pgSz w:w="11900" w:h="16838" w:orient="portrait"/>
          <w:cols w:equalWidth="0" w:num="1">
            <w:col w:w="10740"/>
          </w:cols>
          <w:pgMar w:left="900" w:top="341" w:right="259" w:bottom="12" w:gutter="0" w:footer="0" w:header="0"/>
        </w:sectPr>
      </w:pPr>
    </w:p>
    <w:bookmarkStart w:id="62" w:name="page63"/>
    <w:bookmarkEnd w:id="62"/>
    <w:p>
      <w:pPr>
        <w:spacing w:after="0" w:line="6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Initial Purchasers and their counsel in connection with the transactions contemplated by this Agreement and no other use or distribution of this opinion letter may be made without such counsel’s prior written consent.</w:t>
      </w:r>
    </w:p>
    <w:p>
      <w:pPr>
        <w:spacing w:after="0" w:line="188" w:lineRule="exact"/>
        <w:rPr>
          <w:sz w:val="20"/>
          <w:szCs w:val="20"/>
          <w:color w:val="auto"/>
        </w:rPr>
      </w:pPr>
    </w:p>
    <w:p>
      <w:pPr>
        <w:ind w:right="60" w:firstLine="645"/>
        <w:spacing w:after="0" w:line="259" w:lineRule="auto"/>
        <w:tabs>
          <w:tab w:leader="none" w:pos="130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Baker Botts L.L.P., counsel for the Initial Purchasers, dated the Closing Date and addressed to the Initial Purchasers, with respect to the issuance and sale of the Securities, the issuance of the Exchange Securities, the Indenture, the Registration Rights Agreement, the Offering Memorandum and other related matters the Initial Purchasers may reasonably require.</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5"/>
        <w:spacing w:after="0" w:line="273" w:lineRule="auto"/>
        <w:tabs>
          <w:tab w:leader="none" w:pos="131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Initial Purchasers shall have received letters addressed to the Initial Purchasers, dated, respectively, the date of this Agreement, the time of purchase and the Closing Date from PricewaterhouseCoopers LLP, independent registered public accountants, in form and substance satisfactory to the Initial Purchasers, containing statements and information of the type ordinarily included in accountants’ “comfort letters” to initial purchasers, delivered according to Statement of Auditing Standards Nos. 72, 76 and 100 (or any successor bulletins), with respect to the audited and unaudited financial statements and certain financial information contained or incorporated by reference in the Preliminary Offering Memorandum, the Pricing Supplement and the Final Offering Memorandum.</w:t>
      </w:r>
    </w:p>
    <w:p>
      <w:pPr>
        <w:spacing w:after="0" w:line="178" w:lineRule="exact"/>
        <w:rPr>
          <w:rFonts w:ascii="Arial" w:cs="Arial" w:eastAsia="Arial" w:hAnsi="Arial"/>
          <w:sz w:val="17"/>
          <w:szCs w:val="17"/>
          <w:color w:val="auto"/>
        </w:rPr>
      </w:pPr>
    </w:p>
    <w:p>
      <w:pPr>
        <w:ind w:right="120" w:firstLine="645"/>
        <w:spacing w:after="0" w:line="342" w:lineRule="auto"/>
        <w:tabs>
          <w:tab w:leader="none" w:pos="130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Plains Parties shall not have failed at or prior to the Closing Date to have performed or complied in all material respects with any of their agreements herein contained and required to be performed or complied with by them hereunder at or prior to the Closing Date.</w:t>
      </w:r>
    </w:p>
    <w:p>
      <w:pPr>
        <w:spacing w:after="0" w:line="123" w:lineRule="exact"/>
        <w:rPr>
          <w:rFonts w:ascii="Arial" w:cs="Arial" w:eastAsia="Arial" w:hAnsi="Arial"/>
          <w:sz w:val="16"/>
          <w:szCs w:val="16"/>
          <w:color w:val="auto"/>
        </w:rPr>
      </w:pPr>
    </w:p>
    <w:p>
      <w:pPr>
        <w:ind w:right="140" w:firstLine="645"/>
        <w:spacing w:after="0" w:line="277" w:lineRule="auto"/>
        <w:tabs>
          <w:tab w:leader="none" w:pos="130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Plains Parties shall have furnished or caused to be furnished to you such further certificates and documents as you shall have reasonably requested.</w:t>
      </w:r>
    </w:p>
    <w:p>
      <w:pPr>
        <w:spacing w:after="0" w:line="170" w:lineRule="exact"/>
        <w:rPr>
          <w:rFonts w:ascii="Arial" w:cs="Arial" w:eastAsia="Arial" w:hAnsi="Arial"/>
          <w:sz w:val="18"/>
          <w:szCs w:val="18"/>
          <w:color w:val="auto"/>
        </w:rPr>
      </w:pPr>
    </w:p>
    <w:p>
      <w:pPr>
        <w:ind w:firstLine="645"/>
        <w:spacing w:after="0" w:line="288" w:lineRule="auto"/>
        <w:tabs>
          <w:tab w:leader="none" w:pos="131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There shall have been furnished to you at the Closing Date a certificate reasonably satisfactory to you, signed on behalf of the Partnership by the President or any Vice President and the Chief Financial Officer or Chief Accounting Officer of GP LLC to the effect that: (A) the representations and warranties of each of the Partnership, the General Partner and GP LLC contained in this Agreement were true and correct at and as of the Execution Time and are true and correct at and as of the Closing Date as though made at and as of the Closing Date; (B) each of the Partnership, the General Partner and GP LLC has in all material respects performed all obligations and satisfied all conditions required to be performed or satisfied by it pursuant to the terms of this Agreement at or prior to the Closing Date; and (C) since the date of the most recent financial statements included or incorporated by reference in the Offering Memorandum (exclusive of any amendment or supplement thereto), there has been no material adverse change in the condition (financial or otherwise), business, prospects, properties, net worth or results of operations of the Partnership and the Subsidiaries, taken as a whole, whether or not arising from transactions in the ordinary course of business, except as set forth in or contemplated by the Offering Memorandum (exclusive of any amendment or supplement thereto).</w:t>
      </w:r>
    </w:p>
    <w:p>
      <w:pPr>
        <w:spacing w:after="0" w:line="169" w:lineRule="exact"/>
        <w:rPr>
          <w:rFonts w:ascii="Arial" w:cs="Arial" w:eastAsia="Arial" w:hAnsi="Arial"/>
          <w:sz w:val="16"/>
          <w:szCs w:val="16"/>
          <w:color w:val="auto"/>
        </w:rPr>
      </w:pPr>
    </w:p>
    <w:p>
      <w:pPr>
        <w:ind w:right="40" w:firstLine="645"/>
        <w:spacing w:after="0" w:line="293" w:lineRule="auto"/>
        <w:tabs>
          <w:tab w:leader="none" w:pos="131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There shall have been furnished to you at the Closing Date a certificate reasonably satisfactory to you, signed on behalf of GP Inc. by the President or any Vice President of GP Inc. to the effect that: (A) the representations and warranties of each of GP Inc., Plains Marketing, Plains Pipeline, PMC LLC, Basin LLC, Basin LP, Rancho LLC and Rancho LP contained in this Agreement were true and correct at and as of the Execution Time and are true and correct at and as of the Closing Date as though made at and as of the Closing Date; (B) each of GP Inc., Plains Marketing, Plains Pipeline, PMC LLC, Basin LLC, Basin LP, Rancho LLC and Rancho LP has in all material respects performed all obligations and satisfied all conditions required to be performed or satisfied by it pursuant to the terms of this Agreement at or prior to the Closing Date; and (C)</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since the date of the most recent financial statements included or incorporated by reference in the Offering Memorandum (exclusive of any amendment or supplement thereto), there has been no material adverse change in the condition (financial or otherwise), business, prospects, properties, net worth or results of operations of the Partnership and the Subsidiaries, taken as a whole, whether or not arising from transactions in the ordinary course of business, except as set forth in or contemplated by the Offering Memorandum (exclusive of any amendment or supplement thereto).</w:t>
      </w:r>
    </w:p>
    <w:p>
      <w:pPr>
        <w:spacing w:after="0" w:line="188" w:lineRule="exact"/>
        <w:rPr>
          <w:sz w:val="20"/>
          <w:szCs w:val="20"/>
          <w:color w:val="auto"/>
        </w:rPr>
      </w:pPr>
    </w:p>
    <w:p>
      <w:pPr>
        <w:ind w:right="40" w:firstLine="645"/>
        <w:spacing w:after="0" w:line="276" w:lineRule="auto"/>
        <w:tabs>
          <w:tab w:leader="none" w:pos="131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There shall have been furnished to you at the Closing Date a certificate reasonably satisfactory to you, signed on behalf of PAA Finance by the President or any Vice President of PAA Finance to the effect that: (A) the representations and warranties of PAA Finance contained in this Agreement were true and correct at and as of the Execution Time and are true and correct at and as of the Closing Date as though made at and as of the Closing Date and (B) PAA Finance has in all material respects performed all obligations and satisfied all conditions required to be performed or satisfied by it pursuant to the terms of this Agreement at or prior to the Closing Date.</w:t>
      </w:r>
    </w:p>
    <w:p>
      <w:pPr>
        <w:spacing w:after="0" w:line="172" w:lineRule="exact"/>
        <w:rPr>
          <w:rFonts w:ascii="Arial" w:cs="Arial" w:eastAsia="Arial" w:hAnsi="Arial"/>
          <w:sz w:val="17"/>
          <w:szCs w:val="17"/>
          <w:color w:val="auto"/>
        </w:rPr>
      </w:pPr>
    </w:p>
    <w:p>
      <w:pPr>
        <w:ind w:right="200" w:firstLine="645"/>
        <w:spacing w:after="0" w:line="297" w:lineRule="auto"/>
        <w:tabs>
          <w:tab w:leader="none" w:pos="131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There shall have been furnished to you at the Closing Date a certificate reasonably satisfactory to you, signed on behalf of PMC NS by the President or any Vice President of PMC NS to the effect that: (A) the representations and warranties of each of PMC NS and PMC LP contained in this Agreement were true and correct at and as of the Execution Time and are true and correct at and as of the Closing Date as though made at and as of the Closing Date and (B) each of PMC NS and PMC LP has in all material respects performed all obligations and satisfied all conditions required to be performed or satisfied by it pursuant to the terms of this Agreement at or prior to the Closing Date.</w:t>
      </w:r>
    </w:p>
    <w:p>
      <w:pPr>
        <w:spacing w:after="0" w:line="158" w:lineRule="exact"/>
        <w:rPr>
          <w:rFonts w:ascii="Arial" w:cs="Arial" w:eastAsia="Arial" w:hAnsi="Arial"/>
          <w:sz w:val="16"/>
          <w:szCs w:val="16"/>
          <w:color w:val="auto"/>
        </w:rPr>
      </w:pPr>
    </w:p>
    <w:p>
      <w:pPr>
        <w:ind w:right="40" w:firstLine="645"/>
        <w:spacing w:after="0" w:line="290" w:lineRule="auto"/>
        <w:tabs>
          <w:tab w:leader="none" w:pos="132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 Subsequent to the date of the initial letter or letters referred to in paragraph (f) of this Section 6, there shall not have been any change or decrease specified in such letter or letters; or (ii) subsequent to the Execution Time or, if earlier, the dates as of which information is given in the Offering Memorandum (exclusive of any amendment or supplement thereto), there shall not have been any change, or any development involving a prospective change, in or affecting the condition (financial or otherwise), prospects, earnings, business or properties of the Partnership, the Subsidiaries and the Joint Venture, taken as a whole, whether or not arising from transactions in the ordinary course of business, except as set forth in or contemplated in the Preliminary Offering Memorandum (exclusive of any amendment or supplement thereto) the effect of which, in any case referred to in clause (i) or (ii) above, is, in the sole judgment of the Initial Purchasers, so material and adverse as to make it impractical or inadvisable to market the Securities as contemplated by the Offering Memorandum (exclusive of any amendment or supplement thereto).</w:t>
      </w:r>
    </w:p>
    <w:p>
      <w:pPr>
        <w:sectPr>
          <w:pgSz w:w="11900" w:h="16906" w:orient="portrait"/>
          <w:cols w:equalWidth="0" w:num="1">
            <w:col w:w="10740"/>
          </w:cols>
          <w:pgMar w:left="900" w:top="125" w:right="259" w:bottom="0" w:gutter="0" w:footer="0" w:header="0"/>
        </w:sectPr>
      </w:pPr>
    </w:p>
    <w:bookmarkStart w:id="63" w:name="page64"/>
    <w:bookmarkEnd w:id="63"/>
    <w:p>
      <w:pPr>
        <w:ind w:right="80" w:firstLine="1297"/>
        <w:spacing w:after="0" w:line="264" w:lineRule="auto"/>
        <w:rPr>
          <w:sz w:val="20"/>
          <w:szCs w:val="20"/>
          <w:color w:val="auto"/>
        </w:rPr>
      </w:pPr>
      <w:r>
        <w:rPr>
          <w:rFonts w:ascii="Arial" w:cs="Arial" w:eastAsia="Arial" w:hAnsi="Arial"/>
          <w:sz w:val="18"/>
          <w:szCs w:val="18"/>
          <w:color w:val="auto"/>
        </w:rPr>
        <w:t>All such opinions, certificates, letters and other documents referred to in this Section 6 will be in compliance with the provisions hereof only if they are reasonably satisfactory in form and substance to you and your counsel. The Issuers shall furnish to the Initial Purchasers conformed copies of such opinions, certificates, letters and other documents in such number as they shall reasonably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If any of the conditions specified in this Section 6 shall not have been fulfilled in all material respects when and as provided in this Agreement, or if any of the opinions and certificates mentioned above or elsewhere in this Agreement shall not be in all material respects reasonably satisfactory in form and substance to the Initial Purchasers and counsel for the Initial Purchasers, this Agreement and all obligations of the Initial Purchasers hereunder may be cancelled at, or at any time prior to, the Closing Date by the Initial Purchasers. Notice of such cancellation shall be given to the Issuers in writing or by telephone or facsimile confirmed in writing.</w:t>
      </w:r>
    </w:p>
    <w:p>
      <w:pPr>
        <w:spacing w:after="0" w:line="188"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The documents required to be delivered by this Section 6 will be delivered at the office of counsel for the Partnership, at 1001 Fannin, Houston, Texas 77002, on the Closing Date.</w:t>
      </w:r>
    </w:p>
    <w:p>
      <w:pPr>
        <w:spacing w:after="0" w:line="170" w:lineRule="exact"/>
        <w:rPr>
          <w:sz w:val="20"/>
          <w:szCs w:val="20"/>
          <w:color w:val="auto"/>
        </w:rPr>
      </w:pPr>
    </w:p>
    <w:p>
      <w:pPr>
        <w:ind w:right="120" w:firstLine="1305"/>
        <w:spacing w:after="0" w:line="273" w:lineRule="auto"/>
        <w:tabs>
          <w:tab w:leader="none" w:pos="195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Reimbursement of Expenses</w:t>
      </w:r>
      <w:r>
        <w:rPr>
          <w:rFonts w:ascii="Arial" w:cs="Arial" w:eastAsia="Arial" w:hAnsi="Arial"/>
          <w:sz w:val="17"/>
          <w:szCs w:val="17"/>
          <w:color w:val="auto"/>
        </w:rPr>
        <w:t>. If the sale of the Securities provided for herein is not consummated because any condition to the obligations of the Initial Purchasers set forth in Section 6 hereof is not satisfied, because of any termination pursuant to Section 10(i) hereof based on the suspension of trading in the Partnership’s Common Units by the Commission or the NYSE or Section 10(iii) or because of any refusal, inability or failure on the part of the Issuers to perform any agreement herein or comply with any provision hereof other than by reason of a default by the Initial Purchasers, the Issuers will reimburse the Initial Purchasers on demand for all out-of-pocket expenses (including reasonable fees and disbursements of counsel) that shall have been incurred by them in connection with the proposed purchase and sale of the Securities.</w:t>
      </w:r>
    </w:p>
    <w:p>
      <w:pPr>
        <w:spacing w:after="0" w:line="178" w:lineRule="exact"/>
        <w:rPr>
          <w:rFonts w:ascii="Arial" w:cs="Arial" w:eastAsia="Arial" w:hAnsi="Arial"/>
          <w:sz w:val="17"/>
          <w:szCs w:val="17"/>
          <w:color w:val="auto"/>
        </w:rPr>
      </w:pPr>
    </w:p>
    <w:p>
      <w:pPr>
        <w:ind w:right="40" w:firstLine="1305"/>
        <w:spacing w:after="0" w:line="268" w:lineRule="auto"/>
        <w:tabs>
          <w:tab w:leader="none" w:pos="195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Indemnification and Contribution</w:t>
      </w:r>
      <w:r>
        <w:rPr>
          <w:rFonts w:ascii="Arial" w:cs="Arial" w:eastAsia="Arial" w:hAnsi="Arial"/>
          <w:sz w:val="17"/>
          <w:szCs w:val="17"/>
          <w:color w:val="auto"/>
        </w:rPr>
        <w:t xml:space="preserve">. (a) Each of the Plains Parties, jointly and severally, agrees to indemnify and hold harmless each Initial Purchaser, the directors, officers, employees and agents of each Initial Purchaser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Preliminary Offering Memorandum, the Pricing Supplement, the Final Offering Memorandum (or in any supplement or amendment to the Final Offering Memorandum) or any other written information used by the Plains Parties in connection with the offer and sale of the Securities or any information provided by the Issuers to any holder or prospective purchaser of Securities pursuant to Section 5(h) hereof,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Plains Parties will not be liable in any such case to the extent that any such loss, claim, damage or liability arises out of or is based upon any such untrue statement or alleged untrue statement or omission or alleged omission made in the Preliminary Offering Memorandum, the Pricing Supplement or the Final Offering Memorandum, or in any amendment thereof or supplement thereto, in reliance upon and in conformity with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written information furnished to the Issuers or GP LLC by or on behalf of the Initial Purchasers specifically for inclusion therein. This indemnity agreement will be in addition to any liability which any Plains Party may otherwise have.</w:t>
      </w:r>
    </w:p>
    <w:p>
      <w:pPr>
        <w:spacing w:after="0" w:line="170" w:lineRule="exact"/>
        <w:rPr>
          <w:sz w:val="20"/>
          <w:szCs w:val="20"/>
          <w:color w:val="auto"/>
        </w:rPr>
      </w:pPr>
    </w:p>
    <w:p>
      <w:pPr>
        <w:ind w:right="20" w:firstLine="1305"/>
        <w:spacing w:after="0" w:line="255" w:lineRule="auto"/>
        <w:tabs>
          <w:tab w:leader="none" w:pos="195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Initial Purchasers, severally and not jointly, agree to indemnify and hold harmless the Plains Parties, their respective directors and the officers and each person who controls the Plains Parties within the meaning of either the Act or the Exchange Act, to the same extent as the foregoing indemnity from the Plains Parties to the Initial Purchasers, but only with reference to written information relating to the Initial Purchasers furnished to the Issuers or GP LLC by or on behalf of the Initial Purchasers specifically for inclusion in the Preliminary Offering Memorandum, the Pricing Supplement or the Final Offering Memorandum (or in any amendment or supplement to the Final Offering Memorandum). This indemnity agreement will be in addition to any liability which the Initial Purchasers may otherwise have.</w:t>
      </w:r>
    </w:p>
    <w:p>
      <w:pPr>
        <w:spacing w:after="0" w:line="193" w:lineRule="exact"/>
        <w:rPr>
          <w:rFonts w:ascii="Arial" w:cs="Arial" w:eastAsia="Arial" w:hAnsi="Arial"/>
          <w:sz w:val="18"/>
          <w:szCs w:val="18"/>
          <w:color w:val="auto"/>
        </w:rPr>
      </w:pPr>
    </w:p>
    <w:p>
      <w:pPr>
        <w:ind w:firstLine="1305"/>
        <w:spacing w:after="0" w:line="285" w:lineRule="auto"/>
        <w:tabs>
          <w:tab w:leader="none" w:pos="195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w:t>
      </w:r>
    </w:p>
    <w:p>
      <w:pPr>
        <w:sectPr>
          <w:pgSz w:w="11900" w:h="16838" w:orient="portrait"/>
          <w:cols w:equalWidth="0" w:num="1">
            <w:col w:w="11420"/>
          </w:cols>
          <w:pgMar w:left="240" w:top="341" w:right="239" w:bottom="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as to or an admission of fault, culpability or failure to act by or on behalf of any indemnified party.</w:t>
      </w:r>
    </w:p>
    <w:p>
      <w:pPr>
        <w:spacing w:after="0" w:line="225" w:lineRule="exact"/>
        <w:rPr>
          <w:sz w:val="20"/>
          <w:szCs w:val="20"/>
          <w:color w:val="auto"/>
        </w:rPr>
      </w:pPr>
    </w:p>
    <w:p>
      <w:pPr>
        <w:ind w:right="20" w:firstLine="1305"/>
        <w:spacing w:after="0" w:line="284" w:lineRule="auto"/>
        <w:tabs>
          <w:tab w:leader="none" w:pos="195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or (b) of this Section 8 is unavailable to or insufficient to hold harmless an indemnified party for any reason, the Plains Parties and the Initial Purchasers agree to contribute to the aggregate losses, claims, damages and liabilities (including legal or other expenses reasonably incurred in connection with investigating or defending same) (collectively “Losses”) to which the Plains Parties and the Initial Purchasers may be subject in such proportion as is appropriate to reflect the relative benefits received by the Plains Parties on the one hand and by the Initial Purchasers on the other from the offering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the Initial Purchaser be responsible for any amount in excess of the purchase discount or commission applicable to the Securities purchased by the Initial Purchaser hereunder. If the allocation provided by the immediately preceding sentence is unavailable for any reason, the Plains Parties and the Initial Purchasers shall contribute in such proportion as is appropriate to reflect not only such relative benefits but also the relative fault of the Plains Parties on the one hand and of the Initial Purchasers on the other in connection with the statements or omissions which resulted in such Losses, as well as any other relevant equitable considerations. Benefits received by the Plains Parties shall be deemed to be equal to the total net proceeds from the offering (before deducting expenses) received by it, and benefits received by the Initial Purchasers shall be deemed to be equal to the total purchase discounts and commissions in each case set forth on the cover of the Final Offering Memorandum. Relative fault shall be determined by reference to, among other things, whether any untrue or any alleged untrue statement of a material fact or the omission or alleged omission to state a material fact relates to information provided by the Plains Parties on the one hand or the Initial Purchasers on the other, the intent of the parties and their relative knowledge, information and opportunity to correct or prevent such untrue statement or omission. The Plains Parties and the Initial Purchasers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the Initial Purchasers within the meaning of either the Act or the Exchange Act and each director, officer, employee and agent of the Initial Purchasers shall have the same rights to contribution as the Initial Purchasers, and any person who controls the Plains Parties within the meaning of either the Act or the Exchange Act and the respective officers and directors of the Plains Parties shall have the same rights to contribution as the Plains Parties, subject in each case to the applicable terms and conditions of this paragraph (d).</w:t>
      </w:r>
    </w:p>
    <w:p>
      <w:pPr>
        <w:spacing w:after="0" w:line="182" w:lineRule="exact"/>
        <w:rPr>
          <w:sz w:val="20"/>
          <w:szCs w:val="20"/>
          <w:color w:val="auto"/>
        </w:rPr>
      </w:pPr>
    </w:p>
    <w:p>
      <w:pPr>
        <w:ind w:right="240" w:firstLine="1305"/>
        <w:spacing w:after="0" w:line="257" w:lineRule="auto"/>
        <w:tabs>
          <w:tab w:leader="none" w:pos="195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Default by an Initial Purchaser</w:t>
      </w:r>
      <w:r>
        <w:rPr>
          <w:rFonts w:ascii="Arial" w:cs="Arial" w:eastAsia="Arial" w:hAnsi="Arial"/>
          <w:sz w:val="18"/>
          <w:szCs w:val="18"/>
          <w:color w:val="auto"/>
        </w:rPr>
        <w:t>. If any one or more of the Initial Purchasers shall fail or refuse to purchase Securities which it or they are obligated to purchase hereunder on the Closing Date, and the aggregate principal amount of Securities which such defaulting Initial Purchaser or Initial Purchasers are obligated but fail or refuse to purchase is not more than one tenth of the aggregate principal amount of the Securities which the Initial Purchasers are obligated to purchase on the Closing Date, each non-defaulting Initial Purchaser shall be obligated, severally, in the proportion which the principal amount of Securities set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forth opposite its name in Schedule 1 hereto bears to the aggregate principal amount of Securities set forth opposite the names of all non-defaulting Initial Purchasers, to purchase the Securities which such defaulting Initial Purchaser or Initial Purchasers are obligated, but fail or refuse, to purchase. If any one or more of the Initial Purchasers shall fail or refuse to purchase Securities which it or they are obligated to purchase on the Closing Date and the aggregate principal amount of Securities with respect to which such default occurs is more than one tenth of the aggregate principal amount of Securities which the Initial Purchasers are obligated to purchase on the Closing Date and arrangements satisfactory to the Initial Purchasers and the Issuers for the purchase of such Securities by one or more non-defaulting Initial Purchasers or other party or parties approved by the Initial Purchasers and the Issuers are not made within 36 hours after such default, this Agreement will terminate without liability on the part of any party hereto (other than any defaulting Initial Purchaser). In any such case which does not result in termination of this Agreement, either the Initial Purchasers or the Issuers shall have the right to postpone the Closing Date, but in no event for longer than seven days, in order that the required changes, if any, in the Offering Memorandum or any other documents or arrangements may be effected. Any action taken under this paragraph shall not relieve any defaulting Initial Purchaser from liability in respect of any such default of any such Initial Purchaser under this Agreement. The term “Initial Purchaser” as used in this Agreement includes, for all purposes of this Agreement, any party not listed in Schedule 1 hereto who, with the approval of the Initial Purchasers and the approval of the Issuers, purchases Securities which a defaulting Initial Purchaser is obligated, but fails or refuses, to purchase.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notice under this Section 9 may be made by telecopy or telephone but shall be subsequently confirmed by letter.</w:t>
      </w:r>
    </w:p>
    <w:p>
      <w:pPr>
        <w:spacing w:after="0" w:line="225" w:lineRule="exact"/>
        <w:rPr>
          <w:sz w:val="20"/>
          <w:szCs w:val="20"/>
          <w:color w:val="auto"/>
        </w:rPr>
      </w:pPr>
    </w:p>
    <w:p>
      <w:pPr>
        <w:jc w:val="both"/>
        <w:ind w:right="40" w:firstLine="1305"/>
        <w:spacing w:after="0" w:line="291" w:lineRule="auto"/>
        <w:tabs>
          <w:tab w:leader="none" w:pos="1967"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This Agreement shall be subject to termination in your absolute discretion, without liability on the part of any of the Initial Purchasers to any Plains Party, by notice to the Issuers prior to delivery of and payment for the Securities, if at any time prior to such time</w:t>
      </w:r>
    </w:p>
    <w:p>
      <w:pPr>
        <w:ind w:firstLine="8"/>
        <w:spacing w:after="0" w:line="267" w:lineRule="auto"/>
        <w:tabs>
          <w:tab w:leader="none" w:pos="21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trading in the Partnership’s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(iii) (a) a downgrading shall have occurred in any rating accorded the Securities or any other debt securities of any Plains Parties by any “nationally recognized statistical rating organization”, as that term is defined by the Commission for purposes of Rule 436(g)(2) under the Act, or (b) any such organization shall have publicly announced that it has under surveillance or review, with possible negative implications, its rating of the Securities or any other debt securities of any Plains Parties; or (iv)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Initial Purchasers, impracticable or inadvisable to proceed with the offering or delivery of the Securities as contemplated by the Offering Memorandum (exclusive of any amendment or supplement thereto). Notice of such termination may be given to the Issuers by telegram, telecopy or telephone and shall be subsequently confirmed by letter.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firstLine="1305"/>
        <w:spacing w:after="0" w:line="342" w:lineRule="auto"/>
        <w:tabs>
          <w:tab w:leader="none" w:pos="1960"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Representations and Indemnities to Survive</w:t>
      </w:r>
      <w:r>
        <w:rPr>
          <w:rFonts w:ascii="Arial" w:cs="Arial" w:eastAsia="Arial" w:hAnsi="Arial"/>
          <w:sz w:val="16"/>
          <w:szCs w:val="16"/>
          <w:color w:val="auto"/>
        </w:rPr>
        <w:t>. The respective agreements, representations, warranties, indemnities and other statements of the Plains Parties or their respective officers and of the Initial Purchasers set forth in or made pursuant to this Agreement will remain in full</w:t>
      </w:r>
    </w:p>
    <w:p>
      <w:pPr>
        <w:sectPr>
          <w:pgSz w:w="11900" w:h="16838" w:orient="portrait"/>
          <w:cols w:equalWidth="0" w:num="1">
            <w:col w:w="11420"/>
          </w:cols>
          <w:pgMar w:left="240" w:top="125" w:right="239" w:bottom="0" w:gutter="0" w:footer="0" w:header="0"/>
        </w:sectPr>
      </w:pPr>
    </w:p>
    <w:bookmarkStart w:id="65" w:name="page66"/>
    <w:bookmarkEnd w:id="65"/>
    <w:p>
      <w:pPr>
        <w:spacing w:after="0" w:line="264" w:lineRule="auto"/>
        <w:rPr>
          <w:sz w:val="20"/>
          <w:szCs w:val="20"/>
          <w:color w:val="auto"/>
        </w:rPr>
      </w:pPr>
      <w:r>
        <w:rPr>
          <w:rFonts w:ascii="Arial" w:cs="Arial" w:eastAsia="Arial" w:hAnsi="Arial"/>
          <w:sz w:val="18"/>
          <w:szCs w:val="18"/>
          <w:color w:val="auto"/>
        </w:rPr>
        <w:t>force and effect, regardless of any investigation made by or on behalf of the Initial Purchasers or the Plains Parties or any of the officers, directors or controlling persons referred to in Section 8 hereof, and will survive delivery of and payment for the Securities. The provisions of Sections 7 and 8 hereof shall survive the termination or cancellation of this Agreement.</w:t>
      </w:r>
    </w:p>
    <w:p>
      <w:pPr>
        <w:spacing w:after="0" w:line="181" w:lineRule="exact"/>
        <w:rPr>
          <w:sz w:val="20"/>
          <w:szCs w:val="20"/>
          <w:color w:val="auto"/>
        </w:rPr>
      </w:pPr>
    </w:p>
    <w:p>
      <w:pPr>
        <w:ind w:firstLine="1305"/>
        <w:spacing w:after="0" w:line="257" w:lineRule="auto"/>
        <w:tabs>
          <w:tab w:leader="none" w:pos="196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Initial Purchasers, will be mailed, delivered or telefaxed to Citigroup Global Markets Inc. General Counsel (fax no.: (212) 816-7912) and confirmed to the General Counsel at Citigroup Global Markets Inc., 388 Greenwich Street, New York, New York 10013, Attention: General Counsel; or, if sent to any of the Plains Parties, will be mailed, delivered or telefaxed to the Issuers at 333 Clay, Suite 1600, Houston, TX 77002, fax no.: (713) 646-4313 and confirmed to it at (713) 646-4100, attn: Tim Moore.</w:t>
      </w:r>
    </w:p>
    <w:p>
      <w:pPr>
        <w:spacing w:after="0" w:line="188" w:lineRule="exact"/>
        <w:rPr>
          <w:rFonts w:ascii="Arial" w:cs="Arial" w:eastAsia="Arial" w:hAnsi="Arial"/>
          <w:sz w:val="18"/>
          <w:szCs w:val="18"/>
          <w:color w:val="auto"/>
        </w:rPr>
      </w:pPr>
    </w:p>
    <w:p>
      <w:pPr>
        <w:jc w:val="both"/>
        <w:ind w:right="40" w:firstLine="1305"/>
        <w:spacing w:after="0" w:line="264" w:lineRule="auto"/>
        <w:tabs>
          <w:tab w:leader="none" w:pos="196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and directors and controlling persons referred to in Section 8 hereof, and, except as expressly set forth in Section 5(h) hereof, no other person will have any right or obligation hereunder.</w:t>
      </w:r>
    </w:p>
    <w:p>
      <w:pPr>
        <w:spacing w:after="0" w:line="181" w:lineRule="exact"/>
        <w:rPr>
          <w:rFonts w:ascii="Arial" w:cs="Arial" w:eastAsia="Arial" w:hAnsi="Arial"/>
          <w:sz w:val="18"/>
          <w:szCs w:val="18"/>
          <w:color w:val="auto"/>
        </w:rPr>
      </w:pPr>
    </w:p>
    <w:p>
      <w:pPr>
        <w:ind w:right="420" w:firstLine="1305"/>
        <w:spacing w:after="0" w:line="277" w:lineRule="auto"/>
        <w:tabs>
          <w:tab w:leader="none" w:pos="196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Plains Parties and the Initial Purchasers, or any of them, with respect to the subject matter hereof.</w:t>
      </w:r>
    </w:p>
    <w:p>
      <w:pPr>
        <w:spacing w:after="0" w:line="170" w:lineRule="exact"/>
        <w:rPr>
          <w:rFonts w:ascii="Arial" w:cs="Arial" w:eastAsia="Arial" w:hAnsi="Arial"/>
          <w:sz w:val="18"/>
          <w:szCs w:val="18"/>
          <w:color w:val="auto"/>
        </w:rPr>
      </w:pPr>
    </w:p>
    <w:p>
      <w:pPr>
        <w:ind w:right="260" w:firstLine="1305"/>
        <w:spacing w:after="0" w:line="259" w:lineRule="auto"/>
        <w:tabs>
          <w:tab w:leader="none" w:pos="196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which together constitute one and the same instrument. If signed in counterparts, this Agreement shall not become effective unless at least one counterpart hereof shall have executed and delivered on behalf of each party hereto.</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Effective Date of Agreement</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rFonts w:ascii="Arial" w:cs="Arial" w:eastAsia="Arial" w:hAnsi="Arial"/>
          <w:sz w:val="16"/>
          <w:szCs w:val="16"/>
          <w:color w:val="auto"/>
        </w:rPr>
      </w:pPr>
    </w:p>
    <w:p>
      <w:pPr>
        <w:ind w:firstLine="1305"/>
        <w:spacing w:after="0" w:line="276" w:lineRule="auto"/>
        <w:tabs>
          <w:tab w:leader="none" w:pos="1967"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Plains Parties hereby acknowledge that (a) the purchase and sale of the Securities pursuant to this Agreement is an arm’s-length commercial transaction between the Plains Parties, on the one hand, and the Initial Purchasers and any affiliate through which it may be acting, on the other, (b) the Initial Purchasers are acting as principal and not as an agent or fiduciary of the Plains Parties and (c) the Plains Parties’ engagement of the Initial Purchasers in connection with the offering and the process leading up to the offering is as independent contractors and not in any other capacity. Furthermore, the Plains Parties agree that they are solely responsible for making their own judgments 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connection with the offering (irrespective of whether any of the Initial Purchasers has advised or is currently advising the Plains Parties on related or other matters). The Plains Parties agree that they will not claim that the Initial Purchasers have rendered advisory services of any nature or respect, or owe an agency, fiduciary or similar duty to the Plains Parties, in connection with such transaction or the process leading thereto.</w:t>
      </w:r>
    </w:p>
    <w:p>
      <w:pPr>
        <w:spacing w:after="0" w:line="166" w:lineRule="exact"/>
        <w:rPr>
          <w:sz w:val="20"/>
          <w:szCs w:val="20"/>
          <w:color w:val="auto"/>
        </w:rPr>
      </w:pPr>
    </w:p>
    <w:p>
      <w:pPr>
        <w:ind w:left="1980" w:hanging="675"/>
        <w:spacing w:after="0"/>
        <w:tabs>
          <w:tab w:leader="none" w:pos="198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which follow, when used in this Agreement, shall have the meanings indicated.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25" w:lineRule="exact"/>
        <w:rPr>
          <w:sz w:val="20"/>
          <w:szCs w:val="20"/>
          <w:color w:val="auto"/>
        </w:rPr>
      </w:pPr>
    </w:p>
    <w:p>
      <w:pPr>
        <w:ind w:right="920" w:firstLine="1297"/>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“Investment Company Act” shall mean the Investment Company Act of 1940, as amended, and the rules and regulations of the Commission promulgated thereunder.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“Regulation D” shall mean Regulation D under the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“Regulation S” shall mean Regulation S under the Act.</w:t>
      </w:r>
    </w:p>
    <w:p>
      <w:pPr>
        <w:spacing w:after="0" w:line="225" w:lineRule="exact"/>
        <w:rPr>
          <w:sz w:val="20"/>
          <w:szCs w:val="20"/>
          <w:color w:val="auto"/>
        </w:rPr>
      </w:pPr>
    </w:p>
    <w:p>
      <w:pPr>
        <w:ind w:right="880" w:firstLine="1297"/>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40" w:firstLine="1297"/>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Agreement and your acceptance shall represent a binding agreement among the Plains Parties and the Initial Purchasers.</w:t>
      </w:r>
    </w:p>
    <w:p>
      <w:pPr>
        <w:spacing w:after="0" w:line="14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jc w:val="both"/>
        <w:ind w:left="6280"/>
        <w:spacing w:after="0"/>
        <w:tabs>
          <w:tab w:leader="none" w:pos="676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jc w:val="right"/>
        <w:ind w:right="32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280"/>
        <w:spacing w:after="0"/>
        <w:tabs>
          <w:tab w:leader="none" w:pos="676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General Partner</w:t>
      </w:r>
    </w:p>
    <w:p>
      <w:pPr>
        <w:sectPr>
          <w:pgSz w:w="11900" w:h="16838" w:orient="portrait"/>
          <w:cols w:equalWidth="0" w:num="1">
            <w:col w:w="11400"/>
          </w:cols>
          <w:pgMar w:left="240" w:top="125" w:right="259" w:bottom="0" w:gutter="0" w:footer="0" w:header="0"/>
        </w:sectPr>
      </w:pPr>
    </w:p>
    <w:bookmarkStart w:id="66" w:name="page67"/>
    <w:bookmarkEnd w:id="66"/>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tbl>
      <w:tblPr>
        <w:tblLayout w:type="fixed"/>
        <w:tblInd w:w="6000" w:type="dxa"/>
        <w:tblCellMar>
          <w:top w:w="0" w:type="dxa"/>
          <w:left w:w="0" w:type="dxa"/>
          <w:bottom w:w="0" w:type="dxa"/>
          <w:right w:w="0" w:type="dxa"/>
        </w:tblCellMar>
      </w:tblPr>
      <w:tr>
        <w:trPr>
          <w:trHeight w:val="195"/>
        </w:trPr>
        <w:tc>
          <w:tcPr>
            <w:tcW w:w="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PAA FINANCE CORP.</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195"/>
        </w:trPr>
        <w:tc>
          <w:tcPr>
            <w:tcW w:w="920" w:type="dxa"/>
            <w:vAlign w:val="bottom"/>
          </w:tcPr>
          <w:p>
            <w:pPr>
              <w:spacing w:after="0"/>
              <w:rPr>
                <w:sz w:val="16"/>
                <w:szCs w:val="16"/>
                <w:color w:val="auto"/>
              </w:rPr>
            </w:pPr>
          </w:p>
        </w:tc>
        <w:tc>
          <w:tcPr>
            <w:tcW w:w="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9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r>
        <w:trPr>
          <w:trHeight w:val="432"/>
        </w:trPr>
        <w:tc>
          <w:tcPr>
            <w:tcW w:w="1540" w:type="dxa"/>
            <w:vAlign w:val="bottom"/>
            <w:gridSpan w:val="2"/>
          </w:tcPr>
          <w:p>
            <w:pPr>
              <w:spacing w:after="0"/>
              <w:rPr>
                <w:sz w:val="20"/>
                <w:szCs w:val="20"/>
                <w:color w:val="auto"/>
              </w:rPr>
            </w:pPr>
            <w:r>
              <w:rPr>
                <w:rFonts w:ascii="Arial" w:cs="Arial" w:eastAsia="Arial" w:hAnsi="Arial"/>
                <w:sz w:val="18"/>
                <w:szCs w:val="18"/>
                <w:color w:val="auto"/>
              </w:rPr>
              <w:t>PLAINS AAP, L.P.</w:t>
            </w:r>
          </w:p>
        </w:tc>
        <w:tc>
          <w:tcPr>
            <w:tcW w:w="3600" w:type="dxa"/>
            <w:vAlign w:val="bottom"/>
          </w:tcPr>
          <w:p>
            <w:pPr>
              <w:spacing w:after="0"/>
              <w:rPr>
                <w:sz w:val="24"/>
                <w:szCs w:val="24"/>
                <w:color w:val="auto"/>
              </w:rPr>
            </w:pPr>
          </w:p>
        </w:tc>
      </w:tr>
    </w:tbl>
    <w:p>
      <w:pPr>
        <w:spacing w:after="0" w:line="20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920" w:type="dxa"/>
            <w:vAlign w:val="bottom"/>
          </w:tcPr>
          <w:p>
            <w:pPr>
              <w:ind w:left="5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Phil Kramer</w:t>
            </w:r>
          </w:p>
        </w:tc>
      </w:tr>
      <w:tr>
        <w:trPr>
          <w:trHeight w:val="195"/>
        </w:trPr>
        <w:tc>
          <w:tcPr>
            <w:tcW w:w="920" w:type="dxa"/>
            <w:vAlign w:val="bottom"/>
          </w:tcPr>
          <w:p>
            <w:pPr>
              <w:spacing w:after="0"/>
              <w:rPr>
                <w:sz w:val="16"/>
                <w:szCs w:val="16"/>
                <w:color w:val="auto"/>
              </w:rPr>
            </w:pPr>
          </w:p>
        </w:tc>
        <w:tc>
          <w:tcPr>
            <w:tcW w:w="62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9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color w:val="auto"/>
              </w:rPr>
              <w:t>PLAINS ALL AMERICAN GP LLC</w:t>
            </w:r>
          </w:p>
        </w:tc>
      </w:tr>
      <w:tr>
        <w:trPr>
          <w:trHeight w:val="648"/>
        </w:trPr>
        <w:tc>
          <w:tcPr>
            <w:tcW w:w="920" w:type="dxa"/>
            <w:vAlign w:val="bottom"/>
          </w:tcPr>
          <w:p>
            <w:pPr>
              <w:ind w:left="5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Phil Kramer</w:t>
            </w:r>
          </w:p>
        </w:tc>
      </w:tr>
      <w:tr>
        <w:trPr>
          <w:trHeight w:val="224"/>
        </w:trPr>
        <w:tc>
          <w:tcPr>
            <w:tcW w:w="92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Pr>
          <w:p>
            <w:pPr>
              <w:ind w:left="120"/>
              <w:spacing w:after="0"/>
              <w:rPr>
                <w:sz w:val="20"/>
                <w:szCs w:val="20"/>
                <w:color w:val="auto"/>
              </w:rPr>
            </w:pPr>
            <w:r>
              <w:rPr>
                <w:rFonts w:ascii="Arial" w:cs="Arial" w:eastAsia="Arial" w:hAnsi="Arial"/>
                <w:sz w:val="18"/>
                <w:szCs w:val="18"/>
                <w:color w:val="auto"/>
              </w:rPr>
              <w:t>Phil Kramer</w:t>
            </w:r>
          </w:p>
        </w:tc>
      </w:tr>
    </w:tbl>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70" w:lineRule="exact"/>
        <w:rPr>
          <w:sz w:val="20"/>
          <w:szCs w:val="20"/>
          <w:color w:val="auto"/>
        </w:rPr>
      </w:pPr>
    </w:p>
    <w:p>
      <w:pPr>
        <w:sectPr>
          <w:pgSz w:w="11900" w:h="16838" w:orient="portrait"/>
          <w:cols w:equalWidth="0" w:num="2">
            <w:col w:w="6400" w:space="340"/>
            <w:col w:w="3480"/>
          </w:cols>
          <w:pgMar w:left="1440" w:top="341" w:right="239" w:bottom="0" w:gutter="0" w:footer="0" w:header="0"/>
          <w:type w:val="continuous"/>
        </w:sectPr>
      </w:pPr>
    </w:p>
    <w:p>
      <w:pPr>
        <w:ind w:left="5080"/>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tbl>
      <w:tblPr>
        <w:tblLayout w:type="fixed"/>
        <w:tblInd w:w="6000" w:type="dxa"/>
        <w:tblCellMar>
          <w:top w:w="0" w:type="dxa"/>
          <w:left w:w="0" w:type="dxa"/>
          <w:bottom w:w="0" w:type="dxa"/>
          <w:right w:w="0" w:type="dxa"/>
        </w:tblCellMar>
      </w:tblPr>
      <w:tr>
        <w:trPr>
          <w:trHeight w:val="195"/>
        </w:trPr>
        <w:tc>
          <w:tcPr>
            <w:tcW w:w="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920" w:type="dxa"/>
            <w:vAlign w:val="bottom"/>
          </w:tcPr>
          <w:p>
            <w:pPr>
              <w:ind w:left="5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Phil Kramer</w:t>
            </w:r>
          </w:p>
        </w:tc>
      </w:tr>
      <w:tr>
        <w:trPr>
          <w:trHeight w:val="195"/>
        </w:trPr>
        <w:tc>
          <w:tcPr>
            <w:tcW w:w="920" w:type="dxa"/>
            <w:vAlign w:val="bottom"/>
          </w:tcPr>
          <w:p>
            <w:pPr>
              <w:spacing w:after="0"/>
              <w:rPr>
                <w:sz w:val="16"/>
                <w:szCs w:val="16"/>
                <w:color w:val="auto"/>
              </w:rPr>
            </w:pPr>
          </w:p>
        </w:tc>
        <w:tc>
          <w:tcPr>
            <w:tcW w:w="62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9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color w:val="auto"/>
              </w:rPr>
              <w:t>PLAINS MARKETING GP INC.</w:t>
            </w:r>
          </w:p>
        </w:tc>
      </w:tr>
      <w:tr>
        <w:trPr>
          <w:trHeight w:val="648"/>
        </w:trPr>
        <w:tc>
          <w:tcPr>
            <w:tcW w:w="920" w:type="dxa"/>
            <w:vAlign w:val="bottom"/>
          </w:tcPr>
          <w:p>
            <w:pPr>
              <w:ind w:left="5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Phil Kramer</w:t>
            </w:r>
          </w:p>
        </w:tc>
      </w:tr>
      <w:tr>
        <w:trPr>
          <w:trHeight w:val="195"/>
        </w:trPr>
        <w:tc>
          <w:tcPr>
            <w:tcW w:w="920" w:type="dxa"/>
            <w:vAlign w:val="bottom"/>
          </w:tcPr>
          <w:p>
            <w:pPr>
              <w:spacing w:after="0"/>
              <w:rPr>
                <w:sz w:val="16"/>
                <w:szCs w:val="16"/>
                <w:color w:val="auto"/>
              </w:rPr>
            </w:pPr>
          </w:p>
        </w:tc>
        <w:tc>
          <w:tcPr>
            <w:tcW w:w="62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9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PLAINS MARKETING CANADA LLC</w:t>
      </w:r>
    </w:p>
    <w:p>
      <w:pPr>
        <w:sectPr>
          <w:pgSz w:w="11900" w:h="16838" w:orient="portrait"/>
          <w:cols w:equalWidth="0" w:num="1">
            <w:col w:w="10220"/>
          </w:cols>
          <w:pgMar w:left="1440" w:top="341" w:right="239" w:bottom="0" w:gutter="0" w:footer="0" w:header="0"/>
          <w:type w:val="continuous"/>
        </w:sectPr>
      </w:pPr>
    </w:p>
    <w:bookmarkStart w:id="67" w:name="page68"/>
    <w:bookmarkEnd w:id="67"/>
    <w:p>
      <w:pPr>
        <w:spacing w:after="0" w:line="36"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920" w:type="dxa"/>
            <w:vAlign w:val="bottom"/>
          </w:tcPr>
          <w:p>
            <w:pPr>
              <w:ind w:left="5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Phil Kramer</w:t>
            </w:r>
          </w:p>
        </w:tc>
      </w:tr>
      <w:tr>
        <w:trPr>
          <w:trHeight w:val="195"/>
        </w:trPr>
        <w:tc>
          <w:tcPr>
            <w:tcW w:w="920" w:type="dxa"/>
            <w:vAlign w:val="bottom"/>
          </w:tcPr>
          <w:p>
            <w:pPr>
              <w:spacing w:after="0"/>
              <w:rPr>
                <w:sz w:val="16"/>
                <w:szCs w:val="16"/>
                <w:color w:val="auto"/>
              </w:rPr>
            </w:pPr>
          </w:p>
        </w:tc>
        <w:tc>
          <w:tcPr>
            <w:tcW w:w="62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9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color w:val="auto"/>
              </w:rPr>
              <w:t>PMC (NOVA SCOTIA) COMPANY</w:t>
            </w:r>
          </w:p>
        </w:tc>
      </w:tr>
      <w:tr>
        <w:trPr>
          <w:trHeight w:val="648"/>
        </w:trPr>
        <w:tc>
          <w:tcPr>
            <w:tcW w:w="920" w:type="dxa"/>
            <w:vAlign w:val="bottom"/>
          </w:tcPr>
          <w:p>
            <w:pPr>
              <w:ind w:left="5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Phil Kramer</w:t>
            </w:r>
          </w:p>
        </w:tc>
      </w:tr>
      <w:tr>
        <w:trPr>
          <w:trHeight w:val="195"/>
        </w:trPr>
        <w:tc>
          <w:tcPr>
            <w:tcW w:w="920" w:type="dxa"/>
            <w:vAlign w:val="bottom"/>
          </w:tcPr>
          <w:p>
            <w:pPr>
              <w:spacing w:after="0"/>
              <w:rPr>
                <w:sz w:val="16"/>
                <w:szCs w:val="16"/>
                <w:color w:val="auto"/>
              </w:rPr>
            </w:pPr>
          </w:p>
        </w:tc>
        <w:tc>
          <w:tcPr>
            <w:tcW w:w="62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30"/>
        </w:trPr>
        <w:tc>
          <w:tcPr>
            <w:tcW w:w="92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PLAINS MARKETING CANADA, L.P.</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PMC (NOVA SCOTIA) COMPANY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tbl>
      <w:tblPr>
        <w:tblLayout w:type="fixed"/>
        <w:tblInd w:w="6000" w:type="dxa"/>
        <w:tblCellMar>
          <w:top w:w="0" w:type="dxa"/>
          <w:left w:w="0" w:type="dxa"/>
          <w:bottom w:w="0" w:type="dxa"/>
          <w:right w:w="0" w:type="dxa"/>
        </w:tblCellMar>
      </w:tblPr>
      <w:tr>
        <w:trPr>
          <w:trHeight w:val="195"/>
        </w:trPr>
        <w:tc>
          <w:tcPr>
            <w:tcW w:w="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BASIN HOLDINGS GP LLC</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tbl>
      <w:tblPr>
        <w:tblLayout w:type="fixed"/>
        <w:tblInd w:w="6000" w:type="dxa"/>
        <w:tblCellMar>
          <w:top w:w="0" w:type="dxa"/>
          <w:left w:w="0" w:type="dxa"/>
          <w:bottom w:w="0" w:type="dxa"/>
          <w:right w:w="0" w:type="dxa"/>
        </w:tblCellMar>
      </w:tblPr>
      <w:tr>
        <w:trPr>
          <w:trHeight w:val="195"/>
        </w:trPr>
        <w:tc>
          <w:tcPr>
            <w:tcW w:w="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BASIN PIPELINE HOLDINGS, L.P.</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BASIN HOLDINGS GP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tbl>
      <w:tblPr>
        <w:tblLayout w:type="fixed"/>
        <w:tblInd w:w="6000" w:type="dxa"/>
        <w:tblCellMar>
          <w:top w:w="0" w:type="dxa"/>
          <w:left w:w="0" w:type="dxa"/>
          <w:bottom w:w="0" w:type="dxa"/>
          <w:right w:w="0" w:type="dxa"/>
        </w:tblCellMar>
      </w:tblPr>
      <w:tr>
        <w:trPr>
          <w:trHeight w:val="195"/>
        </w:trPr>
        <w:tc>
          <w:tcPr>
            <w:tcW w:w="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RANCHO HOLDINGS GP LLC</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p>
      <w:pPr>
        <w:ind w:left="6020"/>
        <w:spacing w:after="0"/>
        <w:tabs>
          <w:tab w:leader="none" w:pos="6720" w:val="left"/>
        </w:tabs>
        <w:rPr>
          <w:sz w:val="20"/>
          <w:szCs w:val="20"/>
          <w:color w:val="auto"/>
        </w:rPr>
      </w:pPr>
      <w:r>
        <w:rPr>
          <w:rFonts w:ascii="Arial" w:cs="Arial" w:eastAsia="Arial" w:hAnsi="Arial"/>
          <w:sz w:val="18"/>
          <w:szCs w:val="18"/>
          <w:color w:val="auto"/>
        </w:rPr>
        <w:t>Name:</w:t>
        <w:tab/>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-130810</wp:posOffset>
            </wp:positionV>
            <wp:extent cx="2675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75" w:orient="portrait"/>
          <w:cols w:equalWidth="0" w:num="1">
            <w:col w:w="10220"/>
          </w:cols>
          <w:pgMar w:left="1440" w:top="341" w:right="239" w:bottom="0" w:gutter="0" w:footer="0" w:header="0"/>
        </w:sectPr>
      </w:pPr>
    </w:p>
    <w:bookmarkStart w:id="68" w:name="page69"/>
    <w:bookmarkEnd w:id="68"/>
    <w:p>
      <w:pPr>
        <w:jc w:val="both"/>
        <w:ind w:left="602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RANCHO PIPELINE HOLDINGS, L.P.</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RANCHO HOLDINGS GP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tbl>
      <w:tblPr>
        <w:tblLayout w:type="fixed"/>
        <w:tblInd w:w="6000" w:type="dxa"/>
        <w:tblCellMar>
          <w:top w:w="0" w:type="dxa"/>
          <w:left w:w="0" w:type="dxa"/>
          <w:bottom w:w="0" w:type="dxa"/>
          <w:right w:w="0" w:type="dxa"/>
        </w:tblCellMar>
      </w:tblPr>
      <w:tr>
        <w:trPr>
          <w:trHeight w:val="195"/>
        </w:trPr>
        <w:tc>
          <w:tcPr>
            <w:tcW w:w="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PLAINS LPG SERVICES GP LLC</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tbl>
      <w:tblPr>
        <w:tblLayout w:type="fixed"/>
        <w:tblInd w:w="6000" w:type="dxa"/>
        <w:tblCellMar>
          <w:top w:w="0" w:type="dxa"/>
          <w:left w:w="0" w:type="dxa"/>
          <w:bottom w:w="0" w:type="dxa"/>
          <w:right w:w="0" w:type="dxa"/>
        </w:tblCellMar>
      </w:tblPr>
      <w:tr>
        <w:trPr>
          <w:trHeight w:val="195"/>
        </w:trPr>
        <w:tc>
          <w:tcPr>
            <w:tcW w:w="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LPG SERVICES GP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3" w:lineRule="exact"/>
        <w:rPr>
          <w:sz w:val="20"/>
          <w:szCs w:val="20"/>
          <w:color w:val="auto"/>
        </w:rPr>
      </w:pPr>
    </w:p>
    <w:tbl>
      <w:tblPr>
        <w:tblLayout w:type="fixed"/>
        <w:tblInd w:w="6000" w:type="dxa"/>
        <w:tblCellMar>
          <w:top w:w="0" w:type="dxa"/>
          <w:left w:w="0" w:type="dxa"/>
          <w:bottom w:w="0" w:type="dxa"/>
          <w:right w:w="0" w:type="dxa"/>
        </w:tblCellMar>
      </w:tblPr>
      <w:tr>
        <w:trPr>
          <w:trHeight w:val="195"/>
        </w:trPr>
        <w:tc>
          <w:tcPr>
            <w:tcW w:w="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 Kramer</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LONE STAR TRUCKING, LLC</w:t>
      </w:r>
    </w:p>
    <w:p>
      <w:pPr>
        <w:spacing w:after="0" w:line="225"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LPG SERVICES,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LPG SERVICES GP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ectPr>
          <w:pgSz w:w="11900" w:h="16838" w:orient="portrait"/>
          <w:cols w:equalWidth="0" w:num="1">
            <w:col w:w="10220"/>
          </w:cols>
          <w:pgMar w:left="1440" w:top="125" w:right="239"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14605</wp:posOffset>
            </wp:positionV>
            <wp:extent cx="2675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type w:val="continuous"/>
        </w:sectPr>
      </w:pPr>
    </w:p>
    <w:bookmarkStart w:id="69" w:name="page70"/>
    <w:bookmarkEnd w:id="69"/>
    <w:p>
      <w:pPr>
        <w:ind w:left="7220"/>
        <w:spacing w:after="0"/>
        <w:tabs>
          <w:tab w:leader="none" w:pos="7920" w:val="left"/>
        </w:tabs>
        <w:rPr>
          <w:sz w:val="20"/>
          <w:szCs w:val="20"/>
          <w:color w:val="auto"/>
        </w:rPr>
      </w:pPr>
      <w:r>
        <w:rPr>
          <w:rFonts w:ascii="Arial" w:cs="Arial" w:eastAsia="Arial" w:hAnsi="Arial"/>
          <w:sz w:val="18"/>
          <w:szCs w:val="18"/>
          <w:color w:val="auto"/>
        </w:rPr>
        <w:t>Name:</w:t>
        <w:tab/>
        <w:t>Phil Kramer</w:t>
      </w:r>
    </w:p>
    <w:p>
      <w:pPr>
        <w:spacing w:after="0" w:line="23" w:lineRule="exact"/>
        <w:rPr>
          <w:sz w:val="20"/>
          <w:szCs w:val="20"/>
          <w:color w:val="auto"/>
        </w:rPr>
      </w:pPr>
    </w:p>
    <w:p>
      <w:pPr>
        <w:ind w:left="7220"/>
        <w:spacing w:after="0"/>
        <w:tabs>
          <w:tab w:leader="none" w:pos="7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by the Initial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Purchasers 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Fortis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Amegy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Commerzbank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NOR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Mitsubishi UFJ Securities International plc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By:</w:t>
            </w:r>
          </w:p>
        </w:tc>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Citigroup Global Markets Inc.</w:t>
            </w:r>
          </w:p>
        </w:tc>
        <w:tc>
          <w:tcPr>
            <w:tcW w:w="4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20" w:type="dxa"/>
            <w:vAlign w:val="bottom"/>
            <w:gridSpan w:val="2"/>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Bednarski</w:t>
            </w:r>
          </w:p>
        </w:tc>
        <w:tc>
          <w:tcPr>
            <w:tcW w:w="4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Name: Brian Bednarski</w:t>
            </w:r>
          </w:p>
        </w:tc>
        <w:tc>
          <w:tcPr>
            <w:tcW w:w="4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Title: Director</w:t>
            </w:r>
          </w:p>
        </w:tc>
        <w:tc>
          <w:tcPr>
            <w:tcW w:w="4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By:</w:t>
            </w:r>
          </w:p>
        </w:tc>
        <w:tc>
          <w:tcPr>
            <w:tcW w:w="20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UBS Securities LLC</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20" w:type="dxa"/>
            <w:vAlign w:val="bottom"/>
            <w:gridSpan w:val="2"/>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Whitney</w:t>
            </w:r>
          </w:p>
        </w:tc>
        <w:tc>
          <w:tcPr>
            <w:tcW w:w="4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Name: Scott D. Whitney</w:t>
            </w:r>
          </w:p>
        </w:tc>
        <w:tc>
          <w:tcPr>
            <w:tcW w:w="4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Title: Executive Director</w:t>
            </w:r>
          </w:p>
        </w:tc>
        <w:tc>
          <w:tcPr>
            <w:tcW w:w="4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20" w:type="dxa"/>
            <w:vAlign w:val="bottom"/>
            <w:gridSpan w:val="2"/>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J. Ordona</w:t>
            </w:r>
          </w:p>
        </w:tc>
        <w:tc>
          <w:tcPr>
            <w:tcW w:w="4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Name: Marc J. Ordona</w:t>
            </w:r>
          </w:p>
        </w:tc>
        <w:tc>
          <w:tcPr>
            <w:tcW w:w="4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Title: Director</w:t>
            </w:r>
          </w:p>
        </w:tc>
        <w:tc>
          <w:tcPr>
            <w:tcW w:w="4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620" w:type="dxa"/>
            <w:vAlign w:val="bottom"/>
          </w:tcPr>
          <w:p>
            <w:pPr>
              <w:jc w:val="right"/>
              <w:ind w:right="309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Schedule 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49"/>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Initial Purchasers</w:t>
            </w: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71"/>
        </w:trPr>
        <w:tc>
          <w:tcPr>
            <w:tcW w:w="4360" w:type="dxa"/>
            <w:vAlign w:val="bottom"/>
            <w:gridSpan w:val="4"/>
            <w:vMerge w:val="continue"/>
          </w:tcPr>
          <w:p>
            <w:pPr>
              <w:spacing w:after="0"/>
              <w:rPr>
                <w:sz w:val="14"/>
                <w:szCs w:val="14"/>
                <w:color w:val="auto"/>
              </w:rPr>
            </w:pPr>
          </w:p>
        </w:tc>
        <w:tc>
          <w:tcPr>
            <w:tcW w:w="4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UBS Securities LLC</w:t>
            </w:r>
          </w:p>
        </w:tc>
        <w:tc>
          <w:tcPr>
            <w:tcW w:w="4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4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Banc of America Securities LLC</w:t>
            </w:r>
          </w:p>
        </w:tc>
        <w:tc>
          <w:tcPr>
            <w:tcW w:w="4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Fortis Securities LLC</w:t>
            </w:r>
          </w:p>
        </w:tc>
        <w:tc>
          <w:tcPr>
            <w:tcW w:w="4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J.P. Morgan Securities Inc.</w:t>
            </w:r>
          </w:p>
        </w:tc>
        <w:tc>
          <w:tcPr>
            <w:tcW w:w="4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4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Wachovia Capital Markets, LLC</w:t>
            </w:r>
          </w:p>
        </w:tc>
        <w:tc>
          <w:tcPr>
            <w:tcW w:w="4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Amegy Bank National Association</w:t>
            </w:r>
          </w:p>
        </w:tc>
        <w:tc>
          <w:tcPr>
            <w:tcW w:w="4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Commerzbank Capital Markets Corp.</w:t>
            </w:r>
          </w:p>
        </w:tc>
        <w:tc>
          <w:tcPr>
            <w:tcW w:w="4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DnB NOR Markets, Inc.</w:t>
            </w:r>
          </w:p>
        </w:tc>
        <w:tc>
          <w:tcPr>
            <w:tcW w:w="4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HSBC Securities (USA) Inc.</w:t>
            </w:r>
          </w:p>
        </w:tc>
        <w:tc>
          <w:tcPr>
            <w:tcW w:w="4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Mitsubishi UFJ Securities International plc</w:t>
            </w:r>
          </w:p>
        </w:tc>
        <w:tc>
          <w:tcPr>
            <w:tcW w:w="4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4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250,000,000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620" w:type="dxa"/>
            <w:vAlign w:val="bottom"/>
          </w:tcPr>
          <w:p>
            <w:pPr>
              <w:jc w:val="right"/>
              <w:ind w:right="3090"/>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-3367405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-3367405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p>
      <w:pPr>
        <w:spacing w:after="0" w:line="200" w:lineRule="exact"/>
        <w:rPr>
          <w:sz w:val="20"/>
          <w:szCs w:val="20"/>
          <w:color w:val="auto"/>
        </w:rPr>
      </w:pPr>
    </w:p>
    <w:p>
      <w:pPr>
        <w:spacing w:after="0" w:line="346"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 xml:space="preserve">EXHIBIT </w:t>
      </w:r>
      <w:r>
        <w:rPr>
          <w:rFonts w:ascii="Arial" w:cs="Arial" w:eastAsia="Arial" w:hAnsi="Arial"/>
          <w:sz w:val="17"/>
          <w:szCs w:val="17"/>
          <w:b w:val="1"/>
          <w:bCs w:val="1"/>
          <w:color w:val="auto"/>
        </w:rPr>
        <w:t>A</w:t>
      </w:r>
    </w:p>
    <w:p>
      <w:pPr>
        <w:sectPr>
          <w:pgSz w:w="11900" w:h="16838" w:orient="portrait"/>
          <w:cols w:equalWidth="0" w:num="1">
            <w:col w:w="11440"/>
          </w:cols>
          <w:pgMar w:left="240" w:top="125" w:right="219" w:bottom="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Form of Pricing Supplement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PRICING SUPPLEMENT DATED May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ISSUERS: Plains All American Pipeline, L.P. and PAA Finance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SIZE:  $250mm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MATURITY/MATURITY DATE:  May 15, 2036 (30 yr)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PRICE:  99.819%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PROCEEDS TO ISSUERS:  $246,760,000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COUPON: 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MAKE WHOLE CALL: T + 25 bp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SPREAD:  140 bp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YIELD:  6.714%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May 15 and November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INTEREST PAYMENT:  November 15, 2006</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FORMAT:</w:t>
      </w:r>
      <w:r>
        <w:rPr>
          <w:sz w:val="20"/>
          <w:szCs w:val="20"/>
          <w:color w:val="auto"/>
        </w:rPr>
        <w:tab/>
      </w:r>
      <w:r>
        <w:rPr>
          <w:rFonts w:ascii="Arial" w:cs="Arial" w:eastAsia="Arial" w:hAnsi="Arial"/>
          <w:sz w:val="18"/>
          <w:szCs w:val="18"/>
          <w:color w:val="auto"/>
        </w:rPr>
        <w:t>144A and Regulation 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BOOKS:  Citigroup, UBS Investment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LD MGR:  BNP Paribas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CO MGRS:  Banc of America Securities LLC, Fortis Securities LLC, JPMorgan, Piper Jaffray, Wachovia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MGRS:  Amegy Bank National Association, Commerzbank Corporates &amp; Markets, DnB NOR Markets, HSBC, Mitsubishi UFJ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  Repay outstanding indebtedness under revolving credit facility</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SETTLEMENT:</w:t>
      </w:r>
      <w:r>
        <w:rPr>
          <w:sz w:val="20"/>
          <w:szCs w:val="20"/>
          <w:color w:val="auto"/>
        </w:rPr>
        <w:tab/>
      </w:r>
      <w:r>
        <w:rPr>
          <w:rFonts w:ascii="Arial" w:cs="Arial" w:eastAsia="Arial" w:hAnsi="Arial"/>
          <w:sz w:val="18"/>
          <w:szCs w:val="18"/>
          <w:color w:val="auto"/>
        </w:rPr>
        <w:t>(T+3) May 12, 2006</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MARKETING:</w:t>
      </w:r>
      <w:r>
        <w:rPr>
          <w:sz w:val="20"/>
          <w:szCs w:val="20"/>
          <w:color w:val="auto"/>
        </w:rPr>
        <w:tab/>
      </w:r>
      <w:r>
        <w:rPr>
          <w:rFonts w:ascii="Arial" w:cs="Arial" w:eastAsia="Arial" w:hAnsi="Arial"/>
          <w:sz w:val="18"/>
          <w:szCs w:val="18"/>
          <w:color w:val="auto"/>
        </w:rPr>
        <w:t>Preliminary Offering Memorandum dated May 9, 2006</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in this Pricing Supplement supplements the Preliminary Offering Memorandum and supersedes the information in the Preliminary Offering Memorandum to the extent inconsistent with the information in the Preliminary Offering Memorandum.</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securities referred to herein have not been registered under the Securities Act of 1933 and may not be offered or sold in the United States or to US persons other than “qualified institutional buyers” as defined in Rule 144A under the Securities Act or outside the United States to non-US persons pursuant to Regulation S under the Securities Act. Nothing in this communication shall constitute an offer to sell or the solicitation of an offer to buy securities in any jurisdiction in which such offer or sale would be unlawful. Offers of these securities are made only by means of the offering memorandum. You are reminded that this notice has been delivered to you on the basis that you are a person into whose possession this notice may be lawfully delivered in accordance with the laws of jurisdiction in which you are located and you may not nor are you authorized to deliver this notice to any other person and you agree not to copy or retransmit this notice. See “Notice to Investors” in the Preliminary Offering Memorandum.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Selling Restrictions for Offers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Sales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117475</wp:posOffset>
            </wp:positionV>
            <wp:extent cx="285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(1)(a) The Securities have not been and will not be registered under the Act and may not be offered or sold within the United States or to, or for the account or benefit of, U.S. persons (other than a distributor) except in accordance with Regulation S under the Act or pursuant to an exemption from the registration requirements of the Act. The Initial Purchasers represent and agree that, except as otherwise permitted by Section 4(a)(i) of the Agreement to which this is an exhibit, they have not offered and sold the Securities, and will not offer and sell the Securities, (i) as part of their distribution at any time; and</w:t>
      </w:r>
    </w:p>
    <w:p>
      <w:pPr>
        <w:spacing w:after="0" w:line="2" w:lineRule="exact"/>
        <w:rPr>
          <w:sz w:val="20"/>
          <w:szCs w:val="20"/>
          <w:color w:val="auto"/>
        </w:rPr>
      </w:pPr>
    </w:p>
    <w:p>
      <w:pPr>
        <w:ind w:firstLine="8"/>
        <w:spacing w:after="0" w:line="288" w:lineRule="auto"/>
        <w:tabs>
          <w:tab w:leader="none" w:pos="26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otherwise until 40 days after the later of the commencement of the offering and the Closing Date, except in accordance with Rule 903 of Regulation S under the Act or another exemption from the registration requirements of the Act. The Initial Purchasers represent and agree that neither they, nor any of their Affiliates nor any person acting on their behalf or on behalf of their Affiliates has engaged or will engage in any directed selling efforts with respect to the Securities, and that they and their Affiliates have complied and will comply with the offering restrictions requirement of Regulation S. The Initial Purchasers agree that, at or prior to the confirmation of sale of Securities (other than a sale of Securities pursuant to Section 4(a)(i) of the Agreement to which this is an exhibit), they shall have sent to each distributor, dealer or person receiving a selling concession, fee or other remuneration that purchases Securities from them during the distribution compliance period referred to in Regulation S under the Act a confirmation or notice to substantially the following effect:</w:t>
      </w:r>
    </w:p>
    <w:p>
      <w:pPr>
        <w:spacing w:after="0" w:line="169" w:lineRule="exact"/>
        <w:rPr>
          <w:sz w:val="20"/>
          <w:szCs w:val="20"/>
          <w:color w:val="auto"/>
        </w:rPr>
      </w:pPr>
    </w:p>
    <w:p>
      <w:pPr>
        <w:ind w:left="1300" w:right="100"/>
        <w:spacing w:after="0" w:line="276" w:lineRule="auto"/>
        <w:rPr>
          <w:sz w:val="20"/>
          <w:szCs w:val="20"/>
          <w:color w:val="auto"/>
        </w:rPr>
      </w:pPr>
      <w:r>
        <w:rPr>
          <w:rFonts w:ascii="Arial" w:cs="Arial" w:eastAsia="Arial" w:hAnsi="Arial"/>
          <w:sz w:val="17"/>
          <w:szCs w:val="17"/>
          <w:color w:val="auto"/>
        </w:rPr>
        <w:t>“The Securities covered hereby have not been registered under the U.S. Securities Act of 1933 (the “Act”) and may not be offered or sold within the United States or to, or for the account or benefit of, U.S. persons (i) as part of their distribution at any time or (ii) otherwise until 40 days after the later of the date of the Securities were first offered to persons other than “distributors” (as defined in Regulation S under the Act) in reliance upon Regulation S under the Act and the Closing Date, except in either case in accordance with Regulation S or Rule 144A under the Act. Terms used above have the meanings given to them by Regulation S under the Act.”</w:t>
      </w:r>
    </w:p>
    <w:p>
      <w:pPr>
        <w:spacing w:after="0" w:line="173" w:lineRule="exact"/>
        <w:rPr>
          <w:sz w:val="20"/>
          <w:szCs w:val="20"/>
          <w:color w:val="auto"/>
        </w:rPr>
      </w:pPr>
    </w:p>
    <w:p>
      <w:pPr>
        <w:ind w:left="660" w:right="80" w:firstLine="1293"/>
        <w:spacing w:after="0" w:line="264" w:lineRule="auto"/>
        <w:tabs>
          <w:tab w:leader="none" w:pos="261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Initial Purchasers also represent and agree that they have not entered and will not enter into any contractual arrangement with any distributor with respect to the distribution of the Securities, except with their Affiliates or with the prior written consent of the Partnership.</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Terms used in this Section have the meanings given to them by Regulation S.</w:t>
      </w:r>
    </w:p>
    <w:p>
      <w:pPr>
        <w:spacing w:after="0" w:line="225" w:lineRule="exact"/>
        <w:rPr>
          <w:rFonts w:ascii="Arial" w:cs="Arial" w:eastAsia="Arial" w:hAnsi="Arial"/>
          <w:sz w:val="18"/>
          <w:szCs w:val="18"/>
          <w:color w:val="auto"/>
        </w:rPr>
      </w:pPr>
    </w:p>
    <w:p>
      <w:pPr>
        <w:jc w:val="both"/>
        <w:ind w:right="180" w:firstLine="1305"/>
        <w:spacing w:after="0" w:line="264" w:lineRule="auto"/>
        <w:tabs>
          <w:tab w:leader="none" w:pos="196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Initial Purchasers represent and agree that (i) they have not offered or sold and, prior to the date six months after the date of issuance of the Securities, will not offer or sell any Securities to persons in the United Kingdom except to persons whose ordinary activities involve them in acquiring, holding, managing or disposing of investments (as principal or agent)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71" w:name="page72"/>
    <w:bookmarkEnd w:id="71"/>
    <w:p>
      <w:pPr>
        <w:ind w:right="20"/>
        <w:spacing w:after="0" w:line="273" w:lineRule="auto"/>
        <w:rPr>
          <w:sz w:val="20"/>
          <w:szCs w:val="20"/>
          <w:color w:val="auto"/>
        </w:rPr>
      </w:pPr>
      <w:r>
        <w:rPr>
          <w:rFonts w:ascii="Arial" w:cs="Arial" w:eastAsia="Arial" w:hAnsi="Arial"/>
          <w:sz w:val="17"/>
          <w:szCs w:val="17"/>
          <w:color w:val="auto"/>
        </w:rPr>
        <w:t>for the purposes of their businesses or otherwise in circumstances which have not resulted and will not result in an offer to the public in the United Kingdom within the meaning of the Public Offers of Securities Regulations 1995, as amended; (ii) they have complied and will comply with all applicable provisions of the Financial Services and Markets Act 2000 (the “FSMA”) with respect to anything done by them in relation to the Securities in, from or otherwise involving the United Kingdom; and (iii) they have only communicated, or caused to be communicated, and will only communicate, or cause to be communicated, any invitation or inducement to engage in investment activity (within the meaning of Section 21 of the FSMA) received by them in connection with the issue or sale of the Securities in circumstances in which Section 21(1) of the FSMA does not apply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360" w:type="dxa"/>
            <w:vAlign w:val="bottom"/>
            <w:gridSpan w:val="3"/>
          </w:tcPr>
          <w:p>
            <w:pPr>
              <w:jc w:val="center"/>
              <w:ind w:right="2979"/>
              <w:spacing w:after="0"/>
              <w:rPr>
                <w:sz w:val="20"/>
                <w:szCs w:val="20"/>
                <w:color w:val="auto"/>
              </w:rPr>
            </w:pPr>
            <w:r>
              <w:rPr>
                <w:rFonts w:ascii="Arial" w:cs="Arial" w:eastAsia="Arial" w:hAnsi="Arial"/>
                <w:sz w:val="18"/>
                <w:szCs w:val="18"/>
                <w:b w:val="1"/>
                <w:bCs w:val="1"/>
                <w:color w:val="auto"/>
                <w:w w:val="91"/>
              </w:rPr>
              <w:t>Form of Exhibit A to Opinions in Sections 6(a) and (d)</w:t>
            </w:r>
          </w:p>
        </w:tc>
        <w:tc>
          <w:tcPr>
            <w:tcW w:w="20" w:type="dxa"/>
            <w:vAlign w:val="bottom"/>
          </w:tcPr>
          <w:p>
            <w:pPr>
              <w:spacing w:after="0"/>
              <w:rPr>
                <w:sz w:val="20"/>
                <w:szCs w:val="20"/>
                <w:color w:val="auto"/>
              </w:rPr>
            </w:pPr>
          </w:p>
        </w:tc>
      </w:tr>
      <w:tr>
        <w:trPr>
          <w:trHeight w:val="365"/>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w:t>
            </w:r>
          </w:p>
        </w:tc>
        <w:tc>
          <w:tcPr>
            <w:tcW w:w="19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9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Jurisdiction in which registered or qualified</w:t>
            </w:r>
          </w:p>
        </w:tc>
        <w:tc>
          <w:tcPr>
            <w:tcW w:w="20" w:type="dxa"/>
            <w:vAlign w:val="bottom"/>
          </w:tcPr>
          <w:p>
            <w:pPr>
              <w:spacing w:after="0"/>
              <w:rPr>
                <w:sz w:val="24"/>
                <w:szCs w:val="24"/>
                <w:color w:val="auto"/>
              </w:rPr>
            </w:pPr>
          </w:p>
        </w:tc>
      </w:tr>
      <w:tr>
        <w:trPr>
          <w:trHeight w:val="426"/>
        </w:trPr>
        <w:tc>
          <w:tcPr>
            <w:tcW w:w="306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PAA Finance Corp.</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Plains AAP, L.P.</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24"/>
                <w:szCs w:val="24"/>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California, Louisiana, Oklahoma,</w:t>
            </w:r>
          </w:p>
        </w:tc>
        <w:tc>
          <w:tcPr>
            <w:tcW w:w="20" w:type="dxa"/>
            <w:vAlign w:val="bottom"/>
          </w:tcPr>
          <w:p>
            <w:pPr>
              <w:spacing w:after="0"/>
              <w:rPr>
                <w:sz w:val="24"/>
                <w:szCs w:val="24"/>
                <w:color w:val="auto"/>
              </w:rPr>
            </w:pPr>
          </w:p>
        </w:tc>
      </w:tr>
      <w:tr>
        <w:trPr>
          <w:trHeight w:val="230"/>
        </w:trPr>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20"/>
                <w:szCs w:val="20"/>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Plains Marketing GP Inc.</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California, Illinois, Louisiana,</w:t>
            </w:r>
          </w:p>
        </w:tc>
        <w:tc>
          <w:tcPr>
            <w:tcW w:w="20" w:type="dxa"/>
            <w:vAlign w:val="bottom"/>
          </w:tcPr>
          <w:p>
            <w:pPr>
              <w:spacing w:after="0"/>
              <w:rPr>
                <w:sz w:val="24"/>
                <w:szCs w:val="24"/>
                <w:color w:val="auto"/>
              </w:rPr>
            </w:pPr>
          </w:p>
        </w:tc>
      </w:tr>
      <w:tr>
        <w:trPr>
          <w:trHeight w:val="230"/>
        </w:trPr>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Oklahoma, Texas</w:t>
            </w:r>
          </w:p>
        </w:tc>
        <w:tc>
          <w:tcPr>
            <w:tcW w:w="20" w:type="dxa"/>
            <w:vAlign w:val="bottom"/>
          </w:tcPr>
          <w:p>
            <w:pPr>
              <w:spacing w:after="0"/>
              <w:rPr>
                <w:sz w:val="20"/>
                <w:szCs w:val="20"/>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Plains Marketing, L.P.</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California, Illinois, Louisiana, Oklahoma</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Plains Pipeline, L.P.</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California, Illinois, Louisiana, Oklahoma, Texas</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Plains Marketing Canada LLC</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PMC (Nova Scotia) Company</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Alberta, British Columbia, Manitoba, Ontario, Saskatchewan</w:t>
            </w:r>
          </w:p>
        </w:tc>
        <w:tc>
          <w:tcPr>
            <w:tcW w:w="20" w:type="dxa"/>
            <w:vAlign w:val="bottom"/>
          </w:tcPr>
          <w:p>
            <w:pPr>
              <w:spacing w:after="0"/>
              <w:rPr>
                <w:sz w:val="24"/>
                <w:szCs w:val="24"/>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Plains Marketing Canada, L.P.</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w w:val="99"/>
              </w:rPr>
              <w:t>Manitoba, Saskatchewan, California, Louisiana, Maryland, Michigan, North</w:t>
            </w:r>
          </w:p>
        </w:tc>
        <w:tc>
          <w:tcPr>
            <w:tcW w:w="20" w:type="dxa"/>
            <w:vAlign w:val="bottom"/>
          </w:tcPr>
          <w:p>
            <w:pPr>
              <w:spacing w:after="0"/>
              <w:rPr>
                <w:sz w:val="24"/>
                <w:szCs w:val="24"/>
                <w:color w:val="auto"/>
              </w:rPr>
            </w:pPr>
          </w:p>
        </w:tc>
      </w:tr>
      <w:tr>
        <w:trPr>
          <w:trHeight w:val="230"/>
        </w:trPr>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Dakota, Oklahoma, Texas</w:t>
            </w:r>
          </w:p>
        </w:tc>
        <w:tc>
          <w:tcPr>
            <w:tcW w:w="20" w:type="dxa"/>
            <w:vAlign w:val="bottom"/>
          </w:tcPr>
          <w:p>
            <w:pPr>
              <w:spacing w:after="0"/>
              <w:rPr>
                <w:sz w:val="20"/>
                <w:szCs w:val="20"/>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Basin Holdings GP LLC</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Oklahoma, Texas</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Basin Pipeline Holdings, LP</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Oklahoma, Texas</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Rancho Holdings GP LLC</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Rancho Pipeline Holdings, L.P.</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PAA/Vulcan Gas Storage, LLC</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Illinois, Mississippi, North Dakota</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Plains LPG Services, L.P.</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California, Illinois, Michigan, New Hampshire, Oklahoma, Texas</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Lone Star Trucking, LLC</w:t>
            </w:r>
          </w:p>
        </w:tc>
        <w:tc>
          <w:tcPr>
            <w:tcW w:w="1920" w:type="dxa"/>
            <w:vAlign w:val="bottom"/>
          </w:tcPr>
          <w:p>
            <w:pPr>
              <w:spacing w:after="0"/>
              <w:rPr>
                <w:sz w:val="24"/>
                <w:szCs w:val="24"/>
                <w:color w:val="auto"/>
              </w:rPr>
            </w:pPr>
          </w:p>
        </w:tc>
        <w:tc>
          <w:tcPr>
            <w:tcW w:w="6440" w:type="dxa"/>
            <w:vAlign w:val="bottom"/>
            <w:gridSpan w:val="2"/>
          </w:tcPr>
          <w:p>
            <w:pPr>
              <w:ind w:left="52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r>
      <w:tr>
        <w:trPr>
          <w:trHeight w:val="432"/>
        </w:trPr>
        <w:tc>
          <w:tcPr>
            <w:tcW w:w="3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20" w:type="dxa"/>
            <w:vAlign w:val="bottom"/>
          </w:tcPr>
          <w:p>
            <w:pPr>
              <w:jc w:val="center"/>
              <w:ind w:right="5419"/>
              <w:spacing w:after="0"/>
              <w:rPr>
                <w:sz w:val="20"/>
                <w:szCs w:val="20"/>
                <w:color w:val="auto"/>
              </w:rPr>
            </w:pPr>
            <w:r>
              <w:rPr>
                <w:rFonts w:ascii="Arial" w:cs="Arial" w:eastAsia="Arial" w:hAnsi="Arial"/>
                <w:sz w:val="18"/>
                <w:szCs w:val="18"/>
                <w:color w:val="auto"/>
                <w:w w:val="89"/>
              </w:rPr>
              <w:t>C-1</w:t>
            </w:r>
          </w:p>
        </w:tc>
        <w:tc>
          <w:tcPr>
            <w:tcW w:w="20" w:type="dxa"/>
            <w:vAlign w:val="bottom"/>
          </w:tcPr>
          <w:p>
            <w:pPr>
              <w:spacing w:after="0"/>
              <w:rPr>
                <w:sz w:val="24"/>
                <w:szCs w:val="24"/>
                <w:color w:val="auto"/>
              </w:rPr>
            </w:pPr>
          </w:p>
        </w:tc>
      </w:tr>
      <w:tr>
        <w:trPr>
          <w:trHeight w:val="118"/>
        </w:trPr>
        <w:tc>
          <w:tcPr>
            <w:tcW w:w="30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9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500" w:type="dxa"/>
            <w:vAlign w:val="bottom"/>
          </w:tcPr>
          <w:p>
            <w:pPr>
              <w:ind w:left="4460"/>
              <w:spacing w:after="0"/>
              <w:rPr>
                <w:sz w:val="20"/>
                <w:szCs w:val="20"/>
                <w:color w:val="auto"/>
              </w:rPr>
            </w:pPr>
            <w:r>
              <w:rPr>
                <w:rFonts w:ascii="Arial" w:cs="Arial" w:eastAsia="Arial" w:hAnsi="Arial"/>
                <w:sz w:val="18"/>
                <w:szCs w:val="18"/>
                <w:b w:val="1"/>
                <w:bCs w:val="1"/>
                <w:color w:val="auto"/>
                <w:w w:val="84"/>
              </w:rPr>
              <w:t>News Release</w:t>
            </w:r>
          </w:p>
        </w:tc>
      </w:tr>
      <w:tr>
        <w:trPr>
          <w:trHeight w:val="39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4780" w:type="dxa"/>
            <w:vAlign w:val="bottom"/>
          </w:tcPr>
          <w:p>
            <w:pPr>
              <w:ind w:left="400"/>
              <w:spacing w:after="0"/>
              <w:rPr>
                <w:sz w:val="20"/>
                <w:szCs w:val="20"/>
                <w:color w:val="auto"/>
              </w:rPr>
            </w:pPr>
            <w:r>
              <w:rPr>
                <w:rFonts w:ascii="Arial" w:cs="Arial" w:eastAsia="Arial" w:hAnsi="Arial"/>
                <w:sz w:val="18"/>
                <w:szCs w:val="18"/>
                <w:b w:val="1"/>
                <w:bCs w:val="1"/>
                <w:color w:val="auto"/>
              </w:rPr>
              <w:t>Phillip D. Kramer</w:t>
            </w:r>
          </w:p>
        </w:tc>
        <w:tc>
          <w:tcPr>
            <w:tcW w:w="5500" w:type="dxa"/>
            <w:vAlign w:val="bottom"/>
          </w:tcPr>
          <w:p>
            <w:pPr>
              <w:ind w:left="2180"/>
              <w:spacing w:after="0"/>
              <w:rPr>
                <w:sz w:val="20"/>
                <w:szCs w:val="20"/>
                <w:color w:val="auto"/>
              </w:rPr>
            </w:pPr>
            <w:r>
              <w:rPr>
                <w:rFonts w:ascii="Arial" w:cs="Arial" w:eastAsia="Arial" w:hAnsi="Arial"/>
                <w:sz w:val="18"/>
                <w:szCs w:val="18"/>
                <w:b w:val="1"/>
                <w:bCs w:val="1"/>
                <w:color w:val="auto"/>
              </w:rPr>
              <w:t>Brad A. Thielemann</w:t>
            </w:r>
          </w:p>
        </w:tc>
      </w:tr>
      <w:tr>
        <w:trPr>
          <w:trHeight w:val="218"/>
        </w:trPr>
        <w:tc>
          <w:tcPr>
            <w:tcW w:w="7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b w:val="1"/>
                <w:bCs w:val="1"/>
                <w:color w:val="auto"/>
              </w:rPr>
              <w:t>Manager, Special Projects</w:t>
            </w:r>
          </w:p>
        </w:tc>
        <w:tc>
          <w:tcPr>
            <w:tcW w:w="5500" w:type="dxa"/>
            <w:vAlign w:val="bottom"/>
          </w:tcPr>
          <w:p>
            <w:pPr>
              <w:ind w:left="2180"/>
              <w:spacing w:after="0"/>
              <w:rPr>
                <w:sz w:val="20"/>
                <w:szCs w:val="20"/>
                <w:color w:val="auto"/>
              </w:rPr>
            </w:pPr>
            <w:r>
              <w:rPr>
                <w:rFonts w:ascii="Arial" w:cs="Arial" w:eastAsia="Arial" w:hAnsi="Arial"/>
                <w:sz w:val="18"/>
                <w:szCs w:val="18"/>
                <w:b w:val="1"/>
                <w:bCs w:val="1"/>
                <w:color w:val="auto"/>
              </w:rPr>
              <w:t>Executive Vice President and CFO</w:t>
            </w:r>
          </w:p>
        </w:tc>
      </w:tr>
      <w:tr>
        <w:trPr>
          <w:trHeight w:val="234"/>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80" w:type="dxa"/>
            <w:vAlign w:val="bottom"/>
          </w:tcPr>
          <w:p>
            <w:pPr>
              <w:ind w:left="400"/>
              <w:spacing w:after="0"/>
              <w:rPr>
                <w:sz w:val="20"/>
                <w:szCs w:val="20"/>
                <w:color w:val="auto"/>
              </w:rPr>
            </w:pPr>
            <w:r>
              <w:rPr>
                <w:rFonts w:ascii="Arial" w:cs="Arial" w:eastAsia="Arial" w:hAnsi="Arial"/>
                <w:sz w:val="18"/>
                <w:szCs w:val="18"/>
                <w:b w:val="1"/>
                <w:bCs w:val="1"/>
                <w:color w:val="auto"/>
              </w:rPr>
              <w:t>713/646-4222 – 800/564-3036</w:t>
            </w:r>
          </w:p>
        </w:tc>
        <w:tc>
          <w:tcPr>
            <w:tcW w:w="5500" w:type="dxa"/>
            <w:vAlign w:val="bottom"/>
          </w:tcPr>
          <w:p>
            <w:pPr>
              <w:ind w:left="2180"/>
              <w:spacing w:after="0"/>
              <w:rPr>
                <w:sz w:val="20"/>
                <w:szCs w:val="20"/>
                <w:color w:val="auto"/>
              </w:rPr>
            </w:pPr>
            <w:r>
              <w:rPr>
                <w:rFonts w:ascii="Arial" w:cs="Arial" w:eastAsia="Arial" w:hAnsi="Arial"/>
                <w:sz w:val="18"/>
                <w:szCs w:val="18"/>
                <w:b w:val="1"/>
                <w:bCs w:val="1"/>
                <w:color w:val="auto"/>
              </w:rPr>
              <w:t>713/646-4560 – 800/564-3036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COMPLETES PRIVATE PLACEMENT OF $250 MILLION OF SENIOR NOTES</w:t>
      </w:r>
    </w:p>
    <w:p>
      <w:pPr>
        <w:spacing w:after="0" w:line="229"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(Houston – May 12, 2006) — Plains All American Pipeline, L.P. (NYSE: PAA) announced today that it has completed its previously announced private placement of $250 million of 30-year senior notes. The senior notes were issued at 99.819% of their principal amount and have a fixed-rate interest coupon of 6.70% and a maturity date of May 15, 2036. The senior notes are not registered under the Securities Act of 1933, as amended, and may not be offered or sold in the United States absent registration or an applicable exemption from registration requirements.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proceeds from the offering, net of initial purchasers’ discounts and offering expenses, totaled approximately $246.8 million.. Proceeds were used to repay amounts outstanding under its revolving credit facilities and for general partnership purposes.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jurisdiction.</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equity interest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spacing w:after="0" w:line="15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Except for the historical information contained herein, the matters discussed in this news release are forward-looking statements that involve certain risks and uncertainties. These risks and uncertainties include, among other things, fluctuations in the capital markets and other factors and uncertainties inherent in the transportation, gathering, marketing, terminalling and storage of crude oil. More information regarding such risks and uncertainties may be found in the Partnership’s most recent Form 10-K, Form 10-Q and Forms 8-K filed with the Securities and Exchange Commission.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1)"/>
      <w:numFmt w:val="lowerLetter"/>
      <w:start w:val="2"/>
    </w:lvl>
  </w:abstractNum>
  <w:abstractNum w:abstractNumId="3">
    <w:nsid w:val="14E17E33"/>
    <w:multiLevelType w:val="hybridMultilevel"/>
    <w:lvl w:ilvl="0">
      <w:lvlJc w:val="left"/>
      <w:lvlText w:val="(%1)"/>
      <w:numFmt w:val="decimal"/>
      <w:start w:val="1"/>
    </w:lvl>
  </w:abstractNum>
  <w:abstractNum w:abstractNumId="4">
    <w:nsid w:val="3222E7CD"/>
    <w:multiLevelType w:val="hybridMultilevel"/>
    <w:lvl w:ilvl="0">
      <w:lvlJc w:val="left"/>
      <w:lvlText w:val="(%1)"/>
      <w:numFmt w:val="decimal"/>
      <w:start w:val="4"/>
    </w:lvl>
  </w:abstractNum>
  <w:abstractNum w:abstractNumId="5">
    <w:nsid w:val="74DE0EE3"/>
    <w:multiLevelType w:val="hybridMultilevel"/>
    <w:lvl w:ilvl="0">
      <w:lvlJc w:val="left"/>
      <w:lvlText w:val="(%1)"/>
      <w:numFmt w:val="decimal"/>
      <w:start w:val="13"/>
    </w:lvl>
  </w:abstractNum>
  <w:abstractNum w:abstractNumId="6">
    <w:nsid w:val="68EBC550"/>
    <w:multiLevelType w:val="hybridMultilevel"/>
    <w:lvl w:ilvl="0">
      <w:lvlJc w:val="left"/>
      <w:lvlText w:val="(%1)"/>
      <w:numFmt w:val="decimal"/>
      <w:start w:val="15"/>
    </w:lvl>
  </w:abstractNum>
  <w:abstractNum w:abstractNumId="7">
    <w:nsid w:val="2DF6D648"/>
    <w:multiLevelType w:val="hybridMultilevel"/>
    <w:lvl w:ilvl="0">
      <w:lvlJc w:val="left"/>
      <w:lvlText w:val="(%1)"/>
      <w:numFmt w:val="decimal"/>
      <w:start w:val="1"/>
    </w:lvl>
  </w:abstractNum>
  <w:abstractNum w:abstractNumId="8">
    <w:nsid w:val="46B7D44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9">
    <w:nsid w:val="4A2AC315"/>
    <w:multiLevelType w:val="hybridMultilevel"/>
    <w:lvl w:ilvl="0">
      <w:lvlJc w:val="left"/>
      <w:lvlText w:val="(%1)"/>
      <w:numFmt w:val="decimal"/>
      <w:start w:val="2"/>
    </w:lvl>
  </w:abstractNum>
  <w:abstractNum w:abstractNumId="10">
    <w:nsid w:val="39EE015C"/>
    <w:multiLevelType w:val="hybridMultilevel"/>
    <w:lvl w:ilvl="0">
      <w:lvlJc w:val="left"/>
      <w:lvlText w:val="%1"/>
      <w:numFmt w:val="lowerLetter"/>
      <w:start w:val="1"/>
    </w:lvl>
    <w:lvl w:ilvl="1">
      <w:lvlJc w:val="left"/>
      <w:lvlText w:val="(%2)"/>
      <w:numFmt w:val="decimal"/>
      <w:start w:val="5"/>
    </w:lvl>
  </w:abstractNum>
  <w:abstractNum w:abstractNumId="11">
    <w:nsid w:val="57FC4FBB"/>
    <w:multiLevelType w:val="hybridMultilevel"/>
    <w:lvl w:ilvl="0">
      <w:lvlJc w:val="left"/>
      <w:lvlText w:val="(%1)"/>
      <w:numFmt w:val="lowerLetter"/>
      <w:start w:val="2"/>
    </w:lvl>
    <w:lvl w:ilvl="1">
      <w:lvlJc w:val="left"/>
      <w:lvlText w:val="(%2)"/>
      <w:numFmt w:val="decimal"/>
      <w:start w:val="1"/>
    </w:lvl>
  </w:abstractNum>
  <w:abstractNum w:abstractNumId="12">
    <w:nsid w:val="CC1016F"/>
    <w:multiLevelType w:val="hybridMultilevel"/>
    <w:lvl w:ilvl="0">
      <w:lvlJc w:val="left"/>
      <w:lvlText w:val="(%1)"/>
      <w:numFmt w:val="lowerLetter"/>
      <w:start w:val="3"/>
    </w:lvl>
  </w:abstractNum>
  <w:abstractNum w:abstractNumId="13">
    <w:nsid w:val="43F18422"/>
    <w:multiLevelType w:val="hybridMultilevel"/>
    <w:lvl w:ilvl="0">
      <w:lvlJc w:val="left"/>
      <w:lvlText w:val="(%1)"/>
      <w:numFmt w:val="lowerLetter"/>
      <w:start w:val="4"/>
    </w:lvl>
  </w:abstractNum>
  <w:abstractNum w:abstractNumId="14">
    <w:nsid w:val="60EF0119"/>
    <w:multiLevelType w:val="hybridMultilevel"/>
    <w:lvl w:ilvl="0">
      <w:lvlJc w:val="left"/>
      <w:lvlText w:val="(%1)"/>
      <w:numFmt w:val="lowerLetter"/>
      <w:start w:val="1"/>
    </w:lvl>
  </w:abstractNum>
  <w:abstractNum w:abstractNumId="15">
    <w:nsid w:val="26F324BA"/>
    <w:multiLevelType w:val="hybridMultilevel"/>
    <w:lvl w:ilvl="0">
      <w:lvlJc w:val="left"/>
      <w:lvlText w:val="(%1)"/>
      <w:numFmt w:val="decimal"/>
      <w:start w:val="3"/>
    </w:lvl>
  </w:abstractNum>
  <w:abstractNum w:abstractNumId="16">
    <w:nsid w:val="7F01579B"/>
    <w:multiLevelType w:val="hybridMultilevel"/>
    <w:lvl w:ilvl="0">
      <w:lvlJc w:val="left"/>
      <w:lvlText w:val="(%1)"/>
      <w:numFmt w:val="lowerLetter"/>
      <w:start w:val="2"/>
    </w:lvl>
  </w:abstractNum>
  <w:abstractNum w:abstractNumId="17">
    <w:nsid w:val="49DA307D"/>
    <w:multiLevelType w:val="hybridMultilevel"/>
    <w:lvl w:ilvl="0">
      <w:lvlJc w:val="left"/>
      <w:lvlText w:val="(%1)"/>
      <w:numFmt w:val="lowerLetter"/>
      <w:start w:val="1"/>
    </w:lvl>
  </w:abstractNum>
  <w:abstractNum w:abstractNumId="18">
    <w:nsid w:val="7055A5F5"/>
    <w:multiLevelType w:val="hybridMultilevel"/>
    <w:lvl w:ilvl="0">
      <w:lvlJc w:val="left"/>
      <w:lvlText w:val="(%1)"/>
      <w:numFmt w:val="lowerLetter"/>
      <w:start w:val="2"/>
    </w:lvl>
  </w:abstractNum>
  <w:abstractNum w:abstractNumId="19">
    <w:nsid w:val="5FB8370B"/>
    <w:multiLevelType w:val="hybridMultilevel"/>
    <w:lvl w:ilvl="0">
      <w:lvlJc w:val="left"/>
      <w:lvlText w:val="(%1)"/>
      <w:numFmt w:val="lowerLetter"/>
      <w:start w:val="3"/>
    </w:lvl>
  </w:abstractNum>
  <w:abstractNum w:abstractNumId="20">
    <w:nsid w:val="50801EE1"/>
    <w:multiLevelType w:val="hybridMultilevel"/>
    <w:lvl w:ilvl="0">
      <w:lvlJc w:val="left"/>
      <w:lvlText w:val="(%1)"/>
      <w:numFmt w:val="lowerLetter"/>
      <w:start w:val="2"/>
    </w:lvl>
  </w:abstractNum>
  <w:abstractNum w:abstractNumId="21">
    <w:nsid w:val="488AC1A"/>
    <w:multiLevelType w:val="hybridMultilevel"/>
    <w:lvl w:ilvl="0">
      <w:lvlJc w:val="left"/>
      <w:lvlText w:val="(%1)"/>
      <w:numFmt w:val="lowerLetter"/>
      <w:start w:val="1"/>
    </w:lvl>
  </w:abstractNum>
  <w:abstractNum w:abstractNumId="22">
    <w:nsid w:val="5FB8011C"/>
    <w:multiLevelType w:val="hybridMultilevel"/>
    <w:lvl w:ilvl="0">
      <w:lvlJc w:val="left"/>
      <w:lvlText w:val="(%1)"/>
      <w:numFmt w:val="lowerLetter"/>
      <w:start w:val="2"/>
    </w:lvl>
  </w:abstractNum>
  <w:abstractNum w:abstractNumId="23">
    <w:nsid w:val="6AA78F7F"/>
    <w:multiLevelType w:val="hybridMultilevel"/>
    <w:lvl w:ilvl="0">
      <w:lvlJc w:val="left"/>
      <w:lvlText w:val="(%1)"/>
      <w:numFmt w:val="lowerLetter"/>
      <w:start w:val="1"/>
    </w:lvl>
  </w:abstractNum>
  <w:abstractNum w:abstractNumId="24">
    <w:nsid w:val="7672BD23"/>
    <w:multiLevelType w:val="hybridMultilevel"/>
    <w:lvl w:ilvl="0">
      <w:lvlJc w:val="left"/>
      <w:lvlText w:val="(%1)"/>
      <w:numFmt w:val="lowerLetter"/>
      <w:start w:val="1"/>
    </w:lvl>
  </w:abstractNum>
  <w:abstractNum w:abstractNumId="25">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
    <w:nsid w:val="6A5F7029"/>
    <w:multiLevelType w:val="hybridMultilevel"/>
    <w:lvl w:ilvl="0">
      <w:lvlJc w:val="left"/>
      <w:lvlText w:val="%1"/>
      <w:numFmt w:val="lowerRoman"/>
      <w:start w:val="1"/>
    </w:lvl>
    <w:lvl w:ilvl="1">
      <w:lvlJc w:val="left"/>
      <w:lvlText w:val="(%2)"/>
      <w:numFmt w:val="upperLetter"/>
      <w:start w:val="3"/>
    </w:lvl>
  </w:abstractNum>
  <w:abstractNum w:abstractNumId="27">
    <w:nsid w:val="7D5E18F8"/>
    <w:multiLevelType w:val="hybridMultilevel"/>
    <w:lvl w:ilvl="0">
      <w:lvlJc w:val="left"/>
      <w:lvlText w:val="(%1)"/>
      <w:numFmt w:val="lowerRoman"/>
      <w:start w:val="7"/>
    </w:lvl>
    <w:lvl w:ilvl="1">
      <w:lvlJc w:val="left"/>
      <w:lvlText w:val="(%2)"/>
      <w:numFmt w:val="upperLetter"/>
      <w:start w:val="1"/>
    </w:lvl>
  </w:abstractNum>
  <w:abstractNum w:abstractNumId="28">
    <w:nsid w:val="5F3534A4"/>
    <w:multiLevelType w:val="hybridMultilevel"/>
    <w:lvl w:ilvl="0">
      <w:lvlJc w:val="left"/>
      <w:lvlText w:val="(%1)"/>
      <w:numFmt w:val="lowerLetter"/>
      <w:start w:val="2"/>
    </w:lvl>
  </w:abstractNum>
  <w:abstractNum w:abstractNumId="29">
    <w:nsid w:val="73A1821B"/>
    <w:multiLevelType w:val="hybridMultilevel"/>
    <w:lvl w:ilvl="0">
      <w:lvlJc w:val="left"/>
      <w:lvlText w:val="(%1)"/>
      <w:numFmt w:val="lowerLetter"/>
      <w:start w:val="1"/>
    </w:lvl>
  </w:abstractNum>
  <w:abstractNum w:abstractNumId="30">
    <w:nsid w:val="7DE67713"/>
    <w:multiLevelType w:val="hybridMultilevel"/>
    <w:lvl w:ilvl="0">
      <w:lvlJc w:val="left"/>
      <w:lvlText w:val="(%1)"/>
      <w:numFmt w:val="lowerLetter"/>
      <w:start w:val="1"/>
    </w:lvl>
  </w:abstractNum>
  <w:abstractNum w:abstractNumId="31">
    <w:nsid w:val="555C55B5"/>
    <w:multiLevelType w:val="hybridMultilevel"/>
    <w:lvl w:ilvl="0">
      <w:lvlJc w:val="left"/>
      <w:lvlText w:val="(%1)"/>
      <w:numFmt w:val="lowerLetter"/>
      <w:start w:val="6"/>
    </w:lvl>
  </w:abstractNum>
  <w:abstractNum w:abstractNumId="32">
    <w:nsid w:val="3FA62ACA"/>
    <w:multiLevelType w:val="hybridMultilevel"/>
    <w:lvl w:ilvl="0">
      <w:lvlJc w:val="left"/>
      <w:lvlText w:val="(%1)"/>
      <w:numFmt w:val="lowerLetter"/>
      <w:start w:val="7"/>
    </w:lvl>
  </w:abstractNum>
  <w:abstractNum w:abstractNumId="33">
    <w:nsid w:val="14FCE74E"/>
    <w:multiLevelType w:val="hybridMultilevel"/>
    <w:lvl w:ilvl="0">
      <w:lvlJc w:val="left"/>
      <w:lvlText w:val="%1"/>
      <w:numFmt w:val="lowerLetter"/>
      <w:start w:val="1"/>
    </w:lvl>
    <w:lvl w:ilvl="1">
      <w:lvlJc w:val="left"/>
      <w:lvlText w:val="(%2)"/>
      <w:numFmt w:val="lowerLetter"/>
      <w:start w:val="2"/>
    </w:lvl>
  </w:abstractNum>
  <w:abstractNum w:abstractNumId="34">
    <w:nsid w:val="6A3DD3E8"/>
    <w:multiLevelType w:val="hybridMultilevel"/>
    <w:lvl w:ilvl="0">
      <w:lvlJc w:val="left"/>
      <w:lvlText w:val="(%1)"/>
      <w:numFmt w:val="lowerLetter"/>
      <w:start w:val="35"/>
    </w:lvl>
    <w:lvl w:ilvl="1">
      <w:lvlJc w:val="left"/>
      <w:lvlText w:val="%2"/>
      <w:numFmt w:val="lowerLetter"/>
      <w:start w:val="1"/>
    </w:lvl>
  </w:abstractNum>
  <w:abstractNum w:abstractNumId="35">
    <w:nsid w:val="71C91298"/>
    <w:multiLevelType w:val="hybridMultilevel"/>
    <w:lvl w:ilvl="0">
      <w:lvlJc w:val="left"/>
      <w:lvlText w:val="(%1)"/>
      <w:numFmt w:val="lowerLetter"/>
      <w:start w:val="3"/>
    </w:lvl>
  </w:abstractNum>
  <w:abstractNum w:abstractNumId="36">
    <w:nsid w:val="9DAF632"/>
    <w:multiLevelType w:val="hybridMultilevel"/>
    <w:lvl w:ilvl="0">
      <w:lvlJc w:val="left"/>
      <w:lvlText w:val="(%1)"/>
      <w:numFmt w:val="lowerLetter"/>
      <w:start w:val="8"/>
    </w:lvl>
  </w:abstractNum>
  <w:abstractNum w:abstractNumId="37">
    <w:nsid w:val="53299938"/>
    <w:multiLevelType w:val="hybridMultilevel"/>
    <w:lvl w:ilvl="0">
      <w:lvlJc w:val="left"/>
      <w:lvlText w:val="(%1)"/>
      <w:numFmt w:val="lowerLetter"/>
      <w:start w:val="1"/>
    </w:lvl>
  </w:abstractNum>
  <w:abstractNum w:abstractNumId="38">
    <w:nsid w:val="1FBFE8E0"/>
    <w:multiLevelType w:val="hybridMultilevel"/>
    <w:lvl w:ilvl="0">
      <w:lvlJc w:val="left"/>
      <w:lvlText w:val="%1."/>
      <w:numFmt w:val="decimal"/>
      <w:start w:val="1"/>
    </w:lvl>
  </w:abstractNum>
  <w:abstractNum w:abstractNumId="39">
    <w:nsid w:val="5092CA79"/>
    <w:multiLevelType w:val="hybridMultilevel"/>
    <w:lvl w:ilvl="0">
      <w:lvlJc w:val="left"/>
      <w:lvlText w:val="%1."/>
      <w:numFmt w:val="decimal"/>
      <w:start w:val="2"/>
    </w:lvl>
  </w:abstractNum>
  <w:abstractNum w:abstractNumId="40">
    <w:nsid w:val="1D545C4D"/>
    <w:multiLevelType w:val="hybridMultilevel"/>
    <w:lvl w:ilvl="0">
      <w:lvlJc w:val="left"/>
      <w:lvlText w:val="%1."/>
      <w:numFmt w:val="decimal"/>
      <w:start w:val="3"/>
    </w:lvl>
  </w:abstractNum>
  <w:abstractNum w:abstractNumId="41">
    <w:nsid w:val="59ADEA3D"/>
    <w:multiLevelType w:val="hybridMultilevel"/>
    <w:lvl w:ilvl="0">
      <w:lvlJc w:val="left"/>
      <w:lvlText w:val="(%1)"/>
      <w:numFmt w:val="lowerLetter"/>
      <w:start w:val="2"/>
    </w:lvl>
  </w:abstractNum>
  <w:abstractNum w:abstractNumId="42">
    <w:nsid w:val="288F1A34"/>
    <w:multiLevelType w:val="hybridMultilevel"/>
    <w:lvl w:ilvl="0">
      <w:lvlJc w:val="left"/>
      <w:lvlText w:val="%1."/>
      <w:numFmt w:val="decimal"/>
      <w:start w:val="6"/>
    </w:lvl>
  </w:abstractNum>
  <w:abstractNum w:abstractNumId="43">
    <w:nsid w:val="2A155DBC"/>
    <w:multiLevelType w:val="hybridMultilevel"/>
    <w:lvl w:ilvl="0">
      <w:lvlJc w:val="left"/>
      <w:lvlText w:val="%1."/>
      <w:numFmt w:val="decimal"/>
      <w:start w:val="7"/>
    </w:lvl>
  </w:abstractNum>
  <w:abstractNum w:abstractNumId="44">
    <w:nsid w:val="1D9F6E5F"/>
    <w:multiLevelType w:val="hybridMultilevel"/>
    <w:lvl w:ilvl="0">
      <w:lvlJc w:val="left"/>
      <w:lvlText w:val="%1."/>
      <w:numFmt w:val="decimal"/>
      <w:start w:val="8"/>
    </w:lvl>
  </w:abstractNum>
  <w:abstractNum w:abstractNumId="45">
    <w:nsid w:val="97E1B4E"/>
    <w:multiLevelType w:val="hybridMultilevel"/>
    <w:lvl w:ilvl="0">
      <w:lvlJc w:val="left"/>
      <w:lvlText w:val="%1."/>
      <w:numFmt w:val="decimal"/>
      <w:start w:val="12"/>
    </w:lvl>
  </w:abstractNum>
  <w:abstractNum w:abstractNumId="46">
    <w:nsid w:val="51088277"/>
    <w:multiLevelType w:val="hybridMultilevel"/>
    <w:lvl w:ilvl="0">
      <w:lvlJc w:val="left"/>
      <w:lvlText w:val="%1."/>
      <w:numFmt w:val="decimal"/>
      <w:start w:val="14"/>
    </w:lvl>
  </w:abstractNum>
  <w:abstractNum w:abstractNumId="47">
    <w:nsid w:val="1CA0C5FA"/>
    <w:multiLevelType w:val="hybridMultilevel"/>
    <w:lvl w:ilvl="0">
      <w:lvlJc w:val="left"/>
      <w:lvlText w:val="4"/>
      <w:numFmt w:val="bullet"/>
      <w:start w:val="1"/>
    </w:lvl>
  </w:abstractNum>
  <w:abstractNum w:abstractNumId="48">
    <w:nsid w:val="53584BCB"/>
    <w:multiLevelType w:val="hybridMultilevel"/>
    <w:lvl w:ilvl="0">
      <w:lvlJc w:val="left"/>
      <w:lvlText w:val="%1."/>
      <w:numFmt w:val="decimal"/>
      <w:start w:val="1"/>
    </w:lvl>
  </w:abstractNum>
  <w:abstractNum w:abstractNumId="49">
    <w:nsid w:val="415E286C"/>
    <w:multiLevelType w:val="hybridMultilevel"/>
    <w:lvl w:ilvl="0">
      <w:lvlJc w:val="left"/>
      <w:lvlText w:val="(%1)"/>
      <w:numFmt w:val="lowerLetter"/>
      <w:start w:val="2"/>
    </w:lvl>
  </w:abstractNum>
  <w:abstractNum w:abstractNumId="50">
    <w:nsid w:val="7C58FD05"/>
    <w:multiLevelType w:val="hybridMultilevel"/>
    <w:lvl w:ilvl="0">
      <w:lvlJc w:val="left"/>
      <w:lvlText w:val="%1."/>
      <w:numFmt w:val="decimal"/>
      <w:start w:val="2"/>
    </w:lvl>
  </w:abstractNum>
  <w:abstractNum w:abstractNumId="51">
    <w:nsid w:val="23D86AAC"/>
    <w:multiLevelType w:val="hybridMultilevel"/>
    <w:lvl w:ilvl="0">
      <w:lvlJc w:val="left"/>
      <w:lvlText w:val="%1."/>
      <w:numFmt w:val="decimal"/>
      <w:start w:val="4"/>
    </w:lvl>
  </w:abstractNum>
  <w:abstractNum w:abstractNumId="52">
    <w:nsid w:val="45E6D486"/>
    <w:multiLevelType w:val="hybridMultilevel"/>
    <w:lvl w:ilvl="0">
      <w:lvlJc w:val="left"/>
      <w:lvlText w:val="%1."/>
      <w:numFmt w:val="decimal"/>
      <w:start w:val="5"/>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1."/>
      <w:numFmt w:val="decimal"/>
      <w:start w:val="1"/>
    </w:lvl>
  </w:abstractNum>
  <w:abstractNum w:abstractNumId="57">
    <w:nsid w:val="78DF6A55"/>
    <w:multiLevelType w:val="hybridMultilevel"/>
    <w:lvl w:ilvl="0">
      <w:lvlJc w:val="left"/>
      <w:lvlText w:val="%1."/>
      <w:numFmt w:val="decimal"/>
      <w:start w:val="2"/>
    </w:lvl>
  </w:abstractNum>
  <w:abstractNum w:abstractNumId="58">
    <w:nsid w:val="39B7AAA2"/>
    <w:multiLevelType w:val="hybridMultilevel"/>
    <w:lvl w:ilvl="0">
      <w:lvlJc w:val="left"/>
      <w:lvlText w:val="%1."/>
      <w:numFmt w:val="decimal"/>
      <w:start w:val="3"/>
    </w:lvl>
  </w:abstractNum>
  <w:abstractNum w:abstractNumId="59">
    <w:nsid w:val="2B0D8DBE"/>
    <w:multiLevelType w:val="hybridMultilevel"/>
    <w:lvl w:ilvl="0">
      <w:lvlJc w:val="left"/>
      <w:lvlText w:val="(%1)"/>
      <w:numFmt w:val="lowerLetter"/>
      <w:start w:val="1"/>
    </w:lvl>
  </w:abstractNum>
  <w:abstractNum w:abstractNumId="60">
    <w:nsid w:val="6C80EC70"/>
    <w:multiLevelType w:val="hybridMultilevel"/>
    <w:lvl w:ilvl="0">
      <w:lvlJc w:val="left"/>
      <w:lvlText w:val="%1."/>
      <w:numFmt w:val="decimal"/>
      <w:start w:val="1"/>
    </w:lvl>
  </w:abstractNum>
  <w:abstractNum w:abstractNumId="61">
    <w:nsid w:val="379E21B5"/>
    <w:multiLevelType w:val="hybridMultilevel"/>
    <w:lvl w:ilvl="0">
      <w:lvlJc w:val="left"/>
      <w:lvlText w:val="%1."/>
      <w:numFmt w:val="decimal"/>
      <w:start w:val="2"/>
    </w:lvl>
  </w:abstractNum>
  <w:abstractNum w:abstractNumId="62">
    <w:nsid w:val="69E373"/>
    <w:multiLevelType w:val="hybridMultilevel"/>
    <w:lvl w:ilvl="0">
      <w:lvlJc w:val="left"/>
      <w:lvlText w:val="(%1)"/>
      <w:numFmt w:val="lowerLetter"/>
      <w:start w:val="1"/>
    </w:lvl>
  </w:abstractNum>
  <w:abstractNum w:abstractNumId="63">
    <w:nsid w:val="2C27173B"/>
    <w:multiLevelType w:val="hybridMultilevel"/>
    <w:lvl w:ilvl="0">
      <w:lvlJc w:val="left"/>
      <w:lvlText w:val="(%1)"/>
      <w:numFmt w:val="lowerLetter"/>
      <w:start w:val="2"/>
    </w:lvl>
    <w:lvl w:ilvl="1">
      <w:lvlJc w:val="left"/>
      <w:lvlText w:val="(%2)"/>
      <w:numFmt w:val="lowerRoman"/>
      <w:start w:val="1"/>
    </w:lvl>
  </w:abstractNum>
  <w:abstractNum w:abstractNumId="64">
    <w:nsid w:val="4C9B0904"/>
    <w:multiLevelType w:val="hybridMultilevel"/>
    <w:lvl w:ilvl="0">
      <w:lvlJc w:val="left"/>
      <w:lvlText w:val="%1"/>
      <w:numFmt w:val="lowerLetter"/>
      <w:start w:val="1"/>
    </w:lvl>
    <w:lvl w:ilvl="1">
      <w:lvlJc w:val="left"/>
      <w:lvlText w:val="(%2)"/>
      <w:numFmt w:val="lowerRoman"/>
      <w:start w:val="4"/>
    </w:lvl>
  </w:abstractNum>
  <w:abstractNum w:abstractNumId="65">
    <w:nsid w:val="6AA7B75C"/>
    <w:multiLevelType w:val="hybridMultilevel"/>
    <w:lvl w:ilvl="0">
      <w:lvlJc w:val="left"/>
      <w:lvlText w:val="(%1)"/>
      <w:numFmt w:val="lowerLetter"/>
      <w:start w:val="3"/>
    </w:lvl>
    <w:lvl w:ilvl="1">
      <w:lvlJc w:val="left"/>
      <w:lvlText w:val="(%2)"/>
      <w:numFmt w:val="lowerRoman"/>
      <w:start w:val="1"/>
    </w:lvl>
  </w:abstractNum>
  <w:abstractNum w:abstractNumId="66">
    <w:nsid w:val="1DF029D3"/>
    <w:multiLevelType w:val="hybridMultilevel"/>
    <w:lvl w:ilvl="0">
      <w:lvlJc w:val="left"/>
      <w:lvlText w:val="(%1)"/>
      <w:numFmt w:val="lowerRoman"/>
      <w:start w:val="2"/>
    </w:lvl>
  </w:abstractNum>
  <w:abstractNum w:abstractNumId="67">
    <w:nsid w:val="5675FF36"/>
    <w:multiLevelType w:val="hybridMultilevel"/>
    <w:lvl w:ilvl="0">
      <w:lvlJc w:val="left"/>
      <w:lvlText w:val="(%1)"/>
      <w:numFmt w:val="lowerLetter"/>
      <w:start w:val="4"/>
    </w:lvl>
  </w:abstractNum>
  <w:abstractNum w:abstractNumId="68">
    <w:nsid w:val="3DD15094"/>
    <w:multiLevelType w:val="hybridMultilevel"/>
    <w:lvl w:ilvl="0">
      <w:lvlJc w:val="left"/>
      <w:lvlText w:val="(%1)"/>
      <w:numFmt w:val="lowerRoman"/>
      <w:start w:val="1"/>
    </w:lvl>
  </w:abstractNum>
  <w:abstractNum w:abstractNumId="69">
    <w:nsid w:val="3DB012B3"/>
    <w:multiLevelType w:val="hybridMultilevel"/>
    <w:lvl w:ilvl="0">
      <w:lvlJc w:val="left"/>
      <w:lvlText w:val="%1."/>
      <w:numFmt w:val="decimal"/>
      <w:start w:val="3"/>
    </w:lvl>
  </w:abstractNum>
  <w:abstractNum w:abstractNumId="70">
    <w:nsid w:val="2708C9AF"/>
    <w:multiLevelType w:val="hybridMultilevel"/>
    <w:lvl w:ilvl="0">
      <w:lvlJc w:val="left"/>
      <w:lvlText w:val="(%1)"/>
      <w:numFmt w:val="lowerLetter"/>
      <w:start w:val="2"/>
    </w:lvl>
  </w:abstractNum>
  <w:abstractNum w:abstractNumId="71">
    <w:nsid w:val="5B25ACE2"/>
    <w:multiLevelType w:val="hybridMultilevel"/>
    <w:lvl w:ilvl="0">
      <w:lvlJc w:val="left"/>
      <w:lvlText w:val="(%1)"/>
      <w:numFmt w:val="lowerRoman"/>
      <w:start w:val="2"/>
    </w:lvl>
  </w:abstractNum>
  <w:abstractNum w:abstractNumId="72">
    <w:nsid w:val="175DFCF0"/>
    <w:multiLevelType w:val="hybridMultilevel"/>
    <w:lvl w:ilvl="0">
      <w:lvlJc w:val="left"/>
      <w:lvlText w:val="(%1)"/>
      <w:numFmt w:val="lowerRoman"/>
      <w:start w:val="3"/>
    </w:lvl>
  </w:abstractNum>
  <w:abstractNum w:abstractNumId="73">
    <w:nsid w:val="4F97E3E4"/>
    <w:multiLevelType w:val="hybridMultilevel"/>
    <w:lvl w:ilvl="0">
      <w:lvlJc w:val="left"/>
      <w:lvlText w:val="%1."/>
      <w:numFmt w:val="decimal"/>
      <w:start w:val="4"/>
    </w:lvl>
  </w:abstractNum>
  <w:abstractNum w:abstractNumId="74">
    <w:nsid w:val="53B0A9E"/>
    <w:multiLevelType w:val="hybridMultilevel"/>
    <w:lvl w:ilvl="0">
      <w:lvlJc w:val="left"/>
      <w:lvlText w:val="(%1)"/>
      <w:numFmt w:val="lowerLetter"/>
      <w:start w:val="1"/>
    </w:lvl>
  </w:abstractNum>
  <w:abstractNum w:abstractNumId="75">
    <w:nsid w:val="34FD6B4F"/>
    <w:multiLevelType w:val="hybridMultilevel"/>
    <w:lvl w:ilvl="0">
      <w:lvlJc w:val="left"/>
      <w:lvlText w:val="(%1)"/>
      <w:numFmt w:val="lowerLetter"/>
      <w:start w:val="2"/>
    </w:lvl>
  </w:abstractNum>
  <w:abstractNum w:abstractNumId="76">
    <w:nsid w:val="5915FF32"/>
    <w:multiLevelType w:val="hybridMultilevel"/>
    <w:lvl w:ilvl="0">
      <w:lvlJc w:val="left"/>
      <w:lvlText w:val="%1."/>
      <w:numFmt w:val="decimal"/>
      <w:start w:val="5"/>
    </w:lvl>
  </w:abstractNum>
  <w:abstractNum w:abstractNumId="77">
    <w:nsid w:val="56438D15"/>
    <w:multiLevelType w:val="hybridMultilevel"/>
    <w:lvl w:ilvl="0">
      <w:lvlJc w:val="left"/>
      <w:lvlText w:val="(%1)"/>
      <w:numFmt w:val="lowerLetter"/>
      <w:start w:val="1"/>
    </w:lvl>
    <w:lvl w:ilvl="1">
      <w:lvlJc w:val="left"/>
      <w:lvlText w:val="(%2)"/>
      <w:numFmt w:val="lowerLetter"/>
      <w:start w:val="9"/>
    </w:lvl>
  </w:abstractNum>
  <w:abstractNum w:abstractNumId="78">
    <w:nsid w:val="519E3149"/>
    <w:multiLevelType w:val="hybridMultilevel"/>
    <w:lvl w:ilvl="0">
      <w:lvlJc w:val="left"/>
      <w:lvlText w:val="(%1)"/>
      <w:numFmt w:val="lowerRoman"/>
      <w:start w:val="2"/>
    </w:lvl>
  </w:abstractNum>
  <w:abstractNum w:abstractNumId="79">
    <w:nsid w:val="2C6E4AFD"/>
    <w:multiLevelType w:val="hybridMultilevel"/>
    <w:lvl w:ilvl="0">
      <w:lvlJc w:val="left"/>
      <w:lvlText w:val="(%1)"/>
      <w:numFmt w:val="lowerRoman"/>
      <w:start w:val="3"/>
    </w:lvl>
  </w:abstractNum>
  <w:abstractNum w:abstractNumId="80">
    <w:nsid w:val="17A1B582"/>
    <w:multiLevelType w:val="hybridMultilevel"/>
    <w:lvl w:ilvl="0">
      <w:lvlJc w:val="left"/>
      <w:lvlText w:val="(%1)"/>
      <w:numFmt w:val="lowerLetter"/>
      <w:start w:val="2"/>
    </w:lvl>
    <w:lvl w:ilvl="1">
      <w:lvlJc w:val="left"/>
      <w:lvlText w:val="(%2)"/>
      <w:numFmt w:val="lowerRoman"/>
      <w:start w:val="1"/>
    </w:lvl>
  </w:abstractNum>
  <w:abstractNum w:abstractNumId="81">
    <w:nsid w:val="4DF72E4E"/>
    <w:multiLevelType w:val="hybridMultilevel"/>
    <w:lvl w:ilvl="0">
      <w:lvlJc w:val="left"/>
      <w:lvlText w:val="%1"/>
      <w:numFmt w:val="lowerLetter"/>
      <w:start w:val="1"/>
    </w:lvl>
    <w:lvl w:ilvl="1">
      <w:lvlJc w:val="left"/>
      <w:lvlText w:val="(%2)"/>
      <w:numFmt w:val="lowerRoman"/>
      <w:start w:val="2"/>
    </w:lvl>
  </w:abstractNum>
  <w:abstractNum w:abstractNumId="82">
    <w:nsid w:val="5046B5A9"/>
    <w:multiLevelType w:val="hybridMultilevel"/>
    <w:lvl w:ilvl="0">
      <w:lvlJc w:val="left"/>
      <w:lvlText w:val="(%1)"/>
      <w:numFmt w:val="lowerLetter"/>
      <w:start w:val="4"/>
    </w:lvl>
    <w:lvl w:ilvl="1">
      <w:lvlJc w:val="left"/>
      <w:lvlText w:val="%2"/>
      <w:numFmt w:val="lowerRoman"/>
      <w:start w:val="1"/>
    </w:lvl>
  </w:abstractNum>
  <w:abstractNum w:abstractNumId="83">
    <w:nsid w:val="5D888A08"/>
    <w:multiLevelType w:val="hybridMultilevel"/>
    <w:lvl w:ilvl="0">
      <w:lvlJc w:val="left"/>
      <w:lvlText w:val="(%1)"/>
      <w:numFmt w:val="lowerLetter"/>
      <w:start w:val="6"/>
    </w:lvl>
  </w:abstractNum>
  <w:abstractNum w:abstractNumId="84">
    <w:nsid w:val="2A082C70"/>
    <w:multiLevelType w:val="hybridMultilevel"/>
    <w:lvl w:ilvl="0">
      <w:lvlJc w:val="left"/>
      <w:lvlText w:val="(%1)"/>
      <w:numFmt w:val="lowerLetter"/>
      <w:start w:val="7"/>
    </w:lvl>
  </w:abstractNum>
  <w:abstractNum w:abstractNumId="85">
    <w:nsid w:val="5EC6AFD4"/>
    <w:multiLevelType w:val="hybridMultilevel"/>
    <w:lvl w:ilvl="0">
      <w:lvlJc w:val="left"/>
      <w:lvlText w:val="(%1)"/>
      <w:numFmt w:val="lowerRoman"/>
      <w:start w:val="1"/>
    </w:lvl>
  </w:abstractNum>
  <w:abstractNum w:abstractNumId="86">
    <w:nsid w:val="19E21BB2"/>
    <w:multiLevelType w:val="hybridMultilevel"/>
    <w:lvl w:ilvl="0">
      <w:lvlJc w:val="left"/>
      <w:lvlText w:val="(%1)"/>
      <w:numFmt w:val="lowerLetter"/>
      <w:start w:val="10"/>
    </w:lvl>
  </w:abstractNum>
  <w:abstractNum w:abstractNumId="87">
    <w:nsid w:val="75E0858A"/>
    <w:multiLevelType w:val="hybridMultilevel"/>
    <w:lvl w:ilvl="0">
      <w:lvlJc w:val="left"/>
      <w:lvlText w:val="(%1)"/>
      <w:numFmt w:val="lowerLetter"/>
      <w:start w:val="12"/>
    </w:lvl>
  </w:abstractNum>
  <w:abstractNum w:abstractNumId="88">
    <w:nsid w:val="57A61A29"/>
    <w:multiLevelType w:val="hybridMultilevel"/>
    <w:lvl w:ilvl="0">
      <w:lvlJc w:val="left"/>
      <w:lvlText w:val="(%1)"/>
      <w:numFmt w:val="lowerLetter"/>
      <w:start w:val="13"/>
    </w:lvl>
  </w:abstractNum>
  <w:abstractNum w:abstractNumId="89">
    <w:nsid w:val="5399C654"/>
    <w:multiLevelType w:val="hybridMultilevel"/>
    <w:lvl w:ilvl="0">
      <w:lvlJc w:val="left"/>
      <w:lvlText w:val="(%1)"/>
      <w:numFmt w:val="lowerLetter"/>
      <w:start w:val="14"/>
    </w:lvl>
  </w:abstractNum>
  <w:abstractNum w:abstractNumId="90">
    <w:nsid w:val="20EE1348"/>
    <w:multiLevelType w:val="hybridMultilevel"/>
    <w:lvl w:ilvl="0">
      <w:lvlJc w:val="left"/>
      <w:lvlText w:val="(%1)"/>
      <w:numFmt w:val="lowerRoman"/>
      <w:start w:val="1"/>
    </w:lvl>
  </w:abstractNum>
  <w:abstractNum w:abstractNumId="91">
    <w:nsid w:val="4427069A"/>
    <w:multiLevelType w:val="hybridMultilevel"/>
    <w:lvl w:ilvl="0">
      <w:lvlJc w:val="left"/>
      <w:lvlText w:val="(%1)"/>
      <w:numFmt w:val="lowerRoman"/>
      <w:start w:val="2"/>
    </w:lvl>
  </w:abstractNum>
  <w:abstractNum w:abstractNumId="92">
    <w:nsid w:val="B37E80A"/>
    <w:multiLevelType w:val="hybridMultilevel"/>
    <w:lvl w:ilvl="0">
      <w:lvlJc w:val="left"/>
      <w:lvlText w:val="(%1)"/>
      <w:numFmt w:val="lowerRoman"/>
      <w:start w:val="3"/>
    </w:lvl>
  </w:abstractNum>
  <w:abstractNum w:abstractNumId="93">
    <w:nsid w:val="2157F6BC"/>
    <w:multiLevelType w:val="hybridMultilevel"/>
    <w:lvl w:ilvl="0">
      <w:lvlJc w:val="left"/>
      <w:lvlText w:val="(%1)"/>
      <w:numFmt w:val="lowerRoman"/>
      <w:start w:val="6"/>
    </w:lvl>
  </w:abstractNum>
  <w:abstractNum w:abstractNumId="94">
    <w:nsid w:val="704E1DD5"/>
    <w:multiLevelType w:val="hybridMultilevel"/>
    <w:lvl w:ilvl="0">
      <w:lvlJc w:val="left"/>
      <w:lvlText w:val="(%1)"/>
      <w:numFmt w:val="lowerLetter"/>
      <w:start w:val="18"/>
    </w:lvl>
  </w:abstractNum>
  <w:abstractNum w:abstractNumId="95">
    <w:nsid w:val="57D2F10E"/>
    <w:multiLevelType w:val="hybridMultilevel"/>
    <w:lvl w:ilvl="0">
      <w:lvlJc w:val="left"/>
      <w:lvlText w:val="(%1)"/>
      <w:numFmt w:val="lowerRoman"/>
      <w:start w:val="1"/>
    </w:lvl>
  </w:abstractNum>
  <w:abstractNum w:abstractNumId="96">
    <w:nsid w:val="BFFAE18"/>
    <w:multiLevelType w:val="hybridMultilevel"/>
    <w:lvl w:ilvl="0">
      <w:lvlJc w:val="left"/>
      <w:lvlText w:val="(%1)"/>
      <w:numFmt w:val="lowerRoman"/>
      <w:start w:val="2"/>
    </w:lvl>
  </w:abstractNum>
  <w:abstractNum w:abstractNumId="97">
    <w:nsid w:val="E3E47A8"/>
    <w:multiLevelType w:val="hybridMultilevel"/>
    <w:lvl w:ilvl="0">
      <w:lvlJc w:val="left"/>
      <w:lvlText w:val="%1."/>
      <w:numFmt w:val="decimal"/>
      <w:start w:val="6"/>
    </w:lvl>
  </w:abstractNum>
  <w:abstractNum w:abstractNumId="98">
    <w:nsid w:val="2E48F044"/>
    <w:multiLevelType w:val="hybridMultilevel"/>
    <w:lvl w:ilvl="0">
      <w:lvlJc w:val="left"/>
      <w:lvlText w:val="%1."/>
      <w:numFmt w:val="decimal"/>
      <w:start w:val="7"/>
    </w:lvl>
  </w:abstractNum>
  <w:abstractNum w:abstractNumId="99">
    <w:nsid w:val="49D0FEAC"/>
    <w:multiLevelType w:val="hybridMultilevel"/>
    <w:lvl w:ilvl="0">
      <w:lvlJc w:val="left"/>
      <w:lvlText w:val="(%1)"/>
      <w:numFmt w:val="lowerLetter"/>
      <w:start w:val="2"/>
    </w:lvl>
  </w:abstractNum>
  <w:abstractNum w:abstractNumId="100">
    <w:nsid w:val="4BEE5A5B"/>
    <w:multiLevelType w:val="hybridMultilevel"/>
    <w:lvl w:ilvl="0">
      <w:lvlJc w:val="left"/>
      <w:lvlText w:val="(%1)"/>
      <w:numFmt w:val="lowerLetter"/>
      <w:start w:val="3"/>
    </w:lvl>
  </w:abstractNum>
  <w:abstractNum w:abstractNumId="101">
    <w:nsid w:val="5551B9F3"/>
    <w:multiLevelType w:val="hybridMultilevel"/>
    <w:lvl w:ilvl="0">
      <w:lvlJc w:val="left"/>
      <w:lvlText w:val="(%1)"/>
      <w:numFmt w:val="lowerRoman"/>
      <w:start w:val="2"/>
    </w:lvl>
  </w:abstractNum>
  <w:abstractNum w:abstractNumId="102">
    <w:nsid w:val="24F6AB8E"/>
    <w:multiLevelType w:val="hybridMultilevel"/>
    <w:lvl w:ilvl="0">
      <w:lvlJc w:val="left"/>
      <w:lvlText w:val="(%1)"/>
      <w:numFmt w:val="lowerLetter"/>
      <w:start w:val="4"/>
    </w:lvl>
  </w:abstractNum>
  <w:abstractNum w:abstractNumId="103">
    <w:nsid w:val="634C574C"/>
    <w:multiLevelType w:val="hybridMultilevel"/>
    <w:lvl w:ilvl="0">
      <w:lvlJc w:val="left"/>
      <w:lvlText w:val="(%1)"/>
      <w:numFmt w:val="lowerLetter"/>
      <w:start w:val="5"/>
    </w:lvl>
  </w:abstractNum>
  <w:abstractNum w:abstractNumId="104">
    <w:nsid w:val="24E99DD7"/>
    <w:multiLevelType w:val="hybridMultilevel"/>
    <w:lvl w:ilvl="0">
      <w:lvlJc w:val="left"/>
      <w:lvlText w:val="%1."/>
      <w:numFmt w:val="decimal"/>
      <w:start w:val="8"/>
    </w:lvl>
  </w:abstractNum>
  <w:abstractNum w:abstractNumId="105">
    <w:nsid w:val="2A31B62D"/>
    <w:multiLevelType w:val="hybridMultilevel"/>
    <w:lvl w:ilvl="0">
      <w:lvlJc w:val="left"/>
      <w:lvlText w:val="(%1)"/>
      <w:numFmt w:val="lowerLetter"/>
      <w:start w:val="2"/>
    </w:lvl>
  </w:abstractNum>
  <w:abstractNum w:abstractNumId="106">
    <w:nsid w:val="1849C29B"/>
    <w:multiLevelType w:val="hybridMultilevel"/>
    <w:lvl w:ilvl="0">
      <w:lvlJc w:val="left"/>
      <w:lvlText w:val="%1."/>
      <w:numFmt w:val="decimal"/>
      <w:start w:val="9"/>
    </w:lvl>
  </w:abstractNum>
  <w:abstractNum w:abstractNumId="107">
    <w:nsid w:val="7DFF9D09"/>
    <w:multiLevelType w:val="hybridMultilevel"/>
    <w:lvl w:ilvl="0">
      <w:lvlJc w:val="left"/>
      <w:lvlText w:val="%1."/>
      <w:numFmt w:val="decimal"/>
      <w:start w:val="11"/>
    </w:lvl>
  </w:abstractNum>
  <w:abstractNum w:abstractNumId="108">
    <w:nsid w:val="754342"/>
    <w:multiLevelType w:val="hybridMultilevel"/>
    <w:lvl w:ilvl="0">
      <w:lvlJc w:val="left"/>
      <w:lvlText w:val="(%1)"/>
      <w:numFmt w:val="lowerLetter"/>
      <w:start w:val="1"/>
    </w:lvl>
  </w:abstractNum>
  <w:abstractNum w:abstractNumId="109">
    <w:nsid w:val="69E7F3E5"/>
    <w:multiLevelType w:val="hybridMultilevel"/>
    <w:lvl w:ilvl="0">
      <w:lvlJc w:val="left"/>
      <w:lvlText w:val="%1."/>
      <w:numFmt w:val="decimal"/>
      <w:start w:val="12"/>
    </w:lvl>
  </w:abstractNum>
  <w:abstractNum w:abstractNumId="110">
    <w:nsid w:val="2A6DE806"/>
    <w:multiLevelType w:val="hybridMultilevel"/>
    <w:lvl w:ilvl="0">
      <w:lvlJc w:val="left"/>
      <w:lvlText w:val="%1."/>
      <w:numFmt w:val="decimal"/>
      <w:start w:val="13"/>
    </w:lvl>
  </w:abstractNum>
  <w:abstractNum w:abstractNumId="111">
    <w:nsid w:val="1816F8C4"/>
    <w:multiLevelType w:val="hybridMultilevel"/>
    <w:lvl w:ilvl="0">
      <w:lvlJc w:val="left"/>
      <w:lvlText w:val="%1."/>
      <w:numFmt w:val="decimal"/>
      <w:start w:val="17"/>
    </w:lvl>
  </w:abstractNum>
  <w:abstractNum w:abstractNumId="112">
    <w:nsid w:val="37DF2233"/>
    <w:multiLevelType w:val="hybridMultilevel"/>
    <w:lvl w:ilvl="0">
      <w:lvlJc w:val="left"/>
      <w:lvlText w:val="%1."/>
      <w:numFmt w:val="decimal"/>
      <w:start w:val="19"/>
    </w:lvl>
  </w:abstractNum>
  <w:abstractNum w:abstractNumId="113">
    <w:nsid w:val="7AB49DAF"/>
    <w:multiLevelType w:val="hybridMultilevel"/>
    <w:lvl w:ilvl="0">
      <w:lvlJc w:val="left"/>
      <w:lvlText w:val="%1."/>
      <w:numFmt w:val="decimal"/>
      <w:start w:val="1"/>
    </w:lvl>
  </w:abstractNum>
  <w:abstractNum w:abstractNumId="114">
    <w:nsid w:val="759F82CD"/>
    <w:multiLevelType w:val="hybridMultilevel"/>
    <w:lvl w:ilvl="0">
      <w:lvlJc w:val="left"/>
      <w:lvlText w:val="(%1)"/>
      <w:numFmt w:val="lowerLetter"/>
      <w:start w:val="2"/>
    </w:lvl>
  </w:abstractNum>
  <w:abstractNum w:abstractNumId="115">
    <w:nsid w:val="61E74EA3"/>
    <w:multiLevelType w:val="hybridMultilevel"/>
    <w:lvl w:ilvl="0">
      <w:lvlJc w:val="left"/>
      <w:lvlText w:val="%1."/>
      <w:numFmt w:val="decimal"/>
      <w:start w:val="2"/>
    </w:lvl>
  </w:abstractNum>
  <w:abstractNum w:abstractNumId="116">
    <w:nsid w:val="597B4D84"/>
    <w:multiLevelType w:val="hybridMultilevel"/>
    <w:lvl w:ilvl="0">
      <w:lvlJc w:val="left"/>
      <w:lvlText w:val="%1."/>
      <w:numFmt w:val="decimal"/>
      <w:start w:val="1"/>
    </w:lvl>
  </w:abstractNum>
  <w:abstractNum w:abstractNumId="117">
    <w:nsid w:val="F819E7F"/>
    <w:multiLevelType w:val="hybridMultilevel"/>
    <w:lvl w:ilvl="0">
      <w:lvlJc w:val="left"/>
      <w:lvlText w:val="(%1)"/>
      <w:numFmt w:val="lowerLetter"/>
      <w:start w:val="1"/>
    </w:lvl>
  </w:abstractNum>
  <w:abstractNum w:abstractNumId="118">
    <w:nsid w:val="57C7D42D"/>
    <w:multiLevelType w:val="hybridMultilevel"/>
    <w:lvl w:ilvl="0">
      <w:lvlJc w:val="left"/>
      <w:lvlText w:val="(%1)"/>
      <w:numFmt w:val="lowerLetter"/>
      <w:start w:val="4"/>
    </w:lvl>
  </w:abstractNum>
  <w:abstractNum w:abstractNumId="119">
    <w:nsid w:val="312167AD"/>
    <w:multiLevelType w:val="hybridMultilevel"/>
    <w:lvl w:ilvl="0">
      <w:lvlJc w:val="left"/>
      <w:lvlText w:val="(%1)"/>
      <w:numFmt w:val="lowerLetter"/>
      <w:start w:val="12"/>
    </w:lvl>
  </w:abstractNum>
  <w:abstractNum w:abstractNumId="120">
    <w:nsid w:val="631B64D4"/>
    <w:multiLevelType w:val="hybridMultilevel"/>
    <w:lvl w:ilvl="0">
      <w:lvlJc w:val="left"/>
      <w:lvlText w:val="(%1)"/>
      <w:numFmt w:val="lowerLetter"/>
      <w:start w:val="15"/>
    </w:lvl>
  </w:abstractNum>
  <w:abstractNum w:abstractNumId="121">
    <w:nsid w:val="78B5E776"/>
    <w:multiLevelType w:val="hybridMultilevel"/>
    <w:lvl w:ilvl="0">
      <w:lvlJc w:val="left"/>
      <w:lvlText w:val="(%1)"/>
      <w:numFmt w:val="lowerLetter"/>
      <w:start w:val="18"/>
    </w:lvl>
  </w:abstractNum>
  <w:abstractNum w:abstractNumId="122">
    <w:nsid w:val="75486E47"/>
    <w:multiLevelType w:val="hybridMultilevel"/>
    <w:lvl w:ilvl="0">
      <w:lvlJc w:val="left"/>
      <w:lvlText w:val="(%1)"/>
      <w:numFmt w:val="lowerLetter"/>
      <w:start w:val="19"/>
    </w:lvl>
  </w:abstractNum>
  <w:abstractNum w:abstractNumId="123">
    <w:nsid w:val="6E534CDE"/>
    <w:multiLevelType w:val="hybridMultilevel"/>
    <w:lvl w:ilvl="0">
      <w:lvlJc w:val="left"/>
      <w:lvlText w:val="(%1)"/>
      <w:numFmt w:val="lowerLetter"/>
      <w:start w:val="21"/>
    </w:lvl>
  </w:abstractNum>
  <w:abstractNum w:abstractNumId="124">
    <w:nsid w:val="1A0DDE32"/>
    <w:multiLevelType w:val="hybridMultilevel"/>
    <w:lvl w:ilvl="0">
      <w:lvlJc w:val="left"/>
      <w:lvlText w:val="(%1)"/>
      <w:numFmt w:val="lowerRoman"/>
      <w:start w:val="5"/>
    </w:lvl>
  </w:abstractNum>
  <w:abstractNum w:abstractNumId="125">
    <w:nsid w:val="65968C1C"/>
    <w:multiLevelType w:val="hybridMultilevel"/>
    <w:lvl w:ilvl="0">
      <w:lvlJc w:val="left"/>
      <w:lvlText w:val="(%1)"/>
      <w:numFmt w:val="lowerLetter"/>
      <w:start w:val="23"/>
    </w:lvl>
  </w:abstractNum>
  <w:abstractNum w:abstractNumId="126">
    <w:nsid w:val="46263DEC"/>
    <w:multiLevelType w:val="hybridMultilevel"/>
    <w:lvl w:ilvl="0">
      <w:lvlJc w:val="left"/>
      <w:lvlText w:val="(%1)"/>
      <w:numFmt w:val="lowerLetter"/>
      <w:start w:val="24"/>
    </w:lvl>
  </w:abstractNum>
  <w:abstractNum w:abstractNumId="127">
    <w:nsid w:val="260D8C4A"/>
    <w:multiLevelType w:val="hybridMultilevel"/>
    <w:lvl w:ilvl="0">
      <w:lvlJc w:val="left"/>
      <w:lvlText w:val="(%1)"/>
      <w:numFmt w:val="lowerLetter"/>
      <w:start w:val="27"/>
    </w:lvl>
  </w:abstractNum>
  <w:abstractNum w:abstractNumId="128">
    <w:nsid w:val="73D4D3C4"/>
    <w:multiLevelType w:val="hybridMultilevel"/>
    <w:lvl w:ilvl="0">
      <w:lvlJc w:val="left"/>
      <w:lvlText w:val="(%1)"/>
      <w:numFmt w:val="lowerLetter"/>
      <w:start w:val="28"/>
    </w:lvl>
  </w:abstractNum>
  <w:abstractNum w:abstractNumId="129">
    <w:nsid w:val="746F2E30"/>
    <w:multiLevelType w:val="hybridMultilevel"/>
    <w:lvl w:ilvl="0">
      <w:lvlJc w:val="left"/>
      <w:lvlText w:val="(%1)"/>
      <w:numFmt w:val="lowerLetter"/>
      <w:start w:val="29"/>
    </w:lvl>
  </w:abstractNum>
  <w:abstractNum w:abstractNumId="130">
    <w:nsid w:val="6FDE8AF6"/>
    <w:multiLevelType w:val="hybridMultilevel"/>
    <w:lvl w:ilvl="0">
      <w:lvlJc w:val="left"/>
      <w:lvlText w:val="(%1)"/>
      <w:numFmt w:val="lowerLetter"/>
      <w:start w:val="30"/>
    </w:lvl>
  </w:abstractNum>
  <w:abstractNum w:abstractNumId="131">
    <w:nsid w:val="3FC32E20"/>
    <w:multiLevelType w:val="hybridMultilevel"/>
    <w:lvl w:ilvl="0">
      <w:lvlJc w:val="left"/>
      <w:lvlText w:val="(%1)"/>
      <w:numFmt w:val="lowerLetter"/>
      <w:start w:val="36"/>
    </w:lvl>
  </w:abstractNum>
  <w:abstractNum w:abstractNumId="132">
    <w:nsid w:val="49C0E823"/>
    <w:multiLevelType w:val="hybridMultilevel"/>
    <w:lvl w:ilvl="0">
      <w:lvlJc w:val="left"/>
      <w:lvlText w:val="(%1)"/>
      <w:numFmt w:val="lowerLetter"/>
      <w:start w:val="38"/>
    </w:lvl>
  </w:abstractNum>
  <w:abstractNum w:abstractNumId="133">
    <w:nsid w:val="14D53685"/>
    <w:multiLevelType w:val="hybridMultilevel"/>
    <w:lvl w:ilvl="0">
      <w:lvlJc w:val="left"/>
      <w:lvlText w:val="%1."/>
      <w:numFmt w:val="decimal"/>
      <w:start w:val="2"/>
    </w:lvl>
  </w:abstractNum>
  <w:abstractNum w:abstractNumId="134">
    <w:nsid w:val="230F856C"/>
    <w:multiLevelType w:val="hybridMultilevel"/>
    <w:lvl w:ilvl="0">
      <w:lvlJc w:val="left"/>
      <w:lvlText w:val="%1."/>
      <w:numFmt w:val="decimal"/>
      <w:start w:val="3"/>
    </w:lvl>
  </w:abstractNum>
  <w:abstractNum w:abstractNumId="135">
    <w:nsid w:val="6EAA85FB"/>
    <w:multiLevelType w:val="hybridMultilevel"/>
    <w:lvl w:ilvl="0">
      <w:lvlJc w:val="left"/>
      <w:lvlText w:val="(%1)"/>
      <w:numFmt w:val="lowerLetter"/>
      <w:start w:val="1"/>
    </w:lvl>
  </w:abstractNum>
  <w:abstractNum w:abstractNumId="136">
    <w:nsid w:val="3F06ECB2"/>
    <w:multiLevelType w:val="hybridMultilevel"/>
    <w:lvl w:ilvl="0">
      <w:lvlJc w:val="left"/>
      <w:lvlText w:val="%1."/>
      <w:numFmt w:val="decimal"/>
      <w:start w:val="5"/>
    </w:lvl>
  </w:abstractNum>
  <w:abstractNum w:abstractNumId="137">
    <w:nsid w:val="3B594807"/>
    <w:multiLevelType w:val="hybridMultilevel"/>
    <w:lvl w:ilvl="0">
      <w:lvlJc w:val="left"/>
      <w:lvlText w:val="(%1)"/>
      <w:numFmt w:val="lowerLetter"/>
      <w:start w:val="1"/>
    </w:lvl>
  </w:abstractNum>
  <w:abstractNum w:abstractNumId="138">
    <w:nsid w:val="6CAA2304"/>
    <w:multiLevelType w:val="hybridMultilevel"/>
    <w:lvl w:ilvl="0">
      <w:lvlJc w:val="left"/>
      <w:lvlText w:val="(%1)"/>
      <w:numFmt w:val="lowerLetter"/>
      <w:start w:val="3"/>
    </w:lvl>
  </w:abstractNum>
  <w:abstractNum w:abstractNumId="139">
    <w:nsid w:val="3F7C2FF4"/>
    <w:multiLevelType w:val="hybridMultilevel"/>
    <w:lvl w:ilvl="0">
      <w:lvlJc w:val="left"/>
      <w:lvlText w:val="(%1)"/>
      <w:numFmt w:val="lowerLetter"/>
      <w:start w:val="5"/>
    </w:lvl>
  </w:abstractNum>
  <w:abstractNum w:abstractNumId="140">
    <w:nsid w:val="25413BEC"/>
    <w:multiLevelType w:val="hybridMultilevel"/>
    <w:lvl w:ilvl="0">
      <w:lvlJc w:val="left"/>
      <w:lvlText w:val="(%1)"/>
      <w:numFmt w:val="lowerLetter"/>
      <w:start w:val="9"/>
    </w:lvl>
  </w:abstractNum>
  <w:abstractNum w:abstractNumId="141">
    <w:nsid w:val="17180B0B"/>
    <w:multiLevelType w:val="hybridMultilevel"/>
    <w:lvl w:ilvl="0">
      <w:lvlJc w:val="left"/>
      <w:lvlText w:val="(%1)"/>
      <w:numFmt w:val="lowerLetter"/>
      <w:start w:val="14"/>
    </w:lvl>
  </w:abstractNum>
  <w:abstractNum w:abstractNumId="142">
    <w:nsid w:val="579328B9"/>
    <w:multiLevelType w:val="hybridMultilevel"/>
    <w:lvl w:ilvl="0">
      <w:lvlJc w:val="left"/>
      <w:lvlText w:val="%1."/>
      <w:numFmt w:val="decimal"/>
      <w:start w:val="6"/>
    </w:lvl>
  </w:abstractNum>
  <w:abstractNum w:abstractNumId="143">
    <w:nsid w:val="5D205E20"/>
    <w:multiLevelType w:val="hybridMultilevel"/>
    <w:lvl w:ilvl="0">
      <w:lvlJc w:val="left"/>
      <w:lvlText w:val="(%1)"/>
      <w:numFmt w:val="lowerLetter"/>
      <w:start w:val="1"/>
    </w:lvl>
    <w:lvl w:ilvl="1">
      <w:lvlJc w:val="left"/>
      <w:lvlText w:val="(%2)"/>
      <w:numFmt w:val="lowerLetter"/>
      <w:start w:val="9"/>
    </w:lvl>
  </w:abstractNum>
  <w:abstractNum w:abstractNumId="144">
    <w:nsid w:val="11CCA8BA"/>
    <w:multiLevelType w:val="hybridMultilevel"/>
    <w:lvl w:ilvl="0">
      <w:lvlJc w:val="left"/>
      <w:lvlText w:val="(%1)"/>
      <w:numFmt w:val="lowerRoman"/>
      <w:start w:val="2"/>
    </w:lvl>
  </w:abstractNum>
  <w:abstractNum w:abstractNumId="145">
    <w:nsid w:val="4D32AB86"/>
    <w:multiLevelType w:val="hybridMultilevel"/>
    <w:lvl w:ilvl="0">
      <w:lvlJc w:val="left"/>
      <w:lvlText w:val="(%1)"/>
      <w:numFmt w:val="lowerRoman"/>
      <w:start w:val="6"/>
    </w:lvl>
  </w:abstractNum>
  <w:abstractNum w:abstractNumId="146">
    <w:nsid w:val="3F07ACC3"/>
    <w:multiLevelType w:val="hybridMultilevel"/>
    <w:lvl w:ilvl="0">
      <w:lvlJc w:val="left"/>
      <w:lvlText w:val="%1"/>
      <w:numFmt w:val="upperLetter"/>
      <w:start w:val="1"/>
    </w:lvl>
    <w:lvl w:ilvl="1">
      <w:lvlJc w:val="left"/>
      <w:lvlText w:val="(%2)"/>
      <w:numFmt w:val="lowerRoman"/>
      <w:start w:val="8"/>
    </w:lvl>
  </w:abstractNum>
  <w:abstractNum w:abstractNumId="147">
    <w:nsid w:val="6B47F63E"/>
    <w:multiLevelType w:val="hybridMultilevel"/>
    <w:lvl w:ilvl="0">
      <w:lvlJc w:val="left"/>
      <w:lvlText w:val="(%1)"/>
      <w:numFmt w:val="upperLetter"/>
      <w:start w:val="1"/>
    </w:lvl>
    <w:lvl w:ilvl="1">
      <w:lvlJc w:val="left"/>
      <w:lvlText w:val="(%2)"/>
      <w:numFmt w:val="lowerRoman"/>
      <w:start w:val="11"/>
    </w:lvl>
  </w:abstractNum>
  <w:abstractNum w:abstractNumId="148">
    <w:nsid w:val="5CB44A05"/>
    <w:multiLevelType w:val="hybridMultilevel"/>
    <w:lvl w:ilvl="0">
      <w:lvlJc w:val="left"/>
      <w:lvlText w:val="(%1)"/>
      <w:numFmt w:val="upperLetter"/>
      <w:start w:val="1"/>
    </w:lvl>
    <w:lvl w:ilvl="1">
      <w:lvlJc w:val="left"/>
      <w:lvlText w:val="(%2)"/>
      <w:numFmt w:val="lowerRoman"/>
      <w:start w:val="12"/>
    </w:lvl>
  </w:abstractNum>
  <w:abstractNum w:abstractNumId="149">
    <w:nsid w:val="16CF80F1"/>
    <w:multiLevelType w:val="hybridMultilevel"/>
    <w:lvl w:ilvl="0">
      <w:lvlJc w:val="left"/>
      <w:lvlText w:val="(%1)"/>
      <w:numFmt w:val="lowerRoman"/>
      <w:start w:val="13"/>
    </w:lvl>
  </w:abstractNum>
  <w:abstractNum w:abstractNumId="150">
    <w:nsid w:val="1C695DEC"/>
    <w:multiLevelType w:val="hybridMultilevel"/>
    <w:lvl w:ilvl="0">
      <w:lvlJc w:val="left"/>
      <w:lvlText w:val="(%1)"/>
      <w:numFmt w:val="lowerRoman"/>
      <w:start w:val="14"/>
    </w:lvl>
  </w:abstractNum>
  <w:abstractNum w:abstractNumId="151">
    <w:nsid w:val="3FCFAED9"/>
    <w:multiLevelType w:val="hybridMultilevel"/>
    <w:lvl w:ilvl="0">
      <w:lvlJc w:val="left"/>
      <w:lvlText w:val="(%1)"/>
      <w:numFmt w:val="lowerRoman"/>
      <w:start w:val="17"/>
    </w:lvl>
  </w:abstractNum>
  <w:abstractNum w:abstractNumId="152">
    <w:nsid w:val="F856867"/>
    <w:multiLevelType w:val="hybridMultilevel"/>
    <w:lvl w:ilvl="0">
      <w:lvlJc w:val="left"/>
      <w:lvlText w:val="(%1)"/>
      <w:numFmt w:val="lowerLetter"/>
      <w:start w:val="2"/>
    </w:lvl>
  </w:abstractNum>
  <w:abstractNum w:abstractNumId="153">
    <w:nsid w:val="11B1CC33"/>
    <w:multiLevelType w:val="hybridMultilevel"/>
    <w:lvl w:ilvl="0">
      <w:lvlJc w:val="left"/>
      <w:lvlText w:val="(%1)"/>
      <w:numFmt w:val="lowerLetter"/>
      <w:start w:val="3"/>
    </w:lvl>
    <w:lvl w:ilvl="1">
      <w:lvlJc w:val="left"/>
      <w:lvlText w:val="(%2)"/>
      <w:numFmt w:val="lowerLetter"/>
      <w:start w:val="9"/>
    </w:lvl>
  </w:abstractNum>
  <w:abstractNum w:abstractNumId="154">
    <w:nsid w:val="2E22FBB7"/>
    <w:multiLevelType w:val="hybridMultilevel"/>
    <w:lvl w:ilvl="0">
      <w:lvlJc w:val="left"/>
      <w:lvlText w:val="(%1)"/>
      <w:numFmt w:val="lowerRoman"/>
      <w:start w:val="2"/>
    </w:lvl>
  </w:abstractNum>
  <w:abstractNum w:abstractNumId="155">
    <w:nsid w:val="29934699"/>
    <w:multiLevelType w:val="hybridMultilevel"/>
    <w:lvl w:ilvl="0">
      <w:lvlJc w:val="left"/>
      <w:lvlText w:val="(%1)"/>
      <w:numFmt w:val="lowerLetter"/>
      <w:start w:val="4"/>
    </w:lvl>
    <w:lvl w:ilvl="1">
      <w:lvlJc w:val="left"/>
      <w:lvlText w:val="(%2)"/>
      <w:numFmt w:val="lowerRoman"/>
      <w:start w:val="1"/>
    </w:lvl>
  </w:abstractNum>
  <w:abstractNum w:abstractNumId="156">
    <w:nsid w:val="77485850"/>
    <w:multiLevelType w:val="hybridMultilevel"/>
    <w:lvl w:ilvl="0">
      <w:lvlJc w:val="left"/>
      <w:lvlText w:val="(%1)"/>
      <w:numFmt w:val="lowerRoman"/>
      <w:start w:val="3"/>
    </w:lvl>
  </w:abstractNum>
  <w:abstractNum w:abstractNumId="157">
    <w:nsid w:val="744939A3"/>
    <w:multiLevelType w:val="hybridMultilevel"/>
    <w:lvl w:ilvl="0">
      <w:lvlJc w:val="left"/>
      <w:lvlText w:val="(%1)"/>
      <w:numFmt w:val="lowerRoman"/>
      <w:start w:val="9"/>
    </w:lvl>
  </w:abstractNum>
  <w:abstractNum w:abstractNumId="158">
    <w:nsid w:val="4FA0D2E3"/>
    <w:multiLevelType w:val="hybridMultilevel"/>
    <w:lvl w:ilvl="0">
      <w:lvlJc w:val="left"/>
      <w:lvlText w:val="(%1)"/>
      <w:numFmt w:val="lowerLetter"/>
      <w:start w:val="5"/>
    </w:lvl>
  </w:abstractNum>
  <w:abstractNum w:abstractNumId="159">
    <w:nsid w:val="6B1D2C14"/>
    <w:multiLevelType w:val="hybridMultilevel"/>
    <w:lvl w:ilvl="0">
      <w:lvlJc w:val="left"/>
      <w:lvlText w:val="(%1)"/>
      <w:numFmt w:val="lowerLetter"/>
      <w:start w:val="6"/>
    </w:lvl>
  </w:abstractNum>
  <w:abstractNum w:abstractNumId="160">
    <w:nsid w:val="68B867D3"/>
    <w:multiLevelType w:val="hybridMultilevel"/>
    <w:lvl w:ilvl="0">
      <w:lvlJc w:val="left"/>
      <w:lvlText w:val="(%1)"/>
      <w:numFmt w:val="lowerLetter"/>
      <w:start w:val="11"/>
    </w:lvl>
  </w:abstractNum>
  <w:abstractNum w:abstractNumId="161">
    <w:nsid w:val="3F7F5DD9"/>
    <w:multiLevelType w:val="hybridMultilevel"/>
    <w:lvl w:ilvl="0">
      <w:lvlJc w:val="left"/>
      <w:lvlText w:val="%1."/>
      <w:numFmt w:val="decimal"/>
      <w:start w:val="7"/>
    </w:lvl>
  </w:abstractNum>
  <w:abstractNum w:abstractNumId="162">
    <w:nsid w:val="2AE05A34"/>
    <w:multiLevelType w:val="hybridMultilevel"/>
    <w:lvl w:ilvl="0">
      <w:lvlJc w:val="left"/>
      <w:lvlText w:val="(%1)"/>
      <w:numFmt w:val="lowerLetter"/>
      <w:start w:val="2"/>
    </w:lvl>
  </w:abstractNum>
  <w:abstractNum w:abstractNumId="163">
    <w:nsid w:val="32794FF7"/>
    <w:multiLevelType w:val="hybridMultilevel"/>
    <w:lvl w:ilvl="0">
      <w:lvlJc w:val="left"/>
      <w:lvlText w:val="(%1)"/>
      <w:numFmt w:val="lowerLetter"/>
      <w:start w:val="4"/>
    </w:lvl>
  </w:abstractNum>
  <w:abstractNum w:abstractNumId="164">
    <w:nsid w:val="5454945E"/>
    <w:multiLevelType w:val="hybridMultilevel"/>
    <w:lvl w:ilvl="0">
      <w:lvlJc w:val="left"/>
      <w:lvlText w:val="%1."/>
      <w:numFmt w:val="decimal"/>
      <w:start w:val="9"/>
    </w:lvl>
  </w:abstractNum>
  <w:abstractNum w:abstractNumId="165">
    <w:nsid w:val="4DEFDFA0"/>
    <w:multiLevelType w:val="hybridMultilevel"/>
    <w:lvl w:ilvl="0">
      <w:lvlJc w:val="left"/>
      <w:lvlText w:val="%1"/>
      <w:numFmt w:val="lowerRoman"/>
      <w:start w:val="1"/>
    </w:lvl>
    <w:lvl w:ilvl="1">
      <w:lvlJc w:val="left"/>
      <w:lvlText w:val="%2."/>
      <w:numFmt w:val="decimal"/>
      <w:start w:val="10"/>
    </w:lvl>
  </w:abstractNum>
  <w:abstractNum w:abstractNumId="166">
    <w:nsid w:val="2123D5F2"/>
    <w:multiLevelType w:val="hybridMultilevel"/>
    <w:lvl w:ilvl="0">
      <w:lvlJc w:val="left"/>
      <w:lvlText w:val="(%1)"/>
      <w:numFmt w:val="lowerRoman"/>
      <w:start w:val="1"/>
    </w:lvl>
    <w:lvl w:ilvl="1">
      <w:lvlJc w:val="left"/>
      <w:lvlText w:val="%2"/>
      <w:numFmt w:val="decimal"/>
      <w:start w:val="1"/>
    </w:lvl>
  </w:abstractNum>
  <w:abstractNum w:abstractNumId="167">
    <w:nsid w:val="135B8110"/>
    <w:multiLevelType w:val="hybridMultilevel"/>
    <w:lvl w:ilvl="0">
      <w:lvlJc w:val="left"/>
      <w:lvlText w:val="%1."/>
      <w:numFmt w:val="decimal"/>
      <w:start w:val="11"/>
    </w:lvl>
  </w:abstractNum>
  <w:abstractNum w:abstractNumId="168">
    <w:nsid w:val="94927A8"/>
    <w:multiLevelType w:val="hybridMultilevel"/>
    <w:lvl w:ilvl="0">
      <w:lvlJc w:val="left"/>
      <w:lvlText w:val="%1."/>
      <w:numFmt w:val="decimal"/>
      <w:start w:val="12"/>
    </w:lvl>
  </w:abstractNum>
  <w:abstractNum w:abstractNumId="169">
    <w:nsid w:val="DCDF8F6"/>
    <w:multiLevelType w:val="hybridMultilevel"/>
    <w:lvl w:ilvl="0">
      <w:lvlJc w:val="left"/>
      <w:lvlText w:val="%1."/>
      <w:numFmt w:val="decimal"/>
      <w:start w:val="19"/>
    </w:lvl>
  </w:abstractNum>
  <w:abstractNum w:abstractNumId="170">
    <w:nsid w:val="52D7B105"/>
    <w:multiLevelType w:val="hybridMultilevel"/>
    <w:lvl w:ilvl="0">
      <w:lvlJc w:val="left"/>
      <w:lvlText w:val="(%1)"/>
      <w:numFmt w:val="lowerRoman"/>
      <w:start w:val="2"/>
    </w:lvl>
  </w:abstractNum>
  <w:abstractNum w:abstractNumId="171">
    <w:nsid w:val="2E8A6394"/>
    <w:multiLevelType w:val="hybridMultilevel"/>
    <w:lvl w:ilvl="0">
      <w:lvlJc w:val="left"/>
      <w:lvlText w:val="%1"/>
      <w:numFmt w:val="decimal"/>
      <w:start w:val="1"/>
    </w:lvl>
    <w:lvl w:ilvl="1">
      <w:lvlJc w:val="left"/>
      <w:lvlText w:val="(%2)"/>
      <w:numFmt w:val="lowerLetter"/>
      <w:start w:val="2"/>
    </w:lvl>
  </w:abstractNum>
  <w:abstractNum w:abstractNumId="172">
    <w:nsid w:val="24E60401"/>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2020-02-09T07:09:04Z</dcterms:created>
  <dcterms:modified xsi:type="dcterms:W3CDTF">2020-02-09T07:09:04Z</dcterms:modified>
</cp:coreProperties>
</file>