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3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vMerge w:val="restart"/>
          </w:tcPr>
          <w:p>
            <w:pPr>
              <w:jc w:val="center"/>
              <w:ind w:right="3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19050</wp:posOffset>
            </wp:positionV>
            <wp:extent cx="7327900" cy="485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48552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680"/>
            <w:col w:w="8660"/>
          </w:cols>
          <w:pgMar w:left="240" w:top="220" w:right="13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SINNOTT ROBERT V</w:t>
        </w:r>
      </w:hyperlink>
    </w:p>
    <w:p>
      <w:pPr>
        <w:spacing w:after="0" w:line="29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 OF THE STARS</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3RD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22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03/31/2015</w:t>
      </w:r>
    </w:p>
    <w:p>
      <w:pPr>
        <w:spacing w:after="0" w:line="20" w:lineRule="exact"/>
        <w:rPr>
          <w:sz w:val="24"/>
          <w:szCs w:val="24"/>
          <w:color w:val="auto"/>
        </w:rPr>
      </w:pPr>
      <w:r>
        <w:rPr>
          <w:sz w:val="24"/>
          <w:szCs w:val="24"/>
          <w:color w:val="auto"/>
        </w:rPr>
        <w:br w:type="column"/>
      </w:r>
    </w:p>
    <w:p>
      <w:pPr>
        <w:ind w:left="-3" w:right="840" w:firstLine="3"/>
        <w:spacing w:after="0" w:line="258"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5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4"/>
          <w:szCs w:val="24"/>
          <w:color w:val="auto"/>
        </w:rPr>
      </w:pPr>
    </w:p>
    <w:p>
      <w:pPr>
        <w:jc w:val="right"/>
        <w:ind w:right="52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5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9" w:lineRule="exact"/>
        <w:rPr>
          <w:sz w:val="24"/>
          <w:szCs w:val="24"/>
          <w:color w:val="auto"/>
        </w:rPr>
      </w:pPr>
    </w:p>
    <w:p>
      <w:pPr>
        <w:sectPr>
          <w:pgSz w:w="11900" w:h="16838" w:orient="portrait"/>
          <w:cols w:equalWidth="0" w:num="3">
            <w:col w:w="3340" w:space="720"/>
            <w:col w:w="3263" w:space="720"/>
            <w:col w:w="3477"/>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3440" w:type="dxa"/>
            <w:vAlign w:val="bottom"/>
            <w:gridSpan w:val="8"/>
            <w:vMerge w:val="restart"/>
          </w:tcPr>
          <w:p>
            <w:pPr>
              <w:jc w:val="right"/>
              <w:ind w:right="59"/>
              <w:spacing w:after="0"/>
              <w:rPr>
                <w:sz w:val="20"/>
                <w:szCs w:val="20"/>
                <w:color w:val="auto"/>
              </w:rPr>
            </w:pPr>
            <w:r>
              <w:rPr>
                <w:rFonts w:ascii="Arial" w:cs="Arial" w:eastAsia="Arial" w:hAnsi="Arial"/>
                <w:sz w:val="12"/>
                <w:szCs w:val="12"/>
                <w:color w:val="auto"/>
              </w:rPr>
              <w:t>4. If Amendment, Date of Original Filed (Month/Day/Year)</w:t>
            </w: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380" w:type="dxa"/>
            <w:vAlign w:val="bottom"/>
            <w:gridSpan w:val="5"/>
            <w:vMerge w:val="restart"/>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380" w:type="dxa"/>
            <w:vAlign w:val="bottom"/>
            <w:gridSpan w:val="5"/>
            <w:vMerge w:val="restart"/>
          </w:tcPr>
          <w:p>
            <w:pPr>
              <w:ind w:left="2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180"/>
              <w:spacing w:after="0"/>
              <w:rPr>
                <w:sz w:val="20"/>
                <w:szCs w:val="20"/>
                <w:color w:val="auto"/>
              </w:rPr>
            </w:pPr>
            <w:r>
              <w:rPr>
                <w:rFonts w:ascii="Arial" w:cs="Arial" w:eastAsia="Arial" w:hAnsi="Arial"/>
                <w:sz w:val="16"/>
                <w:szCs w:val="16"/>
                <w:color w:val="0000FF"/>
              </w:rPr>
              <w:t>90067</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380" w:type="dxa"/>
            <w:vAlign w:val="bottom"/>
            <w:gridSpan w:val="5"/>
            <w:vMerge w:val="restart"/>
          </w:tcPr>
          <w:p>
            <w:pPr>
              <w:ind w:left="5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3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78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2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6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200" w:type="dxa"/>
            <w:vAlign w:val="bottom"/>
          </w:tcPr>
          <w:p>
            <w:pPr>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1200" w:type="dxa"/>
            <w:vAlign w:val="bottom"/>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20" w:type="dxa"/>
            <w:vAlign w:val="bottom"/>
            <w:gridSpan w:val="4"/>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120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Pr>
          <w:p>
            <w:pPr>
              <w:spacing w:after="0"/>
              <w:rPr>
                <w:sz w:val="22"/>
                <w:szCs w:val="22"/>
                <w:color w:val="auto"/>
              </w:rPr>
            </w:pPr>
          </w:p>
        </w:tc>
        <w:tc>
          <w:tcPr>
            <w:tcW w:w="1720" w:type="dxa"/>
            <w:vAlign w:val="bottom"/>
            <w:gridSpan w:val="4"/>
          </w:tcPr>
          <w:p>
            <w:pPr>
              <w:ind w:left="820"/>
              <w:spacing w:after="0"/>
              <w:rPr>
                <w:sz w:val="20"/>
                <w:szCs w:val="20"/>
                <w:color w:val="auto"/>
              </w:rPr>
            </w:pPr>
            <w:r>
              <w:rPr>
                <w:rFonts w:ascii="Arial" w:cs="Arial" w:eastAsia="Arial" w:hAnsi="Arial"/>
                <w:sz w:val="16"/>
                <w:szCs w:val="16"/>
                <w:color w:val="0000FF"/>
              </w:rPr>
              <w:t>03/31/2015</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80"/>
              <w:spacing w:after="0" w:line="263"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(4)(6)</w:t>
            </w:r>
          </w:p>
        </w:tc>
        <w:tc>
          <w:tcPr>
            <w:tcW w:w="780" w:type="dxa"/>
            <w:vAlign w:val="bottom"/>
          </w:tcPr>
          <w:p>
            <w:pPr>
              <w:jc w:val="right"/>
              <w:spacing w:after="0"/>
              <w:rPr>
                <w:sz w:val="20"/>
                <w:szCs w:val="20"/>
                <w:color w:val="auto"/>
              </w:rPr>
            </w:pPr>
            <w:r>
              <w:rPr>
                <w:rFonts w:ascii="Arial" w:cs="Arial" w:eastAsia="Arial" w:hAnsi="Arial"/>
                <w:sz w:val="16"/>
                <w:szCs w:val="16"/>
                <w:color w:val="0000FF"/>
                <w:w w:val="94"/>
              </w:rPr>
              <w:t>819,735</w:t>
            </w:r>
            <w:r>
              <w:rPr>
                <w:rFonts w:ascii="Arial" w:cs="Arial" w:eastAsia="Arial" w:hAnsi="Arial"/>
                <w:sz w:val="20"/>
                <w:szCs w:val="20"/>
                <w:color w:val="008000"/>
                <w:w w:val="94"/>
                <w:vertAlign w:val="superscript"/>
              </w:rPr>
              <w:t>(6)</w:t>
            </w:r>
          </w:p>
        </w:tc>
        <w:tc>
          <w:tcPr>
            <w:tcW w:w="460" w:type="dxa"/>
            <w:vAlign w:val="bottom"/>
          </w:tcPr>
          <w:p>
            <w:pPr>
              <w:jc w:val="right"/>
              <w:ind w:right="39"/>
              <w:spacing w:after="0"/>
              <w:rPr>
                <w:sz w:val="20"/>
                <w:szCs w:val="20"/>
                <w:color w:val="auto"/>
              </w:rPr>
            </w:pPr>
            <w:r>
              <w:rPr>
                <w:rFonts w:ascii="Arial" w:cs="Arial" w:eastAsia="Arial" w:hAnsi="Arial"/>
                <w:sz w:val="16"/>
                <w:szCs w:val="16"/>
                <w:color w:val="0000FF"/>
              </w:rPr>
              <w:t>A</w:t>
            </w:r>
          </w:p>
        </w:tc>
        <w:tc>
          <w:tcPr>
            <w:tcW w:w="660" w:type="dxa"/>
            <w:vAlign w:val="bottom"/>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2"/>
                <w:szCs w:val="22"/>
                <w:color w:val="auto"/>
              </w:rPr>
            </w:pPr>
          </w:p>
        </w:tc>
        <w:tc>
          <w:tcPr>
            <w:tcW w:w="1220" w:type="dxa"/>
            <w:vAlign w:val="bottom"/>
            <w:gridSpan w:val="2"/>
          </w:tcPr>
          <w:p>
            <w:pPr>
              <w:jc w:val="center"/>
              <w:ind w:right="243"/>
              <w:spacing w:after="0"/>
              <w:rPr>
                <w:sz w:val="20"/>
                <w:szCs w:val="20"/>
                <w:color w:val="auto"/>
              </w:rPr>
            </w:pPr>
            <w:r>
              <w:rPr>
                <w:rFonts w:ascii="Arial" w:cs="Arial" w:eastAsia="Arial" w:hAnsi="Arial"/>
                <w:sz w:val="16"/>
                <w:szCs w:val="16"/>
                <w:color w:val="0000FF"/>
              </w:rPr>
              <w:t>819,735</w:t>
            </w:r>
            <w:r>
              <w:rPr>
                <w:rFonts w:ascii="Arial" w:cs="Arial" w:eastAsia="Arial" w:hAnsi="Arial"/>
                <w:sz w:val="20"/>
                <w:szCs w:val="20"/>
                <w:color w:val="008000"/>
                <w:vertAlign w:val="superscript"/>
              </w:rPr>
              <w:t>(6)</w:t>
            </w:r>
          </w:p>
        </w:tc>
        <w:tc>
          <w:tcPr>
            <w:tcW w:w="280" w:type="dxa"/>
            <w:vAlign w:val="bottom"/>
          </w:tcPr>
          <w:p>
            <w:pPr>
              <w:spacing w:after="0"/>
              <w:rPr>
                <w:sz w:val="22"/>
                <w:szCs w:val="22"/>
                <w:color w:val="auto"/>
              </w:rPr>
            </w:pPr>
          </w:p>
        </w:tc>
        <w:tc>
          <w:tcPr>
            <w:tcW w:w="680" w:type="dxa"/>
            <w:vAlign w:val="bottom"/>
          </w:tcPr>
          <w:p>
            <w:pPr>
              <w:ind w:left="60"/>
              <w:spacing w:after="0" w:line="262" w:lineRule="exact"/>
              <w:rPr>
                <w:sz w:val="20"/>
                <w:szCs w:val="20"/>
                <w:color w:val="auto"/>
              </w:rPr>
            </w:pPr>
            <w:r>
              <w:rPr>
                <w:rFonts w:ascii="Arial" w:cs="Arial" w:eastAsia="Arial" w:hAnsi="Arial"/>
                <w:sz w:val="30"/>
                <w:szCs w:val="30"/>
                <w:color w:val="0000FF"/>
                <w:vertAlign w:val="subscript"/>
              </w:rPr>
              <w:t>I</w:t>
            </w:r>
            <w:r>
              <w:rPr>
                <w:rFonts w:ascii="Arial" w:cs="Arial" w:eastAsia="Arial" w:hAnsi="Arial"/>
                <w:sz w:val="10"/>
                <w:szCs w:val="10"/>
                <w:color w:val="008000"/>
              </w:rPr>
              <w:t>(6)</w:t>
            </w:r>
          </w:p>
        </w:tc>
        <w:tc>
          <w:tcPr>
            <w:tcW w:w="1200" w:type="dxa"/>
            <w:vAlign w:val="bottom"/>
          </w:tcPr>
          <w:p>
            <w:pPr>
              <w:spacing w:after="0"/>
              <w:rPr>
                <w:sz w:val="20"/>
                <w:szCs w:val="20"/>
                <w:color w:val="auto"/>
              </w:rPr>
            </w:pPr>
            <w:r>
              <w:rPr>
                <w:rFonts w:ascii="Arial" w:cs="Arial" w:eastAsia="Arial" w:hAnsi="Arial"/>
                <w:sz w:val="16"/>
                <w:szCs w:val="16"/>
                <w:color w:val="0000FF"/>
                <w:w w:val="97"/>
              </w:rPr>
              <w:t>See Footnotes</w:t>
            </w:r>
            <w:r>
              <w:rPr>
                <w:rFonts w:ascii="Arial" w:cs="Arial" w:eastAsia="Arial" w:hAnsi="Arial"/>
                <w:sz w:val="20"/>
                <w:szCs w:val="20"/>
                <w:color w:val="008000"/>
                <w:w w:val="97"/>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jc w:val="right"/>
              <w:ind w:right="782"/>
              <w:spacing w:after="0"/>
              <w:rPr>
                <w:sz w:val="20"/>
                <w:szCs w:val="20"/>
                <w:color w:val="auto"/>
              </w:rPr>
            </w:pPr>
            <w:r>
              <w:rPr>
                <w:rFonts w:ascii="Arial" w:cs="Arial" w:eastAsia="Arial" w:hAnsi="Arial"/>
                <w:sz w:val="10"/>
                <w:szCs w:val="10"/>
                <w:color w:val="008000"/>
                <w:w w:val="92"/>
              </w:rPr>
              <w:t>(2)(3)(4)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820"/>
              <w:spacing w:after="0"/>
              <w:rPr>
                <w:sz w:val="20"/>
                <w:szCs w:val="20"/>
                <w:color w:val="auto"/>
              </w:rPr>
            </w:pPr>
            <w:r>
              <w:rPr>
                <w:rFonts w:ascii="Arial" w:cs="Arial" w:eastAsia="Arial" w:hAnsi="Arial"/>
                <w:sz w:val="16"/>
                <w:szCs w:val="16"/>
                <w:color w:val="0000FF"/>
              </w:rPr>
              <w:t>03/31/2015</w:t>
            </w: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(4)(6)</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4"/>
              </w:rPr>
              <w:t>819,735</w:t>
            </w:r>
            <w:r>
              <w:rPr>
                <w:rFonts w:ascii="Arial" w:cs="Arial" w:eastAsia="Arial" w:hAnsi="Arial"/>
                <w:sz w:val="20"/>
                <w:szCs w:val="20"/>
                <w:color w:val="008000"/>
                <w:w w:val="94"/>
                <w:vertAlign w:val="superscript"/>
              </w:rPr>
              <w:t>(6)</w:t>
            </w:r>
          </w:p>
        </w:tc>
        <w:tc>
          <w:tcPr>
            <w:tcW w:w="460" w:type="dxa"/>
            <w:vAlign w:val="bottom"/>
            <w:tcBorders>
              <w:bottom w:val="single" w:sz="8" w:color="2C2C2C"/>
            </w:tcBorders>
          </w:tcPr>
          <w:p>
            <w:pPr>
              <w:jc w:val="right"/>
              <w:ind w:right="39"/>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FF"/>
                <w:vertAlign w:val="subscript"/>
              </w:rPr>
              <w:t>0</w:t>
            </w:r>
            <w:r>
              <w:rPr>
                <w:rFonts w:ascii="Arial" w:cs="Arial" w:eastAsia="Arial" w:hAnsi="Arial"/>
                <w:sz w:val="10"/>
                <w:szCs w:val="10"/>
                <w:color w:val="008000"/>
              </w:rPr>
              <w:t>(6)</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line="29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(6)</w:t>
            </w:r>
          </w:p>
        </w:tc>
        <w:tc>
          <w:tcPr>
            <w:tcW w:w="1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w w:val="97"/>
              </w:rPr>
              <w:t>See Footnotes</w:t>
            </w:r>
            <w:r>
              <w:rPr>
                <w:rFonts w:ascii="Arial" w:cs="Arial" w:eastAsia="Arial" w:hAnsi="Arial"/>
                <w:sz w:val="20"/>
                <w:szCs w:val="20"/>
                <w:color w:val="008000"/>
                <w:w w:val="97"/>
                <w:vertAlign w:val="superscript"/>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4"/>
          </w:tcPr>
          <w:p>
            <w:pPr>
              <w:jc w:val="center"/>
              <w:ind w:left="25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2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40" w:type="dxa"/>
            <w:vAlign w:val="bottom"/>
            <w:gridSpan w:val="12"/>
          </w:tcPr>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4. Transaction</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0" w:type="dxa"/>
            <w:vAlign w:val="bottom"/>
          </w:tcPr>
          <w:p>
            <w:pPr>
              <w:ind w:left="1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 8)</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 of</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2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1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4"/>
              </w:rPr>
              <w:t>Securities</w:t>
            </w:r>
          </w:p>
        </w:tc>
        <w:tc>
          <w:tcPr>
            <w:tcW w:w="280" w:type="dxa"/>
            <w:vAlign w:val="bottom"/>
          </w:tcPr>
          <w:p>
            <w:pPr>
              <w:spacing w:after="0"/>
              <w:rPr>
                <w:sz w:val="10"/>
                <w:szCs w:val="10"/>
                <w:color w:val="auto"/>
              </w:rPr>
            </w:pP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2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Disposed</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 (Instr. 3</w:t>
            </w:r>
          </w:p>
        </w:tc>
        <w:tc>
          <w:tcPr>
            <w:tcW w:w="680" w:type="dxa"/>
            <w:vAlign w:val="bottom"/>
          </w:tcPr>
          <w:p>
            <w:pPr>
              <w:spacing w:after="0"/>
              <w:rPr>
                <w:sz w:val="10"/>
                <w:szCs w:val="10"/>
                <w:color w:val="auto"/>
              </w:rPr>
            </w:pP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3, 4 and 5)</w:t>
            </w: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40"/>
              <w:spacing w:after="0"/>
              <w:rPr>
                <w:sz w:val="20"/>
                <w:szCs w:val="20"/>
                <w:color w:val="auto"/>
              </w:rPr>
            </w:pPr>
            <w:r>
              <w:rPr>
                <w:rFonts w:ascii="Arial" w:cs="Arial" w:eastAsia="Arial" w:hAnsi="Arial"/>
                <w:sz w:val="11"/>
                <w:szCs w:val="11"/>
                <w:b w:val="1"/>
                <w:bCs w:val="1"/>
                <w:color w:val="auto"/>
              </w:rPr>
              <w:t>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vMerge w:val="restart"/>
          </w:tcPr>
          <w:p>
            <w:pPr>
              <w:jc w:val="right"/>
              <w:ind w:right="39"/>
              <w:spacing w:after="0"/>
              <w:rPr>
                <w:sz w:val="20"/>
                <w:szCs w:val="20"/>
                <w:color w:val="auto"/>
              </w:rPr>
            </w:pPr>
            <w:r>
              <w:rPr>
                <w:rFonts w:ascii="Arial" w:cs="Arial" w:eastAsia="Arial" w:hAnsi="Arial"/>
                <w:sz w:val="12"/>
                <w:szCs w:val="12"/>
                <w:color w:val="0000FF"/>
              </w:rPr>
              <w:t>Class</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vMerge w:val="restart"/>
          </w:tcPr>
          <w:p>
            <w:pPr>
              <w:ind w:left="820"/>
              <w:spacing w:after="0"/>
              <w:rPr>
                <w:sz w:val="20"/>
                <w:szCs w:val="20"/>
                <w:color w:val="auto"/>
              </w:rPr>
            </w:pPr>
            <w:r>
              <w:rPr>
                <w:rFonts w:ascii="Arial" w:cs="Arial" w:eastAsia="Arial" w:hAnsi="Arial"/>
                <w:sz w:val="10"/>
                <w:szCs w:val="10"/>
                <w:color w:val="008000"/>
                <w:w w:val="98"/>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3"/>
            <w:vMerge w:val="restart"/>
          </w:tcPr>
          <w:p>
            <w:pPr>
              <w:ind w:left="60"/>
              <w:spacing w:after="0" w:line="184"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(1)(2)(3)(5)(6)</w:t>
            </w: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0"/>
                <w:szCs w:val="10"/>
                <w:color w:val="008000"/>
              </w:rPr>
              <w:t>(1)(2)(3)</w:t>
            </w:r>
          </w:p>
        </w:tc>
        <w:tc>
          <w:tcPr>
            <w:tcW w:w="780" w:type="dxa"/>
            <w:vAlign w:val="bottom"/>
            <w:vMerge w:val="restart"/>
          </w:tcPr>
          <w:p>
            <w:pPr>
              <w:jc w:val="right"/>
              <w:ind w:right="118"/>
              <w:spacing w:after="0"/>
              <w:rPr>
                <w:sz w:val="20"/>
                <w:szCs w:val="20"/>
                <w:color w:val="auto"/>
              </w:rPr>
            </w:pPr>
            <w:r>
              <w:rPr>
                <w:rFonts w:ascii="Arial" w:cs="Arial" w:eastAsia="Arial" w:hAnsi="Arial"/>
                <w:sz w:val="10"/>
                <w:szCs w:val="10"/>
                <w:color w:val="008000"/>
              </w:rPr>
              <w:t>(1)(2)(3)</w:t>
            </w:r>
          </w:p>
        </w:tc>
        <w:tc>
          <w:tcPr>
            <w:tcW w:w="460" w:type="dxa"/>
            <w:vAlign w:val="bottom"/>
            <w:vMerge w:val="continue"/>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6"/>
                <w:szCs w:val="16"/>
                <w:color w:val="0000FF"/>
              </w:rPr>
              <w:t>819,735</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restart"/>
          </w:tcPr>
          <w:p>
            <w:pPr>
              <w:ind w:left="32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ind w:left="300"/>
              <w:spacing w:after="0" w:line="121" w:lineRule="exact"/>
              <w:rPr>
                <w:sz w:val="20"/>
                <w:szCs w:val="20"/>
                <w:color w:val="auto"/>
              </w:rPr>
            </w:pPr>
            <w:r>
              <w:rPr>
                <w:rFonts w:ascii="Arial" w:cs="Arial" w:eastAsia="Arial" w:hAnsi="Arial"/>
                <w:sz w:val="12"/>
                <w:szCs w:val="12"/>
                <w:color w:val="0000FF"/>
              </w:rPr>
              <w:t>03/31/2015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819,735</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restart"/>
          </w:tcPr>
          <w:p>
            <w:pPr>
              <w:jc w:val="right"/>
              <w:ind w:right="139"/>
              <w:spacing w:after="0" w:line="121" w:lineRule="exact"/>
              <w:rPr>
                <w:sz w:val="20"/>
                <w:szCs w:val="20"/>
                <w:color w:val="auto"/>
              </w:rPr>
            </w:pPr>
            <w:r>
              <w:rPr>
                <w:rFonts w:ascii="Arial" w:cs="Arial" w:eastAsia="Arial" w:hAnsi="Arial"/>
                <w:sz w:val="12"/>
                <w:szCs w:val="12"/>
                <w:color w:val="0000FF"/>
              </w:rPr>
              <w:t>A</w:t>
            </w: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22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ind w:left="80"/>
              <w:spacing w:after="0" w:line="121" w:lineRule="exact"/>
              <w:rPr>
                <w:sz w:val="20"/>
                <w:szCs w:val="20"/>
                <w:color w:val="auto"/>
              </w:rPr>
            </w:pPr>
            <w:r>
              <w:rPr>
                <w:rFonts w:ascii="Arial" w:cs="Arial" w:eastAsia="Arial" w:hAnsi="Arial"/>
                <w:sz w:val="12"/>
                <w:szCs w:val="12"/>
                <w:color w:val="0000FF"/>
              </w:rPr>
              <w:t>101,061,997</w:t>
            </w:r>
          </w:p>
        </w:tc>
        <w:tc>
          <w:tcPr>
            <w:tcW w:w="680" w:type="dxa"/>
            <w:vAlign w:val="bottom"/>
            <w:vMerge w:val="restart"/>
          </w:tcPr>
          <w:p>
            <w:pPr>
              <w:ind w:left="360"/>
              <w:spacing w:after="0" w:line="121" w:lineRule="exact"/>
              <w:rPr>
                <w:sz w:val="20"/>
                <w:szCs w:val="20"/>
                <w:color w:val="auto"/>
              </w:rPr>
            </w:pPr>
            <w:r>
              <w:rPr>
                <w:rFonts w:ascii="Arial" w:cs="Arial" w:eastAsia="Arial" w:hAnsi="Arial"/>
                <w:sz w:val="12"/>
                <w:szCs w:val="12"/>
                <w:color w:val="0000FF"/>
              </w:rPr>
              <w:t>I</w:t>
            </w: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00" w:type="dxa"/>
            <w:vAlign w:val="bottom"/>
          </w:tcPr>
          <w:p>
            <w:pPr>
              <w:ind w:left="120"/>
              <w:spacing w:after="0" w:line="63" w:lineRule="exact"/>
              <w:rPr>
                <w:sz w:val="20"/>
                <w:szCs w:val="20"/>
                <w:color w:val="auto"/>
              </w:rPr>
            </w:pPr>
            <w:r>
              <w:rPr>
                <w:rFonts w:ascii="Arial" w:cs="Arial" w:eastAsia="Arial" w:hAnsi="Arial"/>
                <w:sz w:val="7"/>
                <w:szCs w:val="7"/>
                <w:color w:val="0000FF"/>
              </w:rPr>
              <w:t>See Footnotes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0000FF"/>
                <w:w w:val="99"/>
              </w:rPr>
              <w:t>Shares</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jc w:val="right"/>
              <w:ind w:right="782"/>
              <w:spacing w:after="0" w:line="92" w:lineRule="exact"/>
              <w:rPr>
                <w:sz w:val="20"/>
                <w:szCs w:val="20"/>
                <w:color w:val="auto"/>
              </w:rPr>
            </w:pPr>
            <w:r>
              <w:rPr>
                <w:rFonts w:ascii="Arial" w:cs="Arial" w:eastAsia="Arial" w:hAnsi="Arial"/>
                <w:sz w:val="10"/>
                <w:szCs w:val="10"/>
                <w:color w:val="008000"/>
              </w:rPr>
              <w:t>(4)(5)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4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2" w:lineRule="exact"/>
        <w:rPr>
          <w:rFonts w:ascii="Arial" w:cs="Arial" w:eastAsia="Arial" w:hAnsi="Arial"/>
          <w:sz w:val="12"/>
          <w:szCs w:val="12"/>
          <w:color w:val="008000"/>
        </w:rPr>
      </w:pPr>
    </w:p>
    <w:p>
      <w:pPr>
        <w:ind w:left="40" w:right="160" w:hanging="3"/>
        <w:spacing w:after="0" w:line="247"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initial public offering of the Issuer, the limited partnership agreement of Plains AAP, L.P. ("AAP") was amended and restated to provide that each limited partner of AAP, including KAFU and KACALP, will have the right, at any time (without expiration) and from time to time, to immediately exchange (the "Exchange Right") its Class A Units in AAP (the "AAP Units"), together with a like number of Class B shares and units of the Issuer's general partner (the "GP Units"), for a like number of Class A shares of the Issuer (the "Class A shares").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 and KACALP, that are potentially exchangeable for an equivalent number of Class A shares.</w:t>
      </w:r>
    </w:p>
    <w:p>
      <w:pPr>
        <w:spacing w:after="0" w:line="26"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26, 2015, KAFU Holdings, L.P. transferred a total of 87,435,415 Class B shares, AAP Units, and GP Units, KAFU Holdings (QP), L.P., a sister entity under common control.</w:t>
      </w:r>
    </w:p>
    <w:p>
      <w:pPr>
        <w:spacing w:after="0" w:line="49"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9" w:lineRule="exact"/>
        <w:rPr>
          <w:rFonts w:ascii="Arial" w:cs="Arial" w:eastAsia="Arial" w:hAnsi="Arial"/>
          <w:sz w:val="12"/>
          <w:szCs w:val="12"/>
          <w:color w:val="008000"/>
        </w:rPr>
      </w:pPr>
    </w:p>
    <w:p>
      <w:pPr>
        <w:ind w:left="40" w:right="26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eh Class B shares and the GP Units, constitute the derivative security as described herein.</w:t>
      </w:r>
    </w:p>
    <w:p>
      <w:pPr>
        <w:spacing w:after="0" w:line="11"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in-kind distribution to redeeming limited partners of KAFU. Such redemptions were made in-kind with Class A shares.</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Robert V. Sinnott</w:t>
            </w:r>
          </w:p>
        </w:tc>
        <w:tc>
          <w:tcPr>
            <w:tcW w:w="11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04/02/2015</w:t>
            </w:r>
          </w:p>
        </w:tc>
      </w:tr>
      <w:tr>
        <w:trPr>
          <w:trHeight w:val="216"/>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428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2020-01-22T07:21:59Z</dcterms:created>
  <dcterms:modified xsi:type="dcterms:W3CDTF">2020-01-22T07:21:59Z</dcterms:modified>
</cp:coreProperties>
</file>