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273290" cy="9347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3290" cy="9347200"/>
                    </a:xfrm>
                    <a:prstGeom prst="rect">
                      <a:avLst/>
                    </a:prstGeom>
                    <a:noFill/>
                  </pic:spPr>
                </pic:pic>
              </a:graphicData>
            </a:graphic>
          </wp:anchor>
        </w:drawing>
      </w:r>
    </w:p>
    <w:p>
      <w:pPr>
        <w:spacing w:after="0" w:line="103" w:lineRule="exact"/>
        <w:rPr>
          <w:sz w:val="24"/>
          <w:szCs w:val="24"/>
          <w:color w:val="auto"/>
        </w:rPr>
      </w:pPr>
    </w:p>
    <w:p>
      <w:pPr>
        <w:sectPr>
          <w:pgSz w:w="11900" w:h="16851"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KAFU Holdings (QP), L.P.</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AVENUE OF THE STARS, SUITE 300</w:t>
      </w:r>
    </w:p>
    <w:p>
      <w:pPr>
        <w:spacing w:after="0" w:line="36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LOS ANGELES CA</w:t>
            </w:r>
          </w:p>
        </w:tc>
        <w:tc>
          <w:tcPr>
            <w:tcW w:w="1660" w:type="dxa"/>
            <w:vAlign w:val="bottom"/>
          </w:tcPr>
          <w:p>
            <w:pPr>
              <w:ind w:left="42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6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900" w:type="dxa"/>
            <w:vAlign w:val="bottom"/>
            <w:gridSpan w:val="2"/>
          </w:tcPr>
          <w:p>
            <w:pPr>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PLAINS ALL AMERICAN PIPELINE LP </w:t>
              </w:r>
            </w:hyperlink>
            <w:r>
              <w:rPr>
                <w:rFonts w:ascii="Arial" w:cs="Arial" w:eastAsia="Arial" w:hAnsi="Arial"/>
                <w:sz w:val="21"/>
                <w:szCs w:val="21"/>
                <w:color w:val="000000"/>
              </w:rPr>
              <w:t>[</w:t>
            </w:r>
          </w:p>
        </w:tc>
        <w:tc>
          <w:tcPr>
            <w:tcW w:w="17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60" w:type="dxa"/>
            <w:vAlign w:val="bottom"/>
            <w:vMerge w:val="restart"/>
          </w:tcPr>
          <w:p>
            <w:pPr>
              <w:spacing w:after="0"/>
              <w:rPr>
                <w:sz w:val="11"/>
                <w:szCs w:val="11"/>
                <w:color w:val="auto"/>
              </w:rPr>
            </w:pPr>
          </w:p>
        </w:tc>
        <w:tc>
          <w:tcPr>
            <w:tcW w:w="370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1"/>
                <w:szCs w:val="21"/>
                <w:color w:val="000000"/>
              </w:rPr>
              <w:t>]</w:t>
            </w:r>
          </w:p>
        </w:tc>
        <w:tc>
          <w:tcPr>
            <w:tcW w:w="200" w:type="dxa"/>
            <w:vAlign w:val="bottom"/>
            <w:vMerge w:val="restart"/>
          </w:tcPr>
          <w:p>
            <w:pPr>
              <w:spacing w:after="0"/>
              <w:rPr>
                <w:sz w:val="11"/>
                <w:szCs w:val="11"/>
                <w:color w:val="auto"/>
              </w:rPr>
            </w:pPr>
          </w:p>
        </w:tc>
        <w:tc>
          <w:tcPr>
            <w:tcW w:w="1760" w:type="dxa"/>
            <w:vAlign w:val="bottom"/>
          </w:tcPr>
          <w:p>
            <w:pPr>
              <w:ind w:left="620"/>
              <w:spacing w:after="0" w:line="134" w:lineRule="exact"/>
              <w:rPr>
                <w:sz w:val="20"/>
                <w:szCs w:val="20"/>
                <w:color w:val="auto"/>
              </w:rPr>
            </w:pPr>
            <w:r>
              <w:rPr>
                <w:rFonts w:ascii="Arial" w:cs="Arial" w:eastAsia="Arial" w:hAnsi="Arial"/>
                <w:sz w:val="13"/>
                <w:szCs w:val="13"/>
                <w:color w:val="auto"/>
              </w:rPr>
              <w:t>Director</w:t>
            </w:r>
          </w:p>
        </w:tc>
        <w:tc>
          <w:tcPr>
            <w:tcW w:w="460" w:type="dxa"/>
            <w:vAlign w:val="bottom"/>
          </w:tcPr>
          <w:p>
            <w:pPr>
              <w:spacing w:after="0"/>
              <w:rPr>
                <w:sz w:val="11"/>
                <w:szCs w:val="11"/>
                <w:color w:val="auto"/>
              </w:rPr>
            </w:pPr>
          </w:p>
        </w:tc>
        <w:tc>
          <w:tcPr>
            <w:tcW w:w="1220" w:type="dxa"/>
            <w:vAlign w:val="bottom"/>
          </w:tcPr>
          <w:p>
            <w:pPr>
              <w:ind w:left="6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4"/>
        </w:trPr>
        <w:tc>
          <w:tcPr>
            <w:tcW w:w="60" w:type="dxa"/>
            <w:vAlign w:val="bottom"/>
            <w:vMerge w:val="continue"/>
          </w:tcPr>
          <w:p>
            <w:pPr>
              <w:spacing w:after="0"/>
              <w:rPr>
                <w:sz w:val="12"/>
                <w:szCs w:val="12"/>
                <w:color w:val="auto"/>
              </w:rPr>
            </w:pPr>
          </w:p>
        </w:tc>
        <w:tc>
          <w:tcPr>
            <w:tcW w:w="37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760" w:type="dxa"/>
            <w:vAlign w:val="bottom"/>
            <w:vMerge w:val="restart"/>
          </w:tcPr>
          <w:p>
            <w:pPr>
              <w:ind w:left="620"/>
              <w:spacing w:after="0"/>
              <w:rPr>
                <w:sz w:val="20"/>
                <w:szCs w:val="20"/>
                <w:color w:val="auto"/>
              </w:rPr>
            </w:pPr>
            <w:r>
              <w:rPr>
                <w:rFonts w:ascii="Arial" w:cs="Arial" w:eastAsia="Arial" w:hAnsi="Arial"/>
                <w:sz w:val="13"/>
                <w:szCs w:val="13"/>
                <w:color w:val="auto"/>
              </w:rPr>
              <w:t>Officer (give title</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60" w:type="dxa"/>
            <w:vAlign w:val="bottom"/>
            <w:tcBorders>
              <w:bottom w:val="single" w:sz="8" w:color="2C2C2C"/>
            </w:tcBorders>
          </w:tcPr>
          <w:p>
            <w:pPr>
              <w:spacing w:after="0"/>
              <w:rPr>
                <w:sz w:val="9"/>
                <w:szCs w:val="9"/>
                <w:color w:val="auto"/>
              </w:rPr>
            </w:pPr>
          </w:p>
        </w:tc>
        <w:tc>
          <w:tcPr>
            <w:tcW w:w="3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760" w:type="dxa"/>
            <w:vAlign w:val="bottom"/>
          </w:tcPr>
          <w:p>
            <w:pPr>
              <w:ind w:left="620"/>
              <w:spacing w:after="0" w:line="101" w:lineRule="exact"/>
              <w:rPr>
                <w:sz w:val="20"/>
                <w:szCs w:val="20"/>
                <w:color w:val="auto"/>
              </w:rPr>
            </w:pPr>
            <w:r>
              <w:rPr>
                <w:rFonts w:ascii="Arial" w:cs="Arial" w:eastAsia="Arial" w:hAnsi="Arial"/>
                <w:sz w:val="11"/>
                <w:szCs w:val="11"/>
                <w:color w:val="auto"/>
              </w:rPr>
              <w:t>below)</w:t>
            </w:r>
          </w:p>
        </w:tc>
        <w:tc>
          <w:tcPr>
            <w:tcW w:w="460" w:type="dxa"/>
            <w:vAlign w:val="bottom"/>
            <w:vMerge w:val="continue"/>
          </w:tcPr>
          <w:p>
            <w:pPr>
              <w:spacing w:after="0"/>
              <w:rPr>
                <w:sz w:val="9"/>
                <w:szCs w:val="9"/>
                <w:color w:val="auto"/>
              </w:rPr>
            </w:pPr>
          </w:p>
        </w:tc>
        <w:tc>
          <w:tcPr>
            <w:tcW w:w="1220" w:type="dxa"/>
            <w:vAlign w:val="bottom"/>
          </w:tcPr>
          <w:p>
            <w:pPr>
              <w:ind w:left="6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06"/>
        </w:trPr>
        <w:tc>
          <w:tcPr>
            <w:tcW w:w="396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2220" w:type="dxa"/>
            <w:vAlign w:val="bottom"/>
            <w:gridSpan w:val="2"/>
          </w:tcPr>
          <w:p>
            <w:pPr>
              <w:ind w:left="1280"/>
              <w:spacing w:after="0"/>
              <w:rPr>
                <w:sz w:val="20"/>
                <w:szCs w:val="20"/>
                <w:color w:val="auto"/>
              </w:rPr>
            </w:pPr>
            <w:r>
              <w:rPr>
                <w:rFonts w:ascii="Arial" w:cs="Arial" w:eastAsia="Arial" w:hAnsi="Arial"/>
                <w:sz w:val="17"/>
                <w:szCs w:val="17"/>
                <w:color w:val="0000FF"/>
                <w:w w:val="89"/>
              </w:rPr>
              <w:t>See Remarks</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760" w:type="dxa"/>
            <w:vAlign w:val="bottom"/>
            <w:gridSpan w:val="2"/>
          </w:tcPr>
          <w:p>
            <w:pPr>
              <w:ind w:left="60"/>
              <w:spacing w:after="0"/>
              <w:rPr>
                <w:sz w:val="20"/>
                <w:szCs w:val="20"/>
                <w:color w:val="auto"/>
              </w:rPr>
            </w:pPr>
            <w:r>
              <w:rPr>
                <w:rFonts w:ascii="Arial" w:cs="Arial" w:eastAsia="Arial" w:hAnsi="Arial"/>
                <w:sz w:val="17"/>
                <w:szCs w:val="17"/>
                <w:color w:val="0000FF"/>
              </w:rPr>
              <w:t>06/30/2017</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3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44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96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spacing w:after="0" w:line="38" w:lineRule="exact"/>
        <w:rPr>
          <w:sz w:val="24"/>
          <w:szCs w:val="24"/>
          <w:color w:val="auto"/>
        </w:rPr>
      </w:pPr>
    </w:p>
    <w:tbl>
      <w:tblPr>
        <w:tblLayout w:type="fixed"/>
        <w:tblInd w:w="424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44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40" w:type="dxa"/>
            <w:vAlign w:val="bottom"/>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244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2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9" w:lineRule="exact"/>
        <w:rPr>
          <w:sz w:val="24"/>
          <w:szCs w:val="24"/>
          <w:color w:val="auto"/>
        </w:rPr>
      </w:pPr>
    </w:p>
    <w:p>
      <w:pPr>
        <w:sectPr>
          <w:pgSz w:w="11900" w:h="16851" w:orient="portrait"/>
          <w:cols w:equalWidth="0" w:num="2">
            <w:col w:w="3900" w:space="10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460" w:type="dxa"/>
            <w:vAlign w:val="bottom"/>
          </w:tcPr>
          <w:p>
            <w:pPr>
              <w:spacing w:after="0"/>
              <w:rPr>
                <w:sz w:val="11"/>
                <w:szCs w:val="11"/>
                <w:color w:val="auto"/>
              </w:rPr>
            </w:pPr>
          </w:p>
        </w:tc>
        <w:tc>
          <w:tcPr>
            <w:tcW w:w="174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12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4"/>
        </w:trPr>
        <w:tc>
          <w:tcPr>
            <w:tcW w:w="2460" w:type="dxa"/>
            <w:vAlign w:val="bottom"/>
          </w:tcPr>
          <w:p>
            <w:pPr>
              <w:spacing w:after="0"/>
              <w:rPr>
                <w:sz w:val="11"/>
                <w:szCs w:val="11"/>
                <w:color w:val="auto"/>
              </w:rPr>
            </w:pPr>
          </w:p>
        </w:tc>
        <w:tc>
          <w:tcPr>
            <w:tcW w:w="1740" w:type="dxa"/>
            <w:vAlign w:val="bottom"/>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12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4"/>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12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6"/>
        </w:trPr>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4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Units</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06/30/2017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jc w:val="right"/>
              <w:ind w:right="270"/>
              <w:spacing w:after="0"/>
              <w:rPr>
                <w:sz w:val="20"/>
                <w:szCs w:val="20"/>
                <w:color w:val="auto"/>
              </w:rPr>
            </w:pPr>
            <w:r>
              <w:rPr>
                <w:rFonts w:ascii="Arial" w:cs="Arial" w:eastAsia="Arial" w:hAnsi="Arial"/>
                <w:sz w:val="17"/>
                <w:szCs w:val="17"/>
                <w:color w:val="0000FF"/>
              </w:rPr>
              <w:t>959</w:t>
            </w: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20" w:type="dxa"/>
            <w:vAlign w:val="bottom"/>
            <w:vMerge w:val="restart"/>
          </w:tcPr>
          <w:p>
            <w:pPr>
              <w:jc w:val="right"/>
              <w:ind w:right="132"/>
              <w:spacing w:after="0"/>
              <w:rPr>
                <w:sz w:val="20"/>
                <w:szCs w:val="20"/>
                <w:color w:val="auto"/>
              </w:rPr>
            </w:pPr>
            <w:r>
              <w:rPr>
                <w:rFonts w:ascii="Arial" w:cs="Arial" w:eastAsia="Arial" w:hAnsi="Arial"/>
                <w:sz w:val="17"/>
                <w:szCs w:val="17"/>
                <w:color w:val="0000FF"/>
              </w:rPr>
              <w:t>959</w:t>
            </w:r>
          </w:p>
        </w:tc>
        <w:tc>
          <w:tcPr>
            <w:tcW w:w="960" w:type="dxa"/>
            <w:vAlign w:val="bottom"/>
            <w:vMerge w:val="restart"/>
          </w:tcPr>
          <w:p>
            <w:pPr>
              <w:ind w:left="700"/>
              <w:spacing w:after="0"/>
              <w:rPr>
                <w:sz w:val="20"/>
                <w:szCs w:val="20"/>
                <w:color w:val="auto"/>
              </w:rPr>
            </w:pPr>
            <w:r>
              <w:rPr>
                <w:rFonts w:ascii="Arial" w:cs="Arial" w:eastAsia="Arial" w:hAnsi="Arial"/>
                <w:sz w:val="17"/>
                <w:szCs w:val="17"/>
                <w:color w:val="0000FF"/>
              </w:rPr>
              <w:t>I</w:t>
            </w:r>
          </w:p>
        </w:tc>
        <w:tc>
          <w:tcPr>
            <w:tcW w:w="1580" w:type="dxa"/>
            <w:vAlign w:val="bottom"/>
            <w:gridSpan w:val="4"/>
          </w:tcPr>
          <w:p>
            <w:pPr>
              <w:ind w:left="320"/>
              <w:spacing w:after="0"/>
              <w:rPr>
                <w:sz w:val="20"/>
                <w:szCs w:val="20"/>
                <w:color w:val="auto"/>
              </w:rPr>
            </w:pPr>
            <w:r>
              <w:rPr>
                <w:rFonts w:ascii="Arial" w:cs="Arial" w:eastAsia="Arial" w:hAnsi="Arial"/>
                <w:sz w:val="17"/>
                <w:szCs w:val="17"/>
                <w:color w:val="0000FF"/>
              </w:rPr>
              <w:t>See footnotes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(2)(3)</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Units</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8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06/30/2017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13"/>
                <w:szCs w:val="13"/>
                <w:color w:val="0000FF"/>
              </w:rPr>
              <w:t>J</w:t>
            </w:r>
          </w:p>
        </w:tc>
        <w:tc>
          <w:tcPr>
            <w:tcW w:w="740" w:type="dxa"/>
            <w:vAlign w:val="bottom"/>
            <w:vMerge w:val="restart"/>
          </w:tcPr>
          <w:p>
            <w:pPr>
              <w:jc w:val="right"/>
              <w:ind w:right="270"/>
              <w:spacing w:after="0"/>
              <w:rPr>
                <w:sz w:val="20"/>
                <w:szCs w:val="20"/>
                <w:color w:val="auto"/>
              </w:rPr>
            </w:pPr>
            <w:r>
              <w:rPr>
                <w:rFonts w:ascii="Arial" w:cs="Arial" w:eastAsia="Arial" w:hAnsi="Arial"/>
                <w:sz w:val="17"/>
                <w:szCs w:val="17"/>
                <w:color w:val="0000FF"/>
              </w:rPr>
              <w:t>959</w:t>
            </w: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600" w:type="dxa"/>
            <w:vAlign w:val="bottom"/>
            <w:vMerge w:val="restart"/>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20" w:type="dxa"/>
            <w:vAlign w:val="bottom"/>
            <w:vMerge w:val="restart"/>
          </w:tcPr>
          <w:p>
            <w:pPr>
              <w:jc w:val="right"/>
              <w:ind w:right="212"/>
              <w:spacing w:after="0"/>
              <w:rPr>
                <w:sz w:val="20"/>
                <w:szCs w:val="20"/>
                <w:color w:val="auto"/>
              </w:rPr>
            </w:pPr>
            <w:r>
              <w:rPr>
                <w:rFonts w:ascii="Arial" w:cs="Arial" w:eastAsia="Arial" w:hAnsi="Arial"/>
                <w:sz w:val="17"/>
                <w:szCs w:val="17"/>
                <w:color w:val="0000FF"/>
              </w:rPr>
              <w:t>0</w:t>
            </w:r>
          </w:p>
        </w:tc>
        <w:tc>
          <w:tcPr>
            <w:tcW w:w="960" w:type="dxa"/>
            <w:vAlign w:val="bottom"/>
            <w:vMerge w:val="restart"/>
          </w:tcPr>
          <w:p>
            <w:pPr>
              <w:ind w:left="700"/>
              <w:spacing w:after="0"/>
              <w:rPr>
                <w:sz w:val="20"/>
                <w:szCs w:val="20"/>
                <w:color w:val="auto"/>
              </w:rPr>
            </w:pPr>
            <w:r>
              <w:rPr>
                <w:rFonts w:ascii="Arial" w:cs="Arial" w:eastAsia="Arial" w:hAnsi="Arial"/>
                <w:sz w:val="17"/>
                <w:szCs w:val="17"/>
                <w:color w:val="0000FF"/>
              </w:rPr>
              <w:t>I</w:t>
            </w:r>
          </w:p>
        </w:tc>
        <w:tc>
          <w:tcPr>
            <w:tcW w:w="760" w:type="dxa"/>
            <w:vAlign w:val="bottom"/>
          </w:tcPr>
          <w:p>
            <w:pPr>
              <w:ind w:left="320"/>
              <w:spacing w:after="0"/>
              <w:rPr>
                <w:sz w:val="20"/>
                <w:szCs w:val="20"/>
                <w:color w:val="auto"/>
              </w:rPr>
            </w:pPr>
            <w:r>
              <w:rPr>
                <w:rFonts w:ascii="Arial" w:cs="Arial" w:eastAsia="Arial" w:hAnsi="Arial"/>
                <w:sz w:val="17"/>
                <w:szCs w:val="17"/>
                <w:color w:val="0000FF"/>
              </w:rPr>
              <w:t>See</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580" w:type="dxa"/>
            <w:vAlign w:val="bottom"/>
            <w:gridSpan w:val="4"/>
            <w:vMerge w:val="restart"/>
          </w:tcPr>
          <w:p>
            <w:pPr>
              <w:ind w:left="320"/>
              <w:spacing w:after="0" w:line="276" w:lineRule="exact"/>
              <w:rPr>
                <w:sz w:val="20"/>
                <w:szCs w:val="20"/>
                <w:color w:val="auto"/>
              </w:rPr>
            </w:pPr>
            <w:r>
              <w:rPr>
                <w:rFonts w:ascii="Arial" w:cs="Arial" w:eastAsia="Arial" w:hAnsi="Arial"/>
                <w:sz w:val="32"/>
                <w:szCs w:val="32"/>
                <w:color w:val="0000FF"/>
                <w:w w:val="91"/>
                <w:vertAlign w:val="subscript"/>
              </w:rPr>
              <w:t>Footnotes</w:t>
            </w:r>
            <w:r>
              <w:rPr>
                <w:rFonts w:ascii="Arial" w:cs="Arial" w:eastAsia="Arial" w:hAnsi="Arial"/>
                <w:sz w:val="11"/>
                <w:szCs w:val="11"/>
                <w:color w:val="008000"/>
                <w:w w:val="91"/>
              </w:rPr>
              <w:t>(1)(2)(3)</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15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20" w:type="dxa"/>
            <w:vAlign w:val="bottom"/>
            <w:gridSpan w:val="11"/>
          </w:tcPr>
          <w:p>
            <w:pPr>
              <w:ind w:left="1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80" w:type="dxa"/>
            <w:vAlign w:val="bottom"/>
            <w:gridSpan w:val="9"/>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3"/>
          </w:tcPr>
          <w:p>
            <w:pPr>
              <w:ind w:left="1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Conversion</w:t>
            </w:r>
          </w:p>
        </w:tc>
        <w:tc>
          <w:tcPr>
            <w:tcW w:w="120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8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or Exercise</w:t>
            </w:r>
          </w:p>
        </w:tc>
        <w:tc>
          <w:tcPr>
            <w:tcW w:w="120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3"/>
                <w:szCs w:val="13"/>
                <w:color w:val="0000FF"/>
                <w:w w:val="95"/>
              </w:rPr>
              <w:t>Shares/Class</w:t>
            </w:r>
          </w:p>
        </w:tc>
        <w:tc>
          <w:tcPr>
            <w:tcW w:w="7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200" w:type="dxa"/>
            <w:vAlign w:val="bottom"/>
            <w:gridSpan w:val="3"/>
            <w:vMerge w:val="restart"/>
          </w:tcPr>
          <w:p>
            <w:pPr>
              <w:ind w:left="340"/>
              <w:spacing w:after="0"/>
              <w:rPr>
                <w:sz w:val="20"/>
                <w:szCs w:val="20"/>
                <w:color w:val="auto"/>
              </w:rPr>
            </w:pPr>
            <w:r>
              <w:rPr>
                <w:rFonts w:ascii="Arial" w:cs="Arial" w:eastAsia="Arial" w:hAnsi="Arial"/>
                <w:sz w:val="13"/>
                <w:szCs w:val="13"/>
                <w:color w:val="0000FF"/>
              </w:rPr>
              <w:t>06/30/2017</w:t>
            </w:r>
          </w:p>
        </w:tc>
        <w:tc>
          <w:tcPr>
            <w:tcW w:w="1120" w:type="dxa"/>
            <w:vAlign w:val="bottom"/>
          </w:tcPr>
          <w:p>
            <w:pPr>
              <w:spacing w:after="0"/>
              <w:rPr>
                <w:sz w:val="11"/>
                <w:szCs w:val="11"/>
                <w:color w:val="auto"/>
              </w:rPr>
            </w:pPr>
          </w:p>
        </w:tc>
        <w:tc>
          <w:tcPr>
            <w:tcW w:w="820" w:type="dxa"/>
            <w:vAlign w:val="bottom"/>
            <w:gridSpan w:val="3"/>
            <w:vMerge w:val="restart"/>
          </w:tcPr>
          <w:p>
            <w:pPr>
              <w:ind w:left="160"/>
              <w:spacing w:after="0"/>
              <w:rPr>
                <w:sz w:val="20"/>
                <w:szCs w:val="20"/>
                <w:color w:val="auto"/>
              </w:rPr>
            </w:pPr>
            <w:r>
              <w:rPr>
                <w:rFonts w:ascii="Arial" w:cs="Arial" w:eastAsia="Arial" w:hAnsi="Arial"/>
                <w:sz w:val="13"/>
                <w:szCs w:val="13"/>
                <w:color w:val="0000FF"/>
              </w:rPr>
              <w:t>M</w:t>
            </w:r>
          </w:p>
        </w:tc>
        <w:tc>
          <w:tcPr>
            <w:tcW w:w="740" w:type="dxa"/>
            <w:vAlign w:val="bottom"/>
            <w:vMerge w:val="restart"/>
          </w:tcPr>
          <w:p>
            <w:pPr>
              <w:ind w:left="100"/>
              <w:spacing w:after="0"/>
              <w:rPr>
                <w:sz w:val="20"/>
                <w:szCs w:val="20"/>
                <w:color w:val="auto"/>
              </w:rPr>
            </w:pPr>
            <w:r>
              <w:rPr>
                <w:rFonts w:ascii="Arial" w:cs="Arial" w:eastAsia="Arial" w:hAnsi="Arial"/>
                <w:sz w:val="13"/>
                <w:szCs w:val="13"/>
                <w:color w:val="0000FF"/>
              </w:rPr>
              <w:t>959</w:t>
            </w:r>
          </w:p>
        </w:tc>
        <w:tc>
          <w:tcPr>
            <w:tcW w:w="82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740" w:type="dxa"/>
            <w:vAlign w:val="bottom"/>
            <w:vMerge w:val="restart"/>
          </w:tcPr>
          <w:p>
            <w:pPr>
              <w:jc w:val="right"/>
              <w:ind w:right="170"/>
              <w:spacing w:after="0"/>
              <w:rPr>
                <w:sz w:val="20"/>
                <w:szCs w:val="20"/>
                <w:color w:val="auto"/>
              </w:rPr>
            </w:pPr>
            <w:r>
              <w:rPr>
                <w:rFonts w:ascii="Arial" w:cs="Arial" w:eastAsia="Arial" w:hAnsi="Arial"/>
                <w:sz w:val="11"/>
                <w:szCs w:val="11"/>
                <w:color w:val="008000"/>
              </w:rPr>
              <w:t>(1)(2)</w:t>
            </w:r>
          </w:p>
        </w:tc>
        <w:tc>
          <w:tcPr>
            <w:tcW w:w="640" w:type="dxa"/>
            <w:vAlign w:val="bottom"/>
          </w:tcPr>
          <w:p>
            <w:pPr>
              <w:ind w:left="80"/>
              <w:spacing w:after="0" w:line="131" w:lineRule="exact"/>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180"/>
              <w:spacing w:after="0"/>
              <w:rPr>
                <w:sz w:val="20"/>
                <w:szCs w:val="20"/>
                <w:color w:val="auto"/>
              </w:rPr>
            </w:pPr>
            <w:r>
              <w:rPr>
                <w:rFonts w:ascii="Arial" w:cs="Arial" w:eastAsia="Arial" w:hAnsi="Arial"/>
                <w:sz w:val="17"/>
                <w:szCs w:val="17"/>
                <w:color w:val="0000FF"/>
              </w:rPr>
              <w:t>959</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ind w:left="120"/>
              <w:spacing w:after="0"/>
              <w:rPr>
                <w:sz w:val="20"/>
                <w:szCs w:val="20"/>
                <w:color w:val="auto"/>
              </w:rPr>
            </w:pPr>
            <w:r>
              <w:rPr>
                <w:rFonts w:ascii="Arial" w:cs="Arial" w:eastAsia="Arial" w:hAnsi="Arial"/>
                <w:sz w:val="13"/>
                <w:szCs w:val="13"/>
                <w:color w:val="0000FF"/>
                <w:w w:val="98"/>
              </w:rPr>
              <w:t>22,261,457</w:t>
            </w:r>
            <w:r>
              <w:rPr>
                <w:rFonts w:ascii="Arial" w:cs="Arial" w:eastAsia="Arial" w:hAnsi="Arial"/>
                <w:sz w:val="22"/>
                <w:szCs w:val="22"/>
                <w:color w:val="008000"/>
                <w:w w:val="98"/>
                <w:vertAlign w:val="superscript"/>
              </w:rPr>
              <w:t>(4)</w:t>
            </w:r>
          </w:p>
        </w:tc>
        <w:tc>
          <w:tcPr>
            <w:tcW w:w="76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A Units/GP</w:t>
            </w:r>
          </w:p>
        </w:tc>
        <w:tc>
          <w:tcPr>
            <w:tcW w:w="740" w:type="dxa"/>
            <w:vAlign w:val="bottom"/>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Units</w:t>
            </w: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20" w:type="dxa"/>
            <w:vAlign w:val="bottom"/>
            <w:gridSpan w:val="3"/>
          </w:tcPr>
          <w:p>
            <w:pPr>
              <w:ind w:left="80"/>
              <w:spacing w:after="0" w:line="163"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gridSpan w:val="6"/>
          </w:tcPr>
          <w:p>
            <w:pPr>
              <w:ind w:left="60"/>
              <w:spacing w:after="0" w:line="246"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5"/>
          </w:tcPr>
          <w:p>
            <w:pPr>
              <w:spacing w:after="0" w:line="222" w:lineRule="exact"/>
              <w:rPr>
                <w:rFonts w:ascii="Arial" w:cs="Arial" w:eastAsia="Arial" w:hAnsi="Arial"/>
                <w:sz w:val="21"/>
                <w:szCs w:val="21"/>
                <w:color w:val="0000EE"/>
              </w:rPr>
            </w:pPr>
            <w:hyperlink r:id="rId12">
              <w:r>
                <w:rPr>
                  <w:rFonts w:ascii="Arial" w:cs="Arial" w:eastAsia="Arial" w:hAnsi="Arial"/>
                  <w:sz w:val="21"/>
                  <w:szCs w:val="21"/>
                  <w:color w:val="0000EE"/>
                </w:rPr>
                <w:t>KAFU Holdings (QP), L.P.</w:t>
              </w:r>
            </w:hyperlink>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20" w:type="dxa"/>
            <w:vAlign w:val="bottom"/>
          </w:tcPr>
          <w:p>
            <w:pPr>
              <w:ind w:left="260"/>
              <w:spacing w:after="0"/>
              <w:rPr>
                <w:sz w:val="20"/>
                <w:szCs w:val="20"/>
                <w:color w:val="auto"/>
              </w:rPr>
            </w:pPr>
            <w:r>
              <w:rPr>
                <w:rFonts w:ascii="Arial" w:cs="Arial" w:eastAsia="Arial" w:hAnsi="Arial"/>
                <w:sz w:val="13"/>
                <w:szCs w:val="13"/>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6"/>
          </w:tcPr>
          <w:p>
            <w:pPr>
              <w:spacing w:after="0"/>
              <w:rPr>
                <w:sz w:val="20"/>
                <w:szCs w:val="20"/>
                <w:color w:val="auto"/>
              </w:rPr>
            </w:pPr>
            <w:r>
              <w:rPr>
                <w:rFonts w:ascii="Arial" w:cs="Arial" w:eastAsia="Arial" w:hAnsi="Arial"/>
                <w:sz w:val="17"/>
                <w:szCs w:val="17"/>
                <w:color w:val="0000FF"/>
              </w:rPr>
              <w:t>1800 AVENUE OF THE STARS, SUITE 300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00" w:type="dxa"/>
            <w:vAlign w:val="bottom"/>
            <w:gridSpan w:val="3"/>
          </w:tcPr>
          <w:p>
            <w:pPr>
              <w:spacing w:after="0"/>
              <w:rPr>
                <w:sz w:val="20"/>
                <w:szCs w:val="20"/>
                <w:color w:val="auto"/>
              </w:rPr>
            </w:pPr>
            <w:r>
              <w:rPr>
                <w:rFonts w:ascii="Arial" w:cs="Arial" w:eastAsia="Arial" w:hAnsi="Arial"/>
                <w:sz w:val="17"/>
                <w:szCs w:val="17"/>
                <w:color w:val="0000FF"/>
              </w:rPr>
              <w:t>CA</w:t>
            </w:r>
          </w:p>
        </w:tc>
        <w:tc>
          <w:tcPr>
            <w:tcW w:w="1120" w:type="dxa"/>
            <w:vAlign w:val="bottom"/>
          </w:tcPr>
          <w:p>
            <w:pPr>
              <w:ind w:left="260"/>
              <w:spacing w:after="0"/>
              <w:rPr>
                <w:sz w:val="20"/>
                <w:szCs w:val="20"/>
                <w:color w:val="auto"/>
              </w:rPr>
            </w:pPr>
            <w:r>
              <w:rPr>
                <w:rFonts w:ascii="Arial" w:cs="Arial" w:eastAsia="Arial" w:hAnsi="Arial"/>
                <w:sz w:val="17"/>
                <w:szCs w:val="17"/>
                <w:color w:val="0000FF"/>
              </w:rPr>
              <w:t>90067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ind w:left="26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5"/>
          </w:tcPr>
          <w:p>
            <w:pPr>
              <w:spacing w:after="0" w:line="222" w:lineRule="exact"/>
              <w:rPr>
                <w:rFonts w:ascii="Arial" w:cs="Arial" w:eastAsia="Arial" w:hAnsi="Arial"/>
                <w:sz w:val="21"/>
                <w:szCs w:val="21"/>
                <w:color w:val="0000EE"/>
              </w:rPr>
            </w:pPr>
            <w:hyperlink r:id="rId14">
              <w:r>
                <w:rPr>
                  <w:rFonts w:ascii="Arial" w:cs="Arial" w:eastAsia="Arial" w:hAnsi="Arial"/>
                  <w:sz w:val="21"/>
                  <w:szCs w:val="21"/>
                  <w:color w:val="0000EE"/>
                </w:rPr>
                <w:t>KAFU HOLDINGS, L.P.</w:t>
              </w:r>
            </w:hyperlink>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20" w:type="dxa"/>
            <w:vAlign w:val="bottom"/>
          </w:tcPr>
          <w:p>
            <w:pPr>
              <w:ind w:left="260"/>
              <w:spacing w:after="0"/>
              <w:rPr>
                <w:sz w:val="20"/>
                <w:szCs w:val="20"/>
                <w:color w:val="auto"/>
              </w:rPr>
            </w:pPr>
            <w:r>
              <w:rPr>
                <w:rFonts w:ascii="Arial" w:cs="Arial" w:eastAsia="Arial" w:hAnsi="Arial"/>
                <w:sz w:val="13"/>
                <w:szCs w:val="13"/>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1800 AVENUE OF THE STARS</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00" w:type="dxa"/>
            <w:vAlign w:val="bottom"/>
            <w:gridSpan w:val="3"/>
          </w:tcPr>
          <w:p>
            <w:pPr>
              <w:spacing w:after="0"/>
              <w:rPr>
                <w:sz w:val="20"/>
                <w:szCs w:val="20"/>
                <w:color w:val="auto"/>
              </w:rPr>
            </w:pPr>
            <w:r>
              <w:rPr>
                <w:rFonts w:ascii="Arial" w:cs="Arial" w:eastAsia="Arial" w:hAnsi="Arial"/>
                <w:sz w:val="17"/>
                <w:szCs w:val="17"/>
                <w:color w:val="0000FF"/>
              </w:rPr>
              <w:t>CA</w:t>
            </w:r>
          </w:p>
        </w:tc>
        <w:tc>
          <w:tcPr>
            <w:tcW w:w="1120" w:type="dxa"/>
            <w:vAlign w:val="bottom"/>
          </w:tcPr>
          <w:p>
            <w:pPr>
              <w:ind w:left="260"/>
              <w:spacing w:after="0"/>
              <w:rPr>
                <w:sz w:val="20"/>
                <w:szCs w:val="20"/>
                <w:color w:val="auto"/>
              </w:rPr>
            </w:pPr>
            <w:r>
              <w:rPr>
                <w:rFonts w:ascii="Arial" w:cs="Arial" w:eastAsia="Arial" w:hAnsi="Arial"/>
                <w:sz w:val="17"/>
                <w:szCs w:val="17"/>
                <w:color w:val="0000FF"/>
              </w:rPr>
              <w:t>77002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ind w:left="26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-5671185</wp:posOffset>
            </wp:positionV>
            <wp:extent cx="24765" cy="2285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765" cy="2285365"/>
                    </a:xfrm>
                    <a:prstGeom prst="rect">
                      <a:avLst/>
                    </a:prstGeom>
                    <a:noFill/>
                  </pic:spPr>
                </pic:pic>
              </a:graphicData>
            </a:graphic>
          </wp:anchor>
        </w:drawing>
      </w:r>
    </w:p>
    <w:p>
      <w:pPr>
        <w:spacing w:after="0" w:line="112"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51" w:orient="portrait"/>
          <w:cols w:equalWidth="0" w:num="1">
            <w:col w:w="11520"/>
          </w:cols>
          <w:pgMar w:left="240" w:top="225" w:right="13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KAFU Holdings II, L.P.</w:t>
        </w:r>
      </w:hyperlink>
    </w:p>
    <w:p>
      <w:pPr>
        <w:sectPr>
          <w:pgSz w:w="11900" w:h="16851" w:orient="portrait"/>
          <w:cols w:equalWidth="0" w:num="1">
            <w:col w:w="11520"/>
          </w:cols>
          <w:pgMar w:left="240" w:top="225" w:right="1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40"/>
              <w:spacing w:after="0"/>
              <w:rPr>
                <w:sz w:val="20"/>
                <w:szCs w:val="20"/>
                <w:color w:val="auto"/>
              </w:rPr>
            </w:pPr>
            <w:r>
              <w:rPr>
                <w:rFonts w:ascii="Arial" w:cs="Arial" w:eastAsia="Arial" w:hAnsi="Arial"/>
                <w:sz w:val="13"/>
                <w:szCs w:val="13"/>
                <w:color w:val="auto"/>
              </w:rPr>
              <w:t>(First)</w:t>
            </w:r>
          </w:p>
        </w:tc>
        <w:tc>
          <w:tcPr>
            <w:tcW w:w="172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80"/>
        </w:trPr>
        <w:tc>
          <w:tcPr>
            <w:tcW w:w="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7"/>
                <w:szCs w:val="17"/>
                <w:color w:val="0000FF"/>
              </w:rPr>
              <w:t>1800 AVENUE OF THE STARS</w:t>
            </w:r>
          </w:p>
        </w:tc>
        <w:tc>
          <w:tcPr>
            <w:tcW w:w="1720" w:type="dxa"/>
            <w:vAlign w:val="bottom"/>
          </w:tcPr>
          <w:p>
            <w:pPr>
              <w:spacing w:after="0"/>
              <w:rPr>
                <w:sz w:val="24"/>
                <w:szCs w:val="24"/>
                <w:color w:val="auto"/>
              </w:rPr>
            </w:pPr>
          </w:p>
        </w:tc>
      </w:tr>
      <w:tr>
        <w:trPr>
          <w:trHeight w:val="268"/>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3RD FLOOR</w:t>
            </w:r>
          </w:p>
        </w:tc>
        <w:tc>
          <w:tcPr>
            <w:tcW w:w="13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267"/>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300" w:type="dxa"/>
            <w:vAlign w:val="bottom"/>
          </w:tcPr>
          <w:p>
            <w:pPr>
              <w:ind w:left="140"/>
              <w:spacing w:after="0"/>
              <w:rPr>
                <w:sz w:val="20"/>
                <w:szCs w:val="20"/>
                <w:color w:val="auto"/>
              </w:rPr>
            </w:pPr>
            <w:r>
              <w:rPr>
                <w:rFonts w:ascii="Arial" w:cs="Arial" w:eastAsia="Arial" w:hAnsi="Arial"/>
                <w:sz w:val="17"/>
                <w:szCs w:val="17"/>
                <w:color w:val="0000FF"/>
              </w:rPr>
              <w:t>CA</w:t>
            </w:r>
          </w:p>
        </w:tc>
        <w:tc>
          <w:tcPr>
            <w:tcW w:w="1720" w:type="dxa"/>
            <w:vAlign w:val="bottom"/>
          </w:tcPr>
          <w:p>
            <w:pPr>
              <w:ind w:left="3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140"/>
              <w:spacing w:after="0"/>
              <w:rPr>
                <w:sz w:val="20"/>
                <w:szCs w:val="20"/>
                <w:color w:val="auto"/>
              </w:rPr>
            </w:pPr>
            <w:r>
              <w:rPr>
                <w:rFonts w:ascii="Arial" w:cs="Arial" w:eastAsia="Arial" w:hAnsi="Arial"/>
                <w:sz w:val="13"/>
                <w:szCs w:val="13"/>
                <w:color w:val="auto"/>
              </w:rPr>
              <w:t>(State)</w:t>
            </w:r>
          </w:p>
        </w:tc>
        <w:tc>
          <w:tcPr>
            <w:tcW w:w="172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2922905" cy="1380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2905" cy="138049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right="60" w:firstLine="7"/>
        <w:spacing w:after="0" w:line="245" w:lineRule="auto"/>
        <w:tabs>
          <w:tab w:leader="none" w:pos="13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Prior to November 15, 2017, the Reporting Persons may not exercise their Redemption Right if such exercise would result in the redemption (together with any redemptions by the Reporting Persons) of more than 78% of the Class A Units held by the Reporting Persons on November 15, 2016. The Redemption Right does not expire.</w:t>
      </w:r>
    </w:p>
    <w:p>
      <w:pPr>
        <w:spacing w:after="0" w:line="26" w:lineRule="exact"/>
        <w:rPr>
          <w:rFonts w:ascii="Arial" w:cs="Arial" w:eastAsia="Arial" w:hAnsi="Arial"/>
          <w:sz w:val="13"/>
          <w:szCs w:val="13"/>
          <w:color w:val="008000"/>
        </w:rPr>
      </w:pPr>
    </w:p>
    <w:p>
      <w:pPr>
        <w:ind w:right="20" w:firstLine="7"/>
        <w:spacing w:after="0" w:line="271" w:lineRule="auto"/>
        <w:tabs>
          <w:tab w:leader="none" w:pos="13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Holdings, L.P. and KAFU Holdings II, L.P. (collectively, "KAFU") own an equivalent number of Class A Units, Class B Shares and GP Units. KACALP is the manager of the general partner of KAFU and may be deemed to beneficially own the Class A Units, Class B Shares and GP Units held by KAFU.</w:t>
      </w:r>
    </w:p>
    <w:p>
      <w:pPr>
        <w:spacing w:after="0" w:line="1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Holdings(QP) LP.</w:t>
      </w:r>
    </w:p>
    <w:p>
      <w:pPr>
        <w:spacing w:after="0" w:line="51" w:lineRule="exact"/>
        <w:rPr>
          <w:rFonts w:ascii="Arial" w:cs="Arial" w:eastAsia="Arial" w:hAnsi="Arial"/>
          <w:sz w:val="13"/>
          <w:szCs w:val="13"/>
          <w:color w:val="008000"/>
        </w:rPr>
      </w:pPr>
    </w:p>
    <w:p>
      <w:pPr>
        <w:ind w:firstLine="7"/>
        <w:spacing w:after="0" w:line="253" w:lineRule="auto"/>
        <w:tabs>
          <w:tab w:leader="none" w:pos="13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a simultaneous transaction, KAFU Holdings (QP), L.P. exercised the exchange right provided for in the limited partnership agreement of AAP pursuant to which 375,749 Class A Units, Class B Shares and GP Units were exchanged for a like number of PAGP Class A Shares. The number of derivative securities owned reflects both the redemption transaction reported herein and the simultaneous exchange transaction.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KAFU Holdings, L.P., and KAFU Holdings II, L.P. are referred to herein as the "Reporting Persons". The filing of this Statement shall not be construed as an admission that any Reporting Person is, for purposes of Section 13(d) of the Exchange Act, as amended, the beneficial owner of any security.</w:t>
      </w:r>
    </w:p>
    <w:p>
      <w:pPr>
        <w:spacing w:after="0" w:line="38"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David Shladovsky</w:t>
            </w:r>
          </w:p>
        </w:tc>
        <w:tc>
          <w:tcPr>
            <w:tcW w:w="100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07/05/2017</w:t>
            </w:r>
          </w:p>
        </w:tc>
      </w:tr>
      <w:tr>
        <w:trPr>
          <w:trHeight w:val="234"/>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352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3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590015" TargetMode="External"/><Relationship Id="rId16" Type="http://schemas.openxmlformats.org/officeDocument/2006/relationships/hyperlink" Target="http://www.sec.gov/cgi-bin/browse-edgar?action=getcompany&amp;CIK=0001590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2020-01-16T03:33:22Z</dcterms:created>
  <dcterms:modified xsi:type="dcterms:W3CDTF">2020-01-16T03:33:22Z</dcterms:modified>
</cp:coreProperties>
</file>