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KRAMER PHIL D</w:t>
              </w:r>
            </w:hyperlink>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Exec. Vice President</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CLAY STREET, #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12/14/2015</w:t>
            </w: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6"/>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6"/>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ind w:right="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12/14/2015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6"/>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19.2192</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358,624</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12/14/2015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ind w:left="140"/>
              <w:spacing w:after="0"/>
              <w:rPr>
                <w:sz w:val="20"/>
                <w:szCs w:val="20"/>
                <w:color w:val="auto"/>
              </w:rPr>
            </w:pPr>
            <w:r>
              <w:rPr>
                <w:rFonts w:ascii="Arial" w:cs="Arial" w:eastAsia="Arial" w:hAnsi="Arial"/>
                <w:sz w:val="18"/>
                <w:szCs w:val="18"/>
                <w:color w:val="0000FF"/>
              </w:rPr>
              <w:t>15,000</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680" w:type="dxa"/>
            <w:vAlign w:val="bottom"/>
            <w:gridSpan w:val="5"/>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18.8</w:t>
            </w:r>
          </w:p>
        </w:tc>
        <w:tc>
          <w:tcPr>
            <w:tcW w:w="2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373,624</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74"/>
              <w:spacing w:after="0"/>
              <w:rPr>
                <w:sz w:val="20"/>
                <w:szCs w:val="20"/>
                <w:color w:val="auto"/>
              </w:rPr>
            </w:pPr>
            <w:r>
              <w:rPr>
                <w:rFonts w:ascii="Arial" w:cs="Arial" w:eastAsia="Arial" w:hAnsi="Arial"/>
                <w:sz w:val="18"/>
                <w:szCs w:val="18"/>
                <w:color w:val="0000FF"/>
                <w:w w:val="88"/>
              </w:rPr>
              <w:t>2,800</w:t>
            </w:r>
          </w:p>
        </w:tc>
        <w:tc>
          <w:tcPr>
            <w:tcW w:w="940" w:type="dxa"/>
            <w:vAlign w:val="bottom"/>
            <w:vMerge w:val="restart"/>
          </w:tcPr>
          <w:p>
            <w:pPr>
              <w:jc w:val="center"/>
              <w:ind w:right="53"/>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Mother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720" w:type="dxa"/>
            <w:vAlign w:val="bottom"/>
            <w:tcBorders>
              <w:bottom w:val="single" w:sz="8" w:color="2C2C2C"/>
            </w:tcBorders>
            <w:gridSpan w:val="7"/>
          </w:tcPr>
          <w:p>
            <w:pPr>
              <w:spacing w:after="0"/>
              <w:rPr>
                <w:sz w:val="8"/>
                <w:szCs w:val="8"/>
                <w:color w:val="auto"/>
              </w:rPr>
            </w:pPr>
          </w:p>
        </w:tc>
        <w:tc>
          <w:tcPr>
            <w:tcW w:w="3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60" w:type="dxa"/>
            <w:vAlign w:val="bottom"/>
            <w:gridSpan w:val="15"/>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purchased in multiple transactions at prices ranging from $19.205 to $19.22. Reporting Person undertakes to provide to the SEC staff, the Issuer or any unitholder of the Issuer, upon request, full information regarding the number of units purchased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90"/>
              </w:rPr>
              <w:t>/s/ Phil D. Kramer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12/14/2015</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2020-01-22T11:52:25Z</dcterms:created>
  <dcterms:modified xsi:type="dcterms:W3CDTF">2020-01-22T11:52:25Z</dcterms:modified>
</cp:coreProperties>
</file>