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4780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0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 Victor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333 CLAY STREET, SUITE 1600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3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>PLAINS ALL AMERICAN PIPELINE LP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auto"/>
                </w:rPr>
                <w:t xml:space="preserve">[ </w:t>
              </w:r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>PAA</w:t>
              </w:r>
              <w:r>
                <w:rPr>
                  <w:rFonts w:ascii="Arial" w:cs="Arial" w:eastAsia="Arial" w:hAnsi="Arial"/>
                  <w:sz w:val="1"/>
                  <w:szCs w:val="1"/>
                  <w:color w:val="auto"/>
                </w:rPr>
                <w:t xml:space="preserve"> ]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08/13/2021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08/13/2021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5,000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37,043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-2034540</wp:posOffset>
            </wp:positionV>
            <wp:extent cx="29210" cy="2039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39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Units granted under Long-Term Incentive Plan (includes distribution equivalent rights payable in cash).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Units vest annually on August distribution date.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Upon termination of service as director, other than because of death, disability or retirement.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Ann F. Gullion, as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08/17/2021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296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Victor Burk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9677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75349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2021-08-17T16:42:39Z</dcterms:created>
  <dcterms:modified xsi:type="dcterms:W3CDTF">2021-08-17T16:42:39Z</dcterms:modified>
</cp:coreProperties>
</file>