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January 7, 2025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43" w:lineRule="exact"/>
        <w:rPr>
          <w:sz w:val="24"/>
          <w:szCs w:val="24"/>
          <w:color w:val="auto"/>
        </w:rPr>
      </w:pPr>
    </w:p>
    <w:p>
      <w:pPr>
        <w:sectPr>
          <w:pgSz w:w="11900" w:h="16838" w:orient="portrait"/>
          <w:cols w:equalWidth="0" w:num="3">
            <w:col w:w="4620" w:space="720"/>
            <w:col w:w="2900" w:space="720"/>
            <w:col w:w="2280"/>
          </w:cols>
          <w:pgMar w:left="320" w:top="754" w:right="33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920" w:space="720"/>
            <w:col w:w="2800" w:space="720"/>
            <w:col w:w="3080"/>
          </w:cols>
          <w:pgMar w:left="320" w:top="754" w:right="3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713-646-4100</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93"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7, 2025, Plains All American Pipeline, L.P. (“PAA”), a subsidiary of the Registrant, issued a press release announcing three bolt-on acquisitions, the purchase of approximately 18% of its outstanding Series A Preferred Units and a 20% increase in its annualized distribution rate. A copy of the press release is attached hereto as Exhibit 99.1 and is incorporated herein by reference.</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EE"/>
        </w:rPr>
        <w:t>Exhibit 99.1 -- Press Release Dated January 7, 2025.</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January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PAA GP Holdings LLC, its general partner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167640</wp:posOffset>
            </wp:positionV>
            <wp:extent cx="2726055"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2605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Announces Bolt-on Acquisitions,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Structure Optimization &amp; Distribution Increase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HOUSTON – January 7, 2025 – Plains All American Pipeline, L.P. (Nasdaq: </w:t>
      </w:r>
      <w:r>
        <w:rPr>
          <w:rFonts w:ascii="Times New Roman" w:cs="Times New Roman" w:eastAsia="Times New Roman" w:hAnsi="Times New Roman"/>
          <w:sz w:val="18"/>
          <w:szCs w:val="18"/>
          <w:u w:val="single" w:color="auto"/>
          <w:color w:val="auto"/>
        </w:rPr>
        <w:t>PAA</w:t>
      </w:r>
      <w:r>
        <w:rPr>
          <w:rFonts w:ascii="Times New Roman" w:cs="Times New Roman" w:eastAsia="Times New Roman" w:hAnsi="Times New Roman"/>
          <w:sz w:val="18"/>
          <w:szCs w:val="18"/>
          <w:color w:val="auto"/>
        </w:rPr>
        <w:t xml:space="preserve">) and Plains GP Holdings (Nasdaq: </w:t>
      </w:r>
      <w:r>
        <w:rPr>
          <w:rFonts w:ascii="Times New Roman" w:cs="Times New Roman" w:eastAsia="Times New Roman" w:hAnsi="Times New Roman"/>
          <w:sz w:val="18"/>
          <w:szCs w:val="18"/>
          <w:u w:val="single" w:color="auto"/>
          <w:color w:val="auto"/>
        </w:rPr>
        <w:t>PAGP</w:t>
      </w:r>
      <w:r>
        <w:rPr>
          <w:rFonts w:ascii="Times New Roman" w:cs="Times New Roman" w:eastAsia="Times New Roman" w:hAnsi="Times New Roman"/>
          <w:sz w:val="18"/>
          <w:szCs w:val="18"/>
          <w:color w:val="auto"/>
        </w:rPr>
        <w:t>) (collectively, “Plains”) announced today three bolt-on acquisitions for an aggregate cash consideration of approximately $670 million net to Plains, the purchase of approximately 18% of its outstanding PAA Series A Preferred Units and a 20% increase in its annualized distribution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Bolt-on Acquisitions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signed a definitive agreement to acquire Ironwood Midstream Energy, which owns an Eagle Ford Basin gathering system, from EnCap Flatrock Midstream for approximately $475 million. The transaction is expected to close in the first quarter of 2025 following satisfaction of customary closing conditions.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2025, a subsidiary of Plains Permian Basin joint venture, Plains Oryx Permian Basin LLC, acquired Medallion Midstream’s Delaware Basin crude oil gathering business from The Energy &amp; Minerals Group for approximately $160 million ($105 million net to PAA’s interest).</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23, 2024, a subsidiary of Plains acquired the remaining 50% interest in Midway Pipeline LLC from a subsidiary of CVR Energy for approximately $90 million.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transactions further enhance Plains’ crude oil footprint in the Permian, Eagle Ford and Mid-Con at returns consistent with our bolt-on framework and provide incremental return of capital opportunities for our unitholders.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 Optimization</w:t>
      </w:r>
    </w:p>
    <w:p>
      <w:pPr>
        <w:spacing w:after="0" w:line="229" w:lineRule="exact"/>
        <w:rPr>
          <w:sz w:val="20"/>
          <w:szCs w:val="20"/>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has also agreed to purchase approximately 12.7 million units, or 18%, of its outstanding Series A Preferred Units at “par” ($26.25) for a purchase price of approximately $330 million (plus accrued and unpaid distributions) from EnCap Flatrock Midstream. This transaction is expected to close in late January 2025.</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all of these transactions, Plains' leverage ratio is expected to be at or below the low-end of our target range of 3.25x to 3.75x, continuing to provide significant balance sheet optionality and flexibility.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 of Capital Update</w:t>
      </w:r>
    </w:p>
    <w:p>
      <w:pPr>
        <w:spacing w:after="0" w:line="229"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Plains Board of Directors has approved an increase in the quarterly distribution payable in February 2025 for both PAA common units and PAGP Class A shares from $0.3175 per unit to $0.38 per unit. On an annualized basis, the distribution represents a $0.25 per unit, or 20%, increase from the distribution paid in November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bolt-on acquisitions announced today are an excellent strategic fit for Plains and allow us to progress our efficient growth strategy by adding high-quality assets adjacent to our existing integrated footprint,” said Willie Chiang, Chairman and CEO of Plains. “Importantly, these transactions create immediate value by delivering sustainable accretion to earnings, distributable cash flow and accelerating return of capital to unitholders. Our capital allocation framework remains intact, and we remain committed to financial flexibility, capital discipline, generating meaningful free cash flow and increasing return of capital to our unitholders as demonstrated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Plains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approximately eight million barrels per day of crude oil and NGL.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PAA and PAGP are headquartered in Houston, Texas. More information is available at </w:t>
      </w:r>
      <w:r>
        <w:rPr>
          <w:rFonts w:ascii="Times New Roman" w:cs="Times New Roman" w:eastAsia="Times New Roman" w:hAnsi="Times New Roman"/>
          <w:sz w:val="18"/>
          <w:szCs w:val="18"/>
          <w:u w:val="single" w:color="auto"/>
          <w:color w:val="auto"/>
        </w:rPr>
        <w:t>www.plains.com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Blake Fernandez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Gladstein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plainsIR@plains.com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2025-01-10T05:20:59Z</dcterms:created>
  <dcterms:modified xsi:type="dcterms:W3CDTF">2025-01-10T05:20:59Z</dcterms:modified>
</cp:coreProperties>
</file>