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333 CLAY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1600</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5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4"/>
                <w:szCs w:val="1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09/29/2023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9" w:lineRule="exact"/>
        <w:rPr>
          <w:sz w:val="20"/>
          <w:szCs w:val="20"/>
          <w:color w:val="auto"/>
        </w:rPr>
      </w:pPr>
    </w:p>
    <w:tbl>
      <w:tblPr>
        <w:tblLayout w:type="fixed"/>
        <w:tblInd w:w="41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0"/>
          <w:szCs w:val="20"/>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2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60" w:type="dxa"/>
            <w:vAlign w:val="bottom"/>
            <w:gridSpan w:val="6"/>
          </w:tcPr>
          <w:p>
            <w:pPr>
              <w:ind w:left="60"/>
              <w:spacing w:after="0"/>
              <w:rPr>
                <w:sz w:val="20"/>
                <w:szCs w:val="20"/>
                <w:color w:val="auto"/>
              </w:rPr>
            </w:pPr>
            <w:r>
              <w:rPr>
                <w:rFonts w:ascii="Arial" w:cs="Arial" w:eastAsia="Arial" w:hAnsi="Arial"/>
                <w:sz w:val="17"/>
                <w:szCs w:val="17"/>
                <w:color w:val="0000FF"/>
              </w:rPr>
              <w:t>Common Units (Limited Partner</w:t>
            </w:r>
          </w:p>
        </w:tc>
        <w:tc>
          <w:tcPr>
            <w:tcW w:w="1520" w:type="dxa"/>
            <w:vAlign w:val="bottom"/>
            <w:gridSpan w:val="2"/>
            <w:vMerge w:val="restart"/>
          </w:tcPr>
          <w:p>
            <w:pPr>
              <w:ind w:left="560"/>
              <w:spacing w:after="0"/>
              <w:rPr>
                <w:sz w:val="20"/>
                <w:szCs w:val="20"/>
                <w:color w:val="auto"/>
              </w:rPr>
            </w:pPr>
            <w:r>
              <w:rPr>
                <w:rFonts w:ascii="Arial" w:cs="Arial" w:eastAsia="Arial" w:hAnsi="Arial"/>
                <w:sz w:val="17"/>
                <w:szCs w:val="17"/>
                <w:color w:val="0000FF"/>
              </w:rPr>
              <w:t>09/29/2023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800" w:type="dxa"/>
            <w:vAlign w:val="bottom"/>
            <w:vMerge w:val="restart"/>
          </w:tcPr>
          <w:p>
            <w:pPr>
              <w:ind w:left="80"/>
              <w:spacing w:after="0"/>
              <w:rPr>
                <w:sz w:val="20"/>
                <w:szCs w:val="20"/>
                <w:color w:val="auto"/>
              </w:rPr>
            </w:pPr>
            <w:r>
              <w:rPr>
                <w:rFonts w:ascii="Arial" w:cs="Arial" w:eastAsia="Arial" w:hAnsi="Arial"/>
                <w:sz w:val="17"/>
                <w:szCs w:val="17"/>
                <w:color w:val="0000FF"/>
                <w:w w:val="92"/>
              </w:rPr>
              <w:t>1,892,538</w:t>
            </w:r>
          </w:p>
        </w:tc>
        <w:tc>
          <w:tcPr>
            <w:tcW w:w="400" w:type="dxa"/>
            <w:vAlign w:val="bottom"/>
            <w:vMerge w:val="restart"/>
          </w:tcPr>
          <w:p>
            <w:pPr>
              <w:ind w:left="260"/>
              <w:spacing w:after="0"/>
              <w:rPr>
                <w:sz w:val="20"/>
                <w:szCs w:val="20"/>
                <w:color w:val="auto"/>
              </w:rPr>
            </w:pPr>
            <w:r>
              <w:rPr>
                <w:rFonts w:ascii="Arial" w:cs="Arial" w:eastAsia="Arial" w:hAnsi="Arial"/>
                <w:sz w:val="17"/>
                <w:szCs w:val="17"/>
                <w:color w:val="0000FF"/>
                <w:w w:val="97"/>
              </w:rPr>
              <w:t>D</w:t>
            </w:r>
          </w:p>
        </w:tc>
        <w:tc>
          <w:tcPr>
            <w:tcW w:w="220" w:type="dxa"/>
            <w:vAlign w:val="bottom"/>
          </w:tcPr>
          <w:p>
            <w:pPr>
              <w:spacing w:after="0"/>
              <w:rPr>
                <w:sz w:val="18"/>
                <w:szCs w:val="18"/>
                <w:color w:val="auto"/>
              </w:rPr>
            </w:pPr>
          </w:p>
        </w:tc>
        <w:tc>
          <w:tcPr>
            <w:tcW w:w="1800" w:type="dxa"/>
            <w:vAlign w:val="bottom"/>
            <w:gridSpan w:val="5"/>
            <w:vMerge w:val="restart"/>
          </w:tcPr>
          <w:p>
            <w:pPr>
              <w:jc w:val="right"/>
              <w:ind w:right="14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0</w:t>
            </w:r>
            <w:r>
              <w:rPr>
                <w:rFonts w:ascii="Arial" w:cs="Arial" w:eastAsia="Arial" w:hAnsi="Arial"/>
                <w:sz w:val="22"/>
                <w:szCs w:val="22"/>
                <w:color w:val="008000"/>
                <w:w w:val="91"/>
                <w:vertAlign w:val="superscript"/>
              </w:rPr>
              <w:t>(1)(2)</w:t>
            </w:r>
            <w:r>
              <w:rPr>
                <w:rFonts w:ascii="Arial" w:cs="Arial" w:eastAsia="Arial" w:hAnsi="Arial"/>
                <w:sz w:val="17"/>
                <w:szCs w:val="17"/>
                <w:color w:val="auto"/>
                <w:w w:val="91"/>
              </w:rPr>
              <w:t xml:space="preserve">     </w:t>
            </w:r>
            <w:r>
              <w:rPr>
                <w:rFonts w:ascii="Arial" w:cs="Arial" w:eastAsia="Arial" w:hAnsi="Arial"/>
                <w:sz w:val="17"/>
                <w:szCs w:val="17"/>
                <w:color w:val="0000FF"/>
                <w:w w:val="91"/>
              </w:rPr>
              <w:t>239,006,970</w:t>
            </w:r>
          </w:p>
        </w:tc>
        <w:tc>
          <w:tcPr>
            <w:tcW w:w="9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7"/>
                <w:szCs w:val="17"/>
                <w:color w:val="0000FF"/>
                <w:w w:val="93"/>
              </w:rPr>
              <w:t>Interests)</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gridSpan w:val="5"/>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80" w:type="dxa"/>
            <w:vAlign w:val="bottom"/>
            <w:gridSpan w:val="17"/>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7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Arial" w:cs="Arial" w:eastAsia="Arial" w:hAnsi="Arial"/>
                <w:sz w:val="17"/>
                <w:szCs w:val="17"/>
                <w:color w:val="0000FF"/>
              </w:rPr>
              <w:t>333 CLAY STREET</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SUITE 1600</w:t>
            </w: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3"/>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-5317490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25" w:right="359" w:bottom="0" w:gutter="0" w:footer="0" w:header="0"/>
          <w:type w:val="continuous"/>
        </w:sectPr>
      </w:pPr>
    </w:p>
    <w:p>
      <w:pPr>
        <w:ind w:left="120"/>
        <w:spacing w:after="0"/>
        <w:rPr>
          <w:rFonts w:ascii="Arial" w:cs="Arial" w:eastAsia="Arial" w:hAnsi="Arial"/>
          <w:sz w:val="20"/>
          <w:szCs w:val="20"/>
          <w:u w:val="single" w:color="auto"/>
          <w:color w:val="0000EE"/>
        </w:rPr>
      </w:pPr>
      <w:hyperlink r:id="rId16">
        <w:r>
          <w:rPr>
            <w:rFonts w:ascii="Arial" w:cs="Arial" w:eastAsia="Arial" w:hAnsi="Arial"/>
            <w:sz w:val="20"/>
            <w:szCs w:val="20"/>
            <w:u w:val="single" w:color="auto"/>
            <w:color w:val="0000EE"/>
          </w:rPr>
          <w:t>Plains All American GP LLC</w:t>
        </w:r>
      </w:hyperlink>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9"/>
        </w:trPr>
        <w:tc>
          <w:tcPr>
            <w:tcW w:w="100" w:type="dxa"/>
            <w:vAlign w:val="bottom"/>
          </w:tcPr>
          <w:p>
            <w:pPr>
              <w:spacing w:after="0"/>
              <w:rPr>
                <w:sz w:val="14"/>
                <w:szCs w:val="1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6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7">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tcPr>
          <w:p>
            <w:pPr>
              <w:ind w:left="26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STREET</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SUITE 1600</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HOUSTON</w:t>
            </w:r>
          </w:p>
        </w:tc>
        <w:tc>
          <w:tcPr>
            <w:tcW w:w="1380" w:type="dxa"/>
            <w:vAlign w:val="bottom"/>
          </w:tcPr>
          <w:p>
            <w:pPr>
              <w:ind w:left="26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tcPr>
          <w:p>
            <w:pPr>
              <w:ind w:left="26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160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316039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80" w:firstLine="7"/>
        <w:spacing w:after="0" w:line="27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if applicable, Company Units of PAA GP Holdings LLC ("PAGP GP").</w:t>
      </w:r>
    </w:p>
    <w:p>
      <w:pPr>
        <w:spacing w:after="0" w:line="14" w:lineRule="exact"/>
        <w:rPr>
          <w:rFonts w:ascii="Arial" w:cs="Arial" w:eastAsia="Arial" w:hAnsi="Arial"/>
          <w:sz w:val="12"/>
          <w:szCs w:val="12"/>
          <w:color w:val="008000"/>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September 29, 2023, KAFU Holdings (QP), L.P. exercised the Redemption Right with respect to 1,892,538 AAP Class A units, resulting in the cancellation of such AAP Class A units and the distribution of 1,892,538 Common Units from AAP to the redeeming partner.</w:t>
      </w:r>
    </w:p>
    <w:p>
      <w:pPr>
        <w:spacing w:after="0" w:line="15" w:lineRule="exact"/>
        <w:rPr>
          <w:rFonts w:ascii="Arial" w:cs="Arial" w:eastAsia="Arial" w:hAnsi="Arial"/>
          <w:sz w:val="13"/>
          <w:szCs w:val="13"/>
          <w:color w:val="008000"/>
        </w:rPr>
      </w:pPr>
    </w:p>
    <w:p>
      <w:pPr>
        <w:ind w:left="20" w:right="500" w:firstLine="7"/>
        <w:spacing w:after="0" w:line="308"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10/02/2023</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30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6"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2023-10-02T16:17:10Z</dcterms:created>
  <dcterms:modified xsi:type="dcterms:W3CDTF">2023-10-02T16:17:10Z</dcterms:modified>
</cp:coreProperties>
</file>